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32546" w14:textId="3DB365AF" w:rsidR="00E07869" w:rsidRPr="001858E3" w:rsidRDefault="00961066" w:rsidP="001858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noProof/>
          <w:sz w:val="36"/>
          <w:szCs w:val="36"/>
        </w:rPr>
        <mc:AlternateContent>
          <mc:Choice Requires="wps">
            <w:drawing>
              <wp:anchor distT="0" distB="0" distL="114300" distR="114300" simplePos="0" relativeHeight="251659264" behindDoc="0" locked="0" layoutInCell="0" allowOverlap="1" wp14:anchorId="2650D0DA" wp14:editId="6547178D">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2F03C" w14:textId="055BD985" w:rsidR="00E95465" w:rsidRPr="00961066" w:rsidRDefault="00E95465" w:rsidP="00961066">
                            <w:pPr>
                              <w:rPr>
                                <w:rFonts w:ascii="Times New Roman" w:hAnsi="Times New Roman" w:cs="Times New Roman"/>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50D0DA"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" o:allowincell="f" filled="f" stroked="f" strokeweight=".5pt">
                <v:textbox inset="0,0,0,0">
                  <w:txbxContent>
                    <w:p w14:paraId="5BD2F03C" w14:textId="055BD985" w:rsidR="00E95465" w:rsidRPr="00961066" w:rsidRDefault="00E95465" w:rsidP="00961066">
                      <w:pPr>
                        <w:rPr>
                          <w:rFonts w:ascii="Times New Roman" w:hAnsi="Times New Roman" w:cs="Times New Roman"/>
                          <w:sz w:val="18"/>
                        </w:rPr>
                      </w:pPr>
                    </w:p>
                  </w:txbxContent>
                </v:textbox>
                <w10:wrap anchory="page"/>
              </v:shape>
            </w:pict>
          </mc:Fallback>
        </mc:AlternateContent>
      </w:r>
      <w:r w:rsidR="00E07869" w:rsidRPr="00494EA1">
        <w:rPr>
          <w:rFonts w:ascii="Times New Roman" w:eastAsia="Times New Roman" w:hAnsi="Times New Roman" w:cs="Times New Roman"/>
          <w:b/>
          <w:bCs/>
          <w:sz w:val="36"/>
          <w:szCs w:val="36"/>
        </w:rPr>
        <w:t>SECURITIES AND EXCHANGE COMMISSION</w:t>
      </w:r>
    </w:p>
    <w:p w14:paraId="5929C62B"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WASHINGTON, D.C. 20549</w:t>
      </w:r>
      <w:r w:rsidRPr="00494EA1">
        <w:rPr>
          <w:rFonts w:ascii="Times New Roman" w:eastAsia="Times New Roman" w:hAnsi="Times New Roman" w:cs="Times New Roman"/>
          <w:sz w:val="20"/>
          <w:szCs w:val="20"/>
        </w:rPr>
        <w:t> </w:t>
      </w:r>
    </w:p>
    <w:p w14:paraId="32A4545C" w14:textId="77777777" w:rsidR="00E07869" w:rsidRPr="00494EA1" w:rsidRDefault="00AE3C59" w:rsidP="00E0786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40486A2">
          <v:rect id="_x0000_i1025" style="width:117pt;height:.75pt" o:hrpct="250" o:hralign="center" o:hrstd="t" o:hrnoshade="t" o:hr="t" fillcolor="black" stroked="f"/>
        </w:pict>
      </w:r>
    </w:p>
    <w:p w14:paraId="6545271C" w14:textId="77777777" w:rsidR="00E07869" w:rsidRPr="00494EA1" w:rsidRDefault="00E07869" w:rsidP="00E07869">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FORM 8-K</w:t>
      </w:r>
    </w:p>
    <w:p w14:paraId="28FA4746"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48D03B3"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CURRENT REPORT</w:t>
      </w:r>
    </w:p>
    <w:p w14:paraId="50D3B781"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Pursuant to Section 13 or 15(d) of the</w:t>
      </w:r>
    </w:p>
    <w:p w14:paraId="6533A2A8"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Securities Exchange Act of 1934</w:t>
      </w:r>
    </w:p>
    <w:p w14:paraId="08F3FC39"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31FCD7C" w14:textId="1D3B1D15"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Date of report (Date of earliest event reported):  </w:t>
      </w:r>
      <w:r w:rsidR="00855367">
        <w:rPr>
          <w:rFonts w:ascii="Times New Roman" w:eastAsia="Times New Roman" w:hAnsi="Times New Roman" w:cs="Times New Roman"/>
          <w:b/>
          <w:bCs/>
          <w:sz w:val="20"/>
          <w:szCs w:val="20"/>
        </w:rPr>
        <w:t xml:space="preserve">September </w:t>
      </w:r>
      <w:r w:rsidR="001858E3">
        <w:rPr>
          <w:rFonts w:ascii="Times New Roman" w:eastAsia="Times New Roman" w:hAnsi="Times New Roman" w:cs="Times New Roman"/>
          <w:b/>
          <w:bCs/>
          <w:sz w:val="20"/>
          <w:szCs w:val="20"/>
        </w:rPr>
        <w:t>24</w:t>
      </w:r>
      <w:r w:rsidRPr="001D6FF9">
        <w:rPr>
          <w:rFonts w:ascii="Times New Roman" w:eastAsia="Times New Roman" w:hAnsi="Times New Roman" w:cs="Times New Roman"/>
          <w:b/>
          <w:bCs/>
          <w:sz w:val="20"/>
          <w:szCs w:val="20"/>
        </w:rPr>
        <w:t>, 2020</w:t>
      </w:r>
      <w:r w:rsidRPr="00494EA1">
        <w:rPr>
          <w:rFonts w:ascii="Times New Roman" w:eastAsia="Times New Roman" w:hAnsi="Times New Roman" w:cs="Times New Roman"/>
          <w:sz w:val="20"/>
          <w:szCs w:val="20"/>
        </w:rPr>
        <w:t> </w:t>
      </w:r>
    </w:p>
    <w:p w14:paraId="461AB90E" w14:textId="77777777" w:rsidR="00E07869" w:rsidRPr="00494EA1" w:rsidRDefault="00AE3C59" w:rsidP="00E07869">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CADE05F">
          <v:rect id="_x0000_i1026" style="width:117pt;height:.75pt" o:hrpct="250" o:hralign="center" o:hrstd="t" o:hrnoshade="t" o:hr="t" fillcolor="black" stroked="f"/>
        </w:pict>
      </w:r>
    </w:p>
    <w:p w14:paraId="0A3A31F8" w14:textId="77777777" w:rsidR="00E07869" w:rsidRPr="00494EA1" w:rsidRDefault="00E07869" w:rsidP="00E07869">
      <w:pPr>
        <w:spacing w:after="0" w:line="240" w:lineRule="auto"/>
        <w:rPr>
          <w:rFonts w:ascii="Times New Roman" w:eastAsia="Times New Roman" w:hAnsi="Times New Roman" w:cs="Times New Roman"/>
          <w:sz w:val="36"/>
          <w:szCs w:val="36"/>
        </w:rPr>
      </w:pPr>
      <w:r w:rsidRPr="00494EA1">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94EA1">
        <w:rPr>
          <w:rFonts w:ascii="Times New Roman" w:eastAsia="Times New Roman" w:hAnsi="Times New Roman" w:cs="Times New Roman"/>
          <w:b/>
          <w:bCs/>
          <w:sz w:val="36"/>
          <w:szCs w:val="36"/>
        </w:rPr>
        <w:t>GEOVAX LABS, INC.</w:t>
      </w:r>
    </w:p>
    <w:p w14:paraId="759BAF70"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(Exact name of registrant as specified in its charter)</w:t>
      </w:r>
    </w:p>
    <w:p w14:paraId="70A64C4D"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E07869" w:rsidRPr="00494EA1" w14:paraId="125A3BAA" w14:textId="77777777" w:rsidTr="009E01BC">
        <w:trPr>
          <w:tblCellSpacing w:w="0" w:type="dxa"/>
        </w:trPr>
        <w:tc>
          <w:tcPr>
            <w:tcW w:w="1585" w:type="pct"/>
            <w:hideMark/>
          </w:tcPr>
          <w:p w14:paraId="36CA267A"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Delaware</w:t>
            </w:r>
          </w:p>
        </w:tc>
        <w:tc>
          <w:tcPr>
            <w:tcW w:w="125" w:type="pct"/>
            <w:vAlign w:val="bottom"/>
            <w:hideMark/>
          </w:tcPr>
          <w:p w14:paraId="0432DD95"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2E6B46A4" w14:textId="62671289" w:rsidR="00E07869" w:rsidRPr="00494EA1" w:rsidRDefault="00C869CC"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00</w:t>
            </w:r>
            <w:r>
              <w:rPr>
                <w:rFonts w:ascii="Times New Roman" w:eastAsia="Times New Roman" w:hAnsi="Times New Roman" w:cs="Times New Roman"/>
                <w:b/>
                <w:bCs/>
                <w:sz w:val="20"/>
                <w:szCs w:val="20"/>
              </w:rPr>
              <w:t>1</w:t>
            </w:r>
            <w:r w:rsidR="00E07869" w:rsidRPr="00494EA1">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39563</w:t>
            </w:r>
          </w:p>
        </w:tc>
        <w:tc>
          <w:tcPr>
            <w:tcW w:w="125" w:type="pct"/>
            <w:vAlign w:val="bottom"/>
            <w:hideMark/>
          </w:tcPr>
          <w:p w14:paraId="6481CD2E"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62A9421D"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87-0455038</w:t>
            </w:r>
          </w:p>
        </w:tc>
      </w:tr>
      <w:tr w:rsidR="00E07869" w:rsidRPr="00494EA1" w14:paraId="0F853D99" w14:textId="77777777" w:rsidTr="009E01BC">
        <w:trPr>
          <w:tblCellSpacing w:w="0" w:type="dxa"/>
        </w:trPr>
        <w:tc>
          <w:tcPr>
            <w:tcW w:w="1585" w:type="pct"/>
            <w:hideMark/>
          </w:tcPr>
          <w:p w14:paraId="2AAF962A"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(State or other jurisdiction of</w:t>
            </w:r>
          </w:p>
          <w:p w14:paraId="2D20A5F2"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incorporation or organization)</w:t>
            </w:r>
          </w:p>
        </w:tc>
        <w:tc>
          <w:tcPr>
            <w:tcW w:w="125" w:type="pct"/>
            <w:vAlign w:val="bottom"/>
            <w:hideMark/>
          </w:tcPr>
          <w:p w14:paraId="588B02D7"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67F8C859"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(Commission File No.)</w:t>
            </w:r>
          </w:p>
        </w:tc>
        <w:tc>
          <w:tcPr>
            <w:tcW w:w="125" w:type="pct"/>
            <w:vAlign w:val="bottom"/>
            <w:hideMark/>
          </w:tcPr>
          <w:p w14:paraId="4E2ADACB"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5D187D21" w14:textId="77777777" w:rsidR="00E07869" w:rsidRPr="00494EA1" w:rsidRDefault="00E07869" w:rsidP="009E01BC">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(IRS Employee Identification No.)</w:t>
            </w:r>
          </w:p>
        </w:tc>
      </w:tr>
    </w:tbl>
    <w:p w14:paraId="0598CB8F"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1C5F089"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1900 Lake Park Drive, Suite 380</w:t>
      </w:r>
    </w:p>
    <w:p w14:paraId="31A98B77"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Smyrna, Georgia 30080</w:t>
      </w:r>
    </w:p>
    <w:p w14:paraId="505829F3"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(Address of principal executive offices) (Zip code)</w:t>
      </w:r>
    </w:p>
    <w:p w14:paraId="614E2152"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D614306"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(678) 384-7220</w:t>
      </w:r>
    </w:p>
    <w:p w14:paraId="6754F6CC"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(Registrant’s telephone number, including area code)</w:t>
      </w:r>
    </w:p>
    <w:p w14:paraId="418CE419"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51773D0"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7FC2DF81"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2055C1C"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Written communications pursuant to Rule 425 under the Securities Act (17 CFR 230.425)</w:t>
      </w:r>
    </w:p>
    <w:p w14:paraId="52AB8EF0"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A977544"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Soliciting material pursuant to Rule 14a-12 under the Exchange Act (17 CFR240.14a-12)</w:t>
      </w:r>
    </w:p>
    <w:p w14:paraId="3F7A70A5"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57403398"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14d-2(b) under the Exchange Act (17 CFR 240.14d-2(b)).</w:t>
      </w:r>
    </w:p>
    <w:p w14:paraId="55083D43"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8231486"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13e-4(c) under the Exchange Act (17 CFR 240.13(e)-4(c))</w:t>
      </w:r>
    </w:p>
    <w:p w14:paraId="34D722B6"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C5B6547" w14:textId="77777777" w:rsidR="00E07869"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Securities registered pursuant to</w:t>
      </w:r>
      <w:r w:rsidR="001301BB">
        <w:rPr>
          <w:rFonts w:ascii="Times New Roman" w:eastAsia="Times New Roman" w:hAnsi="Times New Roman" w:cs="Times New Roman"/>
          <w:sz w:val="20"/>
          <w:szCs w:val="20"/>
        </w:rPr>
        <w:t xml:space="preserve"> Section 12(b) of the Act:</w:t>
      </w:r>
    </w:p>
    <w:p w14:paraId="1949215F" w14:textId="77777777" w:rsidR="001301BB" w:rsidRDefault="001301BB" w:rsidP="00E07869">
      <w:pPr>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620"/>
        <w:gridCol w:w="3865"/>
      </w:tblGrid>
      <w:tr w:rsidR="001301BB" w14:paraId="76E1A6B7" w14:textId="77777777" w:rsidTr="000F767A">
        <w:tc>
          <w:tcPr>
            <w:tcW w:w="3865" w:type="dxa"/>
            <w:tcBorders>
              <w:bottom w:val="single" w:sz="4" w:space="0" w:color="auto"/>
            </w:tcBorders>
            <w:vAlign w:val="bottom"/>
          </w:tcPr>
          <w:p w14:paraId="2592056B"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each class</w:t>
            </w:r>
          </w:p>
        </w:tc>
        <w:tc>
          <w:tcPr>
            <w:tcW w:w="1620" w:type="dxa"/>
            <w:tcBorders>
              <w:bottom w:val="single" w:sz="4" w:space="0" w:color="auto"/>
            </w:tcBorders>
            <w:vAlign w:val="bottom"/>
          </w:tcPr>
          <w:p w14:paraId="6DE68D6B"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Trading Symbol(s)</w:t>
            </w:r>
          </w:p>
        </w:tc>
        <w:tc>
          <w:tcPr>
            <w:tcW w:w="3865" w:type="dxa"/>
            <w:tcBorders>
              <w:bottom w:val="single" w:sz="4" w:space="0" w:color="auto"/>
            </w:tcBorders>
            <w:vAlign w:val="bottom"/>
          </w:tcPr>
          <w:p w14:paraId="40CC40E0"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each exchange on which registered</w:t>
            </w:r>
          </w:p>
        </w:tc>
      </w:tr>
      <w:tr w:rsidR="001301BB" w14:paraId="73AE913D" w14:textId="77777777" w:rsidTr="000F767A">
        <w:tc>
          <w:tcPr>
            <w:tcW w:w="3865" w:type="dxa"/>
            <w:tcBorders>
              <w:top w:val="single" w:sz="4" w:space="0" w:color="auto"/>
            </w:tcBorders>
            <w:vAlign w:val="center"/>
          </w:tcPr>
          <w:p w14:paraId="49C5B669"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Common Stock, par value $0.001 per share</w:t>
            </w:r>
          </w:p>
        </w:tc>
        <w:tc>
          <w:tcPr>
            <w:tcW w:w="1620" w:type="dxa"/>
            <w:tcBorders>
              <w:top w:val="single" w:sz="4" w:space="0" w:color="auto"/>
            </w:tcBorders>
            <w:vAlign w:val="center"/>
          </w:tcPr>
          <w:p w14:paraId="40F3C4C5"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t>
            </w:r>
          </w:p>
        </w:tc>
        <w:tc>
          <w:tcPr>
            <w:tcW w:w="3865" w:type="dxa"/>
            <w:tcBorders>
              <w:top w:val="single" w:sz="4" w:space="0" w:color="auto"/>
            </w:tcBorders>
            <w:vAlign w:val="center"/>
          </w:tcPr>
          <w:p w14:paraId="62D07F3F"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r w:rsidR="001301BB" w14:paraId="09F07E75" w14:textId="77777777" w:rsidTr="000F767A">
        <w:tc>
          <w:tcPr>
            <w:tcW w:w="3865" w:type="dxa"/>
            <w:vAlign w:val="center"/>
          </w:tcPr>
          <w:p w14:paraId="0B06CCF2"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Warrants to Purchase Common Stock</w:t>
            </w:r>
          </w:p>
        </w:tc>
        <w:tc>
          <w:tcPr>
            <w:tcW w:w="1620" w:type="dxa"/>
            <w:vAlign w:val="center"/>
          </w:tcPr>
          <w:p w14:paraId="1EF11617"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GOVXW</w:t>
            </w:r>
          </w:p>
        </w:tc>
        <w:tc>
          <w:tcPr>
            <w:tcW w:w="3865" w:type="dxa"/>
            <w:vAlign w:val="center"/>
          </w:tcPr>
          <w:p w14:paraId="21E93059" w14:textId="77777777" w:rsidR="001301BB" w:rsidRDefault="001301BB" w:rsidP="000F767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Nasdaq Capital Market</w:t>
            </w:r>
          </w:p>
        </w:tc>
      </w:tr>
    </w:tbl>
    <w:p w14:paraId="6A3003DA" w14:textId="77777777" w:rsidR="00E07869" w:rsidRPr="00494EA1" w:rsidRDefault="00E07869" w:rsidP="00E07869">
      <w:pPr>
        <w:spacing w:after="0" w:line="240" w:lineRule="auto"/>
        <w:rPr>
          <w:rFonts w:ascii="Times New Roman" w:eastAsia="Times New Roman" w:hAnsi="Times New Roman" w:cs="Times New Roman"/>
          <w:sz w:val="20"/>
          <w:szCs w:val="20"/>
        </w:rPr>
      </w:pPr>
    </w:p>
    <w:p w14:paraId="4F10A89F"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D21C137"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Emerging growth company </w:t>
      </w:r>
      <w:r w:rsidRPr="00494EA1">
        <w:rPr>
          <w:rFonts w:ascii="Segoe UI Symbol" w:eastAsia="Times New Roman" w:hAnsi="Segoe UI Symbol" w:cs="Segoe UI Symbol"/>
          <w:sz w:val="20"/>
          <w:szCs w:val="20"/>
        </w:rPr>
        <w:t>☐</w:t>
      </w:r>
    </w:p>
    <w:p w14:paraId="22FE3293"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C8CED9F" w14:textId="126FD43D" w:rsidR="000F767A" w:rsidRDefault="00E07869" w:rsidP="001858E3">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w:t>
      </w:r>
      <w:r w:rsidR="002D20A7">
        <w:rPr>
          <w:rFonts w:ascii="Times New Roman" w:eastAsia="Times New Roman" w:hAnsi="Times New Roman" w:cs="Times New Roman"/>
          <w:sz w:val="20"/>
          <w:szCs w:val="20"/>
        </w:rPr>
        <w:t xml:space="preserve"> </w:t>
      </w:r>
      <w:r w:rsidRPr="00494EA1">
        <w:rPr>
          <w:rFonts w:ascii="Times New Roman" w:eastAsia="Times New Roman" w:hAnsi="Times New Roman" w:cs="Times New Roman"/>
          <w:sz w:val="20"/>
          <w:szCs w:val="20"/>
        </w:rPr>
        <w:t xml:space="preserve">13(a) of the Exchange Act. </w:t>
      </w:r>
      <w:r w:rsidR="00A91980" w:rsidRPr="00494EA1">
        <w:rPr>
          <w:rFonts w:ascii="Segoe UI Symbol" w:eastAsia="Times New Roman" w:hAnsi="Segoe UI Symbol" w:cs="Segoe UI Symbol"/>
          <w:sz w:val="20"/>
          <w:szCs w:val="20"/>
        </w:rPr>
        <w:t>☐</w:t>
      </w:r>
    </w:p>
    <w:p w14:paraId="6584AF12" w14:textId="73105985" w:rsidR="00E07869" w:rsidRPr="00494EA1" w:rsidRDefault="00E07869" w:rsidP="0085717D">
      <w:pPr>
        <w:spacing w:after="0" w:line="240" w:lineRule="auto"/>
        <w:jc w:val="both"/>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lastRenderedPageBreak/>
        <w:t>This Form 8-K and other reports filed by GeoVax Labs, Inc. (the “Registrant”</w:t>
      </w:r>
      <w:r>
        <w:rPr>
          <w:rFonts w:ascii="Times New Roman" w:eastAsia="Times New Roman" w:hAnsi="Times New Roman" w:cs="Times New Roman"/>
          <w:sz w:val="20"/>
          <w:szCs w:val="20"/>
        </w:rPr>
        <w:t xml:space="preserve"> or the “Company”)</w:t>
      </w:r>
      <w:r w:rsidRPr="00494EA1">
        <w:rPr>
          <w:rFonts w:ascii="Times New Roman" w:eastAsia="Times New Roman" w:hAnsi="Times New Roman" w:cs="Times New Roman"/>
          <w:sz w:val="20"/>
          <w:szCs w:val="20"/>
        </w:rPr>
        <w:t xml:space="preserve">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intended or planned.  Except as required by law, the Registrant does not undertake to update its forward-looking statements.</w:t>
      </w:r>
    </w:p>
    <w:p w14:paraId="2E3D3C3A"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E3C4C1E" w14:textId="77777777" w:rsidR="00E07869" w:rsidRPr="00494EA1"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Item 1.01</w:t>
      </w:r>
      <w:r>
        <w:rPr>
          <w:rFonts w:ascii="Times New Roman" w:eastAsia="Times New Roman" w:hAnsi="Times New Roman" w:cs="Times New Roman"/>
          <w:b/>
          <w:bCs/>
          <w:sz w:val="20"/>
          <w:szCs w:val="20"/>
        </w:rPr>
        <w:tab/>
        <w:t>Entry into a Material Definitive Agreement.</w:t>
      </w:r>
    </w:p>
    <w:p w14:paraId="6A410CF0"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70C9408" w14:textId="0A9CF307" w:rsidR="0085717D" w:rsidRPr="0085717D" w:rsidRDefault="0085717D" w:rsidP="0055346F">
      <w:pPr>
        <w:spacing w:after="0" w:line="240" w:lineRule="auto"/>
        <w:ind w:firstLine="72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Underwriting Agreement</w:t>
      </w:r>
    </w:p>
    <w:p w14:paraId="5A4CB989" w14:textId="77777777" w:rsidR="0085717D" w:rsidRDefault="0085717D" w:rsidP="0055346F">
      <w:pPr>
        <w:spacing w:after="0" w:line="240" w:lineRule="auto"/>
        <w:ind w:firstLine="720"/>
        <w:jc w:val="both"/>
        <w:rPr>
          <w:rFonts w:ascii="Times New Roman" w:eastAsia="Times New Roman" w:hAnsi="Times New Roman" w:cs="Times New Roman"/>
          <w:color w:val="000000"/>
          <w:sz w:val="20"/>
          <w:szCs w:val="20"/>
        </w:rPr>
      </w:pPr>
    </w:p>
    <w:p w14:paraId="44C12C1A" w14:textId="3E80BA3B" w:rsidR="001858E3" w:rsidRDefault="00646C2A" w:rsidP="0078615D">
      <w:pP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 </w:t>
      </w:r>
      <w:r w:rsidR="00855367">
        <w:rPr>
          <w:rFonts w:ascii="Times New Roman" w:eastAsia="Times New Roman" w:hAnsi="Times New Roman" w:cs="Times New Roman"/>
          <w:color w:val="000000"/>
          <w:sz w:val="20"/>
          <w:szCs w:val="20"/>
        </w:rPr>
        <w:t xml:space="preserve">September </w:t>
      </w:r>
      <w:r w:rsidR="001858E3">
        <w:rPr>
          <w:rFonts w:ascii="Times New Roman" w:eastAsia="Times New Roman" w:hAnsi="Times New Roman" w:cs="Times New Roman"/>
          <w:color w:val="000000"/>
          <w:sz w:val="20"/>
          <w:szCs w:val="20"/>
        </w:rPr>
        <w:t>24</w:t>
      </w:r>
      <w:r w:rsidR="0055346F" w:rsidRPr="0055346F">
        <w:rPr>
          <w:rFonts w:ascii="Times New Roman" w:eastAsia="Times New Roman" w:hAnsi="Times New Roman" w:cs="Times New Roman"/>
          <w:color w:val="000000"/>
          <w:sz w:val="20"/>
          <w:szCs w:val="20"/>
        </w:rPr>
        <w:t xml:space="preserve">, 2020, </w:t>
      </w:r>
      <w:r w:rsidR="001C2135">
        <w:rPr>
          <w:rFonts w:ascii="Times New Roman" w:eastAsia="Times New Roman" w:hAnsi="Times New Roman" w:cs="Times New Roman"/>
          <w:color w:val="000000"/>
          <w:sz w:val="20"/>
          <w:szCs w:val="20"/>
        </w:rPr>
        <w:t>the Company</w:t>
      </w:r>
      <w:r w:rsidR="0055346F" w:rsidRPr="0055346F">
        <w:rPr>
          <w:rFonts w:ascii="Times New Roman" w:eastAsia="Times New Roman" w:hAnsi="Times New Roman" w:cs="Times New Roman"/>
          <w:color w:val="000000"/>
          <w:sz w:val="20"/>
          <w:szCs w:val="20"/>
        </w:rPr>
        <w:t xml:space="preserve"> entered into an Underwriting Agreement (the “Underwriting Agreement”) with Maxim Group LLC, as representative of the under</w:t>
      </w:r>
      <w:r w:rsidR="00B12BB9">
        <w:rPr>
          <w:rFonts w:ascii="Times New Roman" w:eastAsia="Times New Roman" w:hAnsi="Times New Roman" w:cs="Times New Roman"/>
          <w:color w:val="000000"/>
          <w:sz w:val="20"/>
          <w:szCs w:val="20"/>
        </w:rPr>
        <w:t xml:space="preserve">writers (the “Representative”), </w:t>
      </w:r>
      <w:r w:rsidR="0055346F" w:rsidRPr="0055346F">
        <w:rPr>
          <w:rFonts w:ascii="Times New Roman" w:eastAsia="Times New Roman" w:hAnsi="Times New Roman" w:cs="Times New Roman"/>
          <w:color w:val="000000"/>
          <w:sz w:val="20"/>
          <w:szCs w:val="20"/>
        </w:rPr>
        <w:t xml:space="preserve">for an underwritten public </w:t>
      </w:r>
      <w:r w:rsidR="00A73872">
        <w:rPr>
          <w:rFonts w:ascii="Times New Roman" w:eastAsia="Times New Roman" w:hAnsi="Times New Roman" w:cs="Times New Roman"/>
          <w:color w:val="000000"/>
          <w:sz w:val="20"/>
          <w:szCs w:val="20"/>
        </w:rPr>
        <w:t xml:space="preserve">offering (the “Offering”) of an </w:t>
      </w:r>
      <w:r w:rsidR="0055346F" w:rsidRPr="0055346F">
        <w:rPr>
          <w:rFonts w:ascii="Times New Roman" w:eastAsia="Times New Roman" w:hAnsi="Times New Roman" w:cs="Times New Roman"/>
          <w:color w:val="000000"/>
          <w:sz w:val="20"/>
          <w:szCs w:val="20"/>
        </w:rPr>
        <w:t xml:space="preserve">aggregate of </w:t>
      </w:r>
      <w:r w:rsidR="001858E3">
        <w:rPr>
          <w:rFonts w:ascii="Times New Roman" w:eastAsia="Times New Roman" w:hAnsi="Times New Roman" w:cs="Times New Roman"/>
          <w:color w:val="000000"/>
          <w:sz w:val="20"/>
          <w:szCs w:val="20"/>
        </w:rPr>
        <w:t>2,</w:t>
      </w:r>
      <w:r w:rsidR="00FE192F">
        <w:rPr>
          <w:rFonts w:ascii="Times New Roman" w:eastAsia="Times New Roman" w:hAnsi="Times New Roman" w:cs="Times New Roman"/>
          <w:color w:val="000000"/>
          <w:sz w:val="20"/>
          <w:szCs w:val="20"/>
        </w:rPr>
        <w:t>56</w:t>
      </w:r>
      <w:r w:rsidR="0034064F">
        <w:rPr>
          <w:rFonts w:ascii="Times New Roman" w:eastAsia="Times New Roman" w:hAnsi="Times New Roman" w:cs="Times New Roman"/>
          <w:color w:val="000000"/>
          <w:sz w:val="20"/>
          <w:szCs w:val="20"/>
        </w:rPr>
        <w:t>0</w:t>
      </w:r>
      <w:r w:rsidR="001858E3">
        <w:rPr>
          <w:rFonts w:ascii="Times New Roman" w:eastAsia="Times New Roman" w:hAnsi="Times New Roman" w:cs="Times New Roman"/>
          <w:color w:val="000000"/>
          <w:sz w:val="20"/>
          <w:szCs w:val="20"/>
        </w:rPr>
        <w:t>,000</w:t>
      </w:r>
      <w:r w:rsidR="0055346F" w:rsidRPr="0055346F">
        <w:rPr>
          <w:rFonts w:ascii="Times New Roman" w:eastAsia="Times New Roman" w:hAnsi="Times New Roman" w:cs="Times New Roman"/>
          <w:color w:val="000000"/>
          <w:sz w:val="20"/>
          <w:szCs w:val="20"/>
        </w:rPr>
        <w:t xml:space="preserve"> units (the “Units”)</w:t>
      </w:r>
      <w:r w:rsidR="000E30C4">
        <w:rPr>
          <w:rFonts w:ascii="Times New Roman" w:eastAsia="Times New Roman" w:hAnsi="Times New Roman" w:cs="Times New Roman"/>
          <w:color w:val="000000"/>
          <w:sz w:val="20"/>
          <w:szCs w:val="20"/>
        </w:rPr>
        <w:t>. Of the 2,560,000 Units: (a) 2,310,000 Units</w:t>
      </w:r>
      <w:r w:rsidR="0055346F" w:rsidRPr="0055346F">
        <w:rPr>
          <w:rFonts w:ascii="Times New Roman" w:eastAsia="Times New Roman" w:hAnsi="Times New Roman" w:cs="Times New Roman"/>
          <w:color w:val="000000"/>
          <w:sz w:val="20"/>
          <w:szCs w:val="20"/>
        </w:rPr>
        <w:t xml:space="preserve"> consist of one share (each a “Share” and collectively, the “Shares”) of the Company’s common stock, par value $0.001 per share (the “Common Stock”), and a warrant to purchase one share of Common Stock (each a “Warrant” and collectively, the “Warrants”) at an exercise price equal to $</w:t>
      </w:r>
      <w:r w:rsidR="00FE192F">
        <w:rPr>
          <w:rFonts w:ascii="Times New Roman" w:eastAsia="Times New Roman" w:hAnsi="Times New Roman" w:cs="Times New Roman"/>
          <w:color w:val="000000"/>
          <w:sz w:val="20"/>
          <w:szCs w:val="20"/>
        </w:rPr>
        <w:t>5.00</w:t>
      </w:r>
      <w:r w:rsidR="0055346F" w:rsidRPr="0055346F">
        <w:rPr>
          <w:rFonts w:ascii="Times New Roman" w:eastAsia="Times New Roman" w:hAnsi="Times New Roman" w:cs="Times New Roman"/>
          <w:color w:val="000000"/>
          <w:sz w:val="20"/>
          <w:szCs w:val="20"/>
        </w:rPr>
        <w:t xml:space="preserve"> per share of Common Stock</w:t>
      </w:r>
      <w:r w:rsidR="000E30C4">
        <w:rPr>
          <w:rFonts w:ascii="Times New Roman" w:eastAsia="Times New Roman" w:hAnsi="Times New Roman" w:cs="Times New Roman"/>
          <w:color w:val="000000"/>
          <w:sz w:val="20"/>
          <w:szCs w:val="20"/>
        </w:rPr>
        <w:t xml:space="preserve">; and (b) 250,000 Units consist of one pre-funded warrant to purchase one </w:t>
      </w:r>
      <w:r w:rsidR="000E30C4" w:rsidRPr="001C39AE">
        <w:rPr>
          <w:rFonts w:ascii="Times New Roman" w:eastAsia="Times New Roman" w:hAnsi="Times New Roman" w:cs="Times New Roman"/>
          <w:color w:val="000000"/>
          <w:sz w:val="20"/>
          <w:szCs w:val="20"/>
        </w:rPr>
        <w:t>share</w:t>
      </w:r>
      <w:r w:rsidR="000E30C4">
        <w:rPr>
          <w:rFonts w:ascii="Times New Roman" w:eastAsia="Times New Roman" w:hAnsi="Times New Roman" w:cs="Times New Roman"/>
          <w:color w:val="000000"/>
          <w:sz w:val="20"/>
          <w:szCs w:val="20"/>
        </w:rPr>
        <w:t xml:space="preserve"> of Common Stock and a Warrant</w:t>
      </w:r>
      <w:r w:rsidR="0055346F" w:rsidRPr="0055346F">
        <w:rPr>
          <w:rFonts w:ascii="Times New Roman" w:eastAsia="Times New Roman" w:hAnsi="Times New Roman" w:cs="Times New Roman"/>
          <w:color w:val="000000"/>
          <w:sz w:val="20"/>
          <w:szCs w:val="20"/>
        </w:rPr>
        <w:t>. The public offering price was $</w:t>
      </w:r>
      <w:r w:rsidR="00FE192F">
        <w:rPr>
          <w:rFonts w:ascii="Times New Roman" w:eastAsia="Times New Roman" w:hAnsi="Times New Roman" w:cs="Times New Roman"/>
          <w:color w:val="000000"/>
          <w:sz w:val="20"/>
          <w:szCs w:val="20"/>
        </w:rPr>
        <w:t>5.00</w:t>
      </w:r>
      <w:r w:rsidR="0055346F" w:rsidRPr="0055346F">
        <w:rPr>
          <w:rFonts w:ascii="Times New Roman" w:eastAsia="Times New Roman" w:hAnsi="Times New Roman" w:cs="Times New Roman"/>
          <w:color w:val="000000"/>
          <w:sz w:val="20"/>
          <w:szCs w:val="20"/>
        </w:rPr>
        <w:t xml:space="preserve"> per Unit and the underwriters agreed to purchase </w:t>
      </w:r>
      <w:r w:rsidR="001858E3">
        <w:rPr>
          <w:rFonts w:ascii="Times New Roman" w:eastAsia="Times New Roman" w:hAnsi="Times New Roman" w:cs="Times New Roman"/>
          <w:color w:val="000000"/>
          <w:sz w:val="20"/>
          <w:szCs w:val="20"/>
        </w:rPr>
        <w:t>2,</w:t>
      </w:r>
      <w:r w:rsidR="00FE192F">
        <w:rPr>
          <w:rFonts w:ascii="Times New Roman" w:eastAsia="Times New Roman" w:hAnsi="Times New Roman" w:cs="Times New Roman"/>
          <w:color w:val="000000"/>
          <w:sz w:val="20"/>
          <w:szCs w:val="20"/>
        </w:rPr>
        <w:t>56</w:t>
      </w:r>
      <w:r w:rsidR="0034064F">
        <w:rPr>
          <w:rFonts w:ascii="Times New Roman" w:eastAsia="Times New Roman" w:hAnsi="Times New Roman" w:cs="Times New Roman"/>
          <w:color w:val="000000"/>
          <w:sz w:val="20"/>
          <w:szCs w:val="20"/>
        </w:rPr>
        <w:t>0</w:t>
      </w:r>
      <w:r w:rsidR="001858E3">
        <w:rPr>
          <w:rFonts w:ascii="Times New Roman" w:eastAsia="Times New Roman" w:hAnsi="Times New Roman" w:cs="Times New Roman"/>
          <w:color w:val="000000"/>
          <w:sz w:val="20"/>
          <w:szCs w:val="20"/>
        </w:rPr>
        <w:t>,000</w:t>
      </w:r>
      <w:r w:rsidR="00FE192F">
        <w:rPr>
          <w:rFonts w:ascii="Times New Roman" w:eastAsia="Times New Roman" w:hAnsi="Times New Roman" w:cs="Times New Roman"/>
          <w:color w:val="000000"/>
          <w:sz w:val="20"/>
          <w:szCs w:val="20"/>
        </w:rPr>
        <w:t xml:space="preserve"> Units at an</w:t>
      </w:r>
      <w:r w:rsidR="0055346F" w:rsidRPr="0055346F">
        <w:rPr>
          <w:rFonts w:ascii="Times New Roman" w:eastAsia="Times New Roman" w:hAnsi="Times New Roman" w:cs="Times New Roman"/>
          <w:color w:val="000000"/>
          <w:sz w:val="20"/>
          <w:szCs w:val="20"/>
        </w:rPr>
        <w:t xml:space="preserve"> </w:t>
      </w:r>
      <w:r w:rsidR="00FE192F">
        <w:rPr>
          <w:rFonts w:ascii="Times New Roman" w:eastAsia="Times New Roman" w:hAnsi="Times New Roman" w:cs="Times New Roman"/>
          <w:color w:val="000000"/>
          <w:sz w:val="20"/>
          <w:szCs w:val="20"/>
        </w:rPr>
        <w:t>8</w:t>
      </w:r>
      <w:r w:rsidR="0055346F" w:rsidRPr="0055346F">
        <w:rPr>
          <w:rFonts w:ascii="Times New Roman" w:eastAsia="Times New Roman" w:hAnsi="Times New Roman" w:cs="Times New Roman"/>
          <w:color w:val="000000"/>
          <w:sz w:val="20"/>
          <w:szCs w:val="20"/>
        </w:rPr>
        <w:t>.0%</w:t>
      </w:r>
      <w:r w:rsidR="00B12BB9">
        <w:rPr>
          <w:rFonts w:ascii="Times New Roman" w:eastAsia="Times New Roman" w:hAnsi="Times New Roman" w:cs="Times New Roman"/>
          <w:color w:val="000000"/>
          <w:sz w:val="20"/>
          <w:szCs w:val="20"/>
        </w:rPr>
        <w:t xml:space="preserve"> </w:t>
      </w:r>
      <w:r w:rsidR="0055346F" w:rsidRPr="0055346F">
        <w:rPr>
          <w:rFonts w:ascii="Times New Roman" w:eastAsia="Times New Roman" w:hAnsi="Times New Roman" w:cs="Times New Roman"/>
          <w:color w:val="000000"/>
          <w:sz w:val="20"/>
          <w:szCs w:val="20"/>
        </w:rPr>
        <w:t xml:space="preserve">discount to the public offering price. The Company granted the Representative a 45-day option to purchase up to </w:t>
      </w:r>
      <w:r w:rsidR="00FE192F">
        <w:rPr>
          <w:rFonts w:ascii="Times New Roman" w:eastAsia="Times New Roman" w:hAnsi="Times New Roman" w:cs="Times New Roman"/>
          <w:color w:val="000000"/>
          <w:sz w:val="20"/>
          <w:szCs w:val="20"/>
        </w:rPr>
        <w:t>384,000</w:t>
      </w:r>
      <w:r w:rsidR="0055346F" w:rsidRPr="0055346F">
        <w:rPr>
          <w:rFonts w:ascii="Times New Roman" w:eastAsia="Times New Roman" w:hAnsi="Times New Roman" w:cs="Times New Roman"/>
          <w:color w:val="000000"/>
          <w:sz w:val="20"/>
          <w:szCs w:val="20"/>
        </w:rPr>
        <w:t xml:space="preserve"> Shares</w:t>
      </w:r>
      <w:r w:rsidR="00FE192F">
        <w:rPr>
          <w:rFonts w:ascii="Times New Roman" w:eastAsia="Times New Roman" w:hAnsi="Times New Roman" w:cs="Times New Roman"/>
          <w:color w:val="000000"/>
          <w:sz w:val="20"/>
          <w:szCs w:val="20"/>
        </w:rPr>
        <w:t xml:space="preserve"> or pre-funded warrants</w:t>
      </w:r>
      <w:r w:rsidR="0055346F" w:rsidRPr="0055346F">
        <w:rPr>
          <w:rFonts w:ascii="Times New Roman" w:eastAsia="Times New Roman" w:hAnsi="Times New Roman" w:cs="Times New Roman"/>
          <w:color w:val="000000"/>
          <w:sz w:val="20"/>
          <w:szCs w:val="20"/>
        </w:rPr>
        <w:t xml:space="preserve"> and</w:t>
      </w:r>
      <w:r w:rsidR="00FE192F">
        <w:rPr>
          <w:rFonts w:ascii="Times New Roman" w:eastAsia="Times New Roman" w:hAnsi="Times New Roman" w:cs="Times New Roman"/>
          <w:color w:val="000000"/>
          <w:sz w:val="20"/>
          <w:szCs w:val="20"/>
        </w:rPr>
        <w:t xml:space="preserve"> up to 384,000</w:t>
      </w:r>
      <w:r w:rsidR="0055346F" w:rsidRPr="0055346F">
        <w:rPr>
          <w:rFonts w:ascii="Times New Roman" w:eastAsia="Times New Roman" w:hAnsi="Times New Roman" w:cs="Times New Roman"/>
          <w:color w:val="000000"/>
          <w:sz w:val="20"/>
          <w:szCs w:val="20"/>
        </w:rPr>
        <w:t xml:space="preserve"> Warrants </w:t>
      </w:r>
      <w:r w:rsidR="001858E3">
        <w:rPr>
          <w:rFonts w:ascii="Times New Roman" w:eastAsia="Times New Roman" w:hAnsi="Times New Roman" w:cs="Times New Roman"/>
          <w:color w:val="000000"/>
          <w:sz w:val="20"/>
          <w:szCs w:val="20"/>
        </w:rPr>
        <w:t>for</w:t>
      </w:r>
      <w:r w:rsidR="001C2135">
        <w:rPr>
          <w:rFonts w:ascii="Times New Roman" w:eastAsia="Times New Roman" w:hAnsi="Times New Roman" w:cs="Times New Roman"/>
          <w:color w:val="000000"/>
          <w:sz w:val="20"/>
          <w:szCs w:val="20"/>
        </w:rPr>
        <w:t xml:space="preserve"> </w:t>
      </w:r>
      <w:r w:rsidR="0055346F" w:rsidRPr="0055346F">
        <w:rPr>
          <w:rFonts w:ascii="Times New Roman" w:eastAsia="Times New Roman" w:hAnsi="Times New Roman" w:cs="Times New Roman"/>
          <w:color w:val="000000"/>
          <w:sz w:val="20"/>
          <w:szCs w:val="20"/>
        </w:rPr>
        <w:t>shares of Common Stock to cover over</w:t>
      </w:r>
      <w:r w:rsidR="00B12BB9">
        <w:rPr>
          <w:rFonts w:ascii="Times New Roman" w:eastAsia="Times New Roman" w:hAnsi="Times New Roman" w:cs="Times New Roman"/>
          <w:color w:val="000000"/>
          <w:sz w:val="20"/>
          <w:szCs w:val="20"/>
        </w:rPr>
        <w:t xml:space="preserve">-allotments, if any. </w:t>
      </w:r>
    </w:p>
    <w:p w14:paraId="02319534" w14:textId="1836FE0D" w:rsidR="001858E3" w:rsidRDefault="001858E3" w:rsidP="0078615D">
      <w:pPr>
        <w:spacing w:after="0" w:line="240" w:lineRule="auto"/>
        <w:ind w:firstLine="720"/>
        <w:jc w:val="both"/>
        <w:rPr>
          <w:rFonts w:ascii="Times New Roman" w:eastAsia="Times New Roman" w:hAnsi="Times New Roman" w:cs="Times New Roman"/>
          <w:color w:val="000000"/>
          <w:sz w:val="20"/>
          <w:szCs w:val="20"/>
        </w:rPr>
      </w:pPr>
    </w:p>
    <w:p w14:paraId="10BCF5B8" w14:textId="6EE6C125" w:rsidR="001858E3" w:rsidRPr="00E52674" w:rsidRDefault="00E52674" w:rsidP="0078615D">
      <w:pPr>
        <w:spacing w:after="0" w:line="240" w:lineRule="auto"/>
        <w:ind w:firstLine="720"/>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As part of the </w:t>
      </w:r>
      <w:r w:rsidR="00AE1B9B">
        <w:rPr>
          <w:rFonts w:ascii="Times New Roman" w:hAnsi="Times New Roman" w:cs="Times New Roman"/>
          <w:sz w:val="20"/>
          <w:szCs w:val="20"/>
        </w:rPr>
        <w:t>O</w:t>
      </w:r>
      <w:r>
        <w:rPr>
          <w:rFonts w:ascii="Times New Roman" w:hAnsi="Times New Roman" w:cs="Times New Roman"/>
          <w:sz w:val="20"/>
          <w:szCs w:val="20"/>
        </w:rPr>
        <w:t>ffering</w:t>
      </w:r>
      <w:r w:rsidR="00AE1B9B">
        <w:rPr>
          <w:rFonts w:ascii="Times New Roman" w:hAnsi="Times New Roman" w:cs="Times New Roman"/>
          <w:sz w:val="20"/>
          <w:szCs w:val="20"/>
        </w:rPr>
        <w:t>,</w:t>
      </w:r>
      <w:r>
        <w:rPr>
          <w:rFonts w:ascii="Times New Roman" w:hAnsi="Times New Roman" w:cs="Times New Roman"/>
          <w:sz w:val="20"/>
          <w:szCs w:val="20"/>
        </w:rPr>
        <w:t xml:space="preserve"> the Company offered, </w:t>
      </w:r>
      <w:r w:rsidRPr="00E52674">
        <w:rPr>
          <w:rFonts w:ascii="Times New Roman" w:hAnsi="Times New Roman" w:cs="Times New Roman"/>
          <w:sz w:val="20"/>
          <w:szCs w:val="20"/>
        </w:rPr>
        <w:t xml:space="preserve">with respect to the purchase of Units that would otherwise result in the purchaser’s beneficial ownership exceeding 4.99% of our outstanding </w:t>
      </w:r>
      <w:r w:rsidR="00EE21B1">
        <w:rPr>
          <w:rFonts w:ascii="Times New Roman" w:hAnsi="Times New Roman" w:cs="Times New Roman"/>
          <w:sz w:val="20"/>
          <w:szCs w:val="20"/>
        </w:rPr>
        <w:t>shares of Common Stock</w:t>
      </w:r>
      <w:r w:rsidRPr="00E52674">
        <w:rPr>
          <w:rFonts w:ascii="Times New Roman" w:hAnsi="Times New Roman" w:cs="Times New Roman"/>
          <w:sz w:val="20"/>
          <w:szCs w:val="20"/>
        </w:rPr>
        <w:t xml:space="preserve"> immediately foll</w:t>
      </w:r>
      <w:r w:rsidR="002D20A7">
        <w:rPr>
          <w:rFonts w:ascii="Times New Roman" w:hAnsi="Times New Roman" w:cs="Times New Roman"/>
          <w:sz w:val="20"/>
          <w:szCs w:val="20"/>
        </w:rPr>
        <w:t>owing the consummation of this O</w:t>
      </w:r>
      <w:r w:rsidRPr="00E52674">
        <w:rPr>
          <w:rFonts w:ascii="Times New Roman" w:hAnsi="Times New Roman" w:cs="Times New Roman"/>
          <w:sz w:val="20"/>
          <w:szCs w:val="20"/>
        </w:rPr>
        <w:t>ffering, the opportunity to purchase Units including one pr</w:t>
      </w:r>
      <w:r w:rsidR="0078615D">
        <w:rPr>
          <w:rFonts w:ascii="Times New Roman" w:hAnsi="Times New Roman" w:cs="Times New Roman"/>
          <w:sz w:val="20"/>
          <w:szCs w:val="20"/>
        </w:rPr>
        <w:t xml:space="preserve">e-funded warrant in lieu of one </w:t>
      </w:r>
      <w:r w:rsidRPr="00E52674">
        <w:rPr>
          <w:rFonts w:ascii="Times New Roman" w:hAnsi="Times New Roman" w:cs="Times New Roman"/>
          <w:sz w:val="20"/>
          <w:szCs w:val="20"/>
        </w:rPr>
        <w:t xml:space="preserve">share of common stock in the Unit. Subject to limited exceptions, a holder of pre-funded warrants will not have the right to exercise any portion of its pre-funded warrants if the holder, together with its affiliates, would beneficially own in excess of 4.99% (or, at the election of the holder, such limit may be increased to up to 9.99%) of the number of shares outstanding immediately after giving effect to such exercise. Each pre-funded warrant will be exercisable for one share of common stock. The purchase price of each Unit including a pre-funded warrant will be equal to </w:t>
      </w:r>
      <w:r>
        <w:rPr>
          <w:rFonts w:ascii="Times New Roman" w:hAnsi="Times New Roman" w:cs="Times New Roman"/>
          <w:sz w:val="20"/>
          <w:szCs w:val="20"/>
        </w:rPr>
        <w:t>$</w:t>
      </w:r>
      <w:r w:rsidR="00FE192F">
        <w:rPr>
          <w:rFonts w:ascii="Times New Roman" w:hAnsi="Times New Roman" w:cs="Times New Roman"/>
          <w:sz w:val="20"/>
          <w:szCs w:val="20"/>
        </w:rPr>
        <w:t>4.99</w:t>
      </w:r>
      <w:r>
        <w:rPr>
          <w:rFonts w:ascii="Times New Roman" w:hAnsi="Times New Roman" w:cs="Times New Roman"/>
          <w:sz w:val="20"/>
          <w:szCs w:val="20"/>
        </w:rPr>
        <w:t xml:space="preserve">, </w:t>
      </w:r>
      <w:r w:rsidRPr="00E52674">
        <w:rPr>
          <w:rFonts w:ascii="Times New Roman" w:hAnsi="Times New Roman" w:cs="Times New Roman"/>
          <w:sz w:val="20"/>
          <w:szCs w:val="20"/>
        </w:rPr>
        <w:t xml:space="preserve">the price per Unit including one </w:t>
      </w:r>
      <w:r w:rsidR="00EE21B1">
        <w:rPr>
          <w:rFonts w:ascii="Times New Roman" w:hAnsi="Times New Roman" w:cs="Times New Roman"/>
          <w:sz w:val="20"/>
          <w:szCs w:val="20"/>
        </w:rPr>
        <w:t>Share</w:t>
      </w:r>
      <w:r w:rsidRPr="00E52674">
        <w:rPr>
          <w:rFonts w:ascii="Times New Roman" w:hAnsi="Times New Roman" w:cs="Times New Roman"/>
          <w:sz w:val="20"/>
          <w:szCs w:val="20"/>
        </w:rPr>
        <w:t xml:space="preserve">, minus $0.01, and the remaining exercise price of each pre-funded warrant will equal $0.01 per share. The pre-funded warrants will be immediately exercisable and may be exercised at any time until all of the pre-funded warrants are exercised in full. For each Unit including a pre-funded warrant we sell (without regard to any limitation on exercise set forth therein), the number of Units including a </w:t>
      </w:r>
      <w:r w:rsidR="00EE21B1">
        <w:rPr>
          <w:rFonts w:ascii="Times New Roman" w:hAnsi="Times New Roman" w:cs="Times New Roman"/>
          <w:sz w:val="20"/>
          <w:szCs w:val="20"/>
        </w:rPr>
        <w:t>Share</w:t>
      </w:r>
      <w:r w:rsidRPr="00E52674">
        <w:rPr>
          <w:rFonts w:ascii="Times New Roman" w:hAnsi="Times New Roman" w:cs="Times New Roman"/>
          <w:sz w:val="20"/>
          <w:szCs w:val="20"/>
        </w:rPr>
        <w:t xml:space="preserve"> we are offering will be dec</w:t>
      </w:r>
      <w:r w:rsidR="002D20A7">
        <w:rPr>
          <w:rFonts w:ascii="Times New Roman" w:hAnsi="Times New Roman" w:cs="Times New Roman"/>
          <w:sz w:val="20"/>
          <w:szCs w:val="20"/>
        </w:rPr>
        <w:t xml:space="preserve">reased on a one-for-one basis.  </w:t>
      </w:r>
    </w:p>
    <w:p w14:paraId="047C7DFA" w14:textId="77777777" w:rsidR="001858E3" w:rsidRDefault="001858E3" w:rsidP="0078615D">
      <w:pPr>
        <w:spacing w:after="0" w:line="240" w:lineRule="auto"/>
        <w:ind w:firstLine="720"/>
        <w:jc w:val="both"/>
        <w:rPr>
          <w:rFonts w:ascii="Times New Roman" w:eastAsia="Times New Roman" w:hAnsi="Times New Roman" w:cs="Times New Roman"/>
          <w:color w:val="000000"/>
          <w:sz w:val="20"/>
          <w:szCs w:val="20"/>
        </w:rPr>
      </w:pPr>
    </w:p>
    <w:p w14:paraId="5C9A3EB5" w14:textId="5E22853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gross proceeds from the Offering are </w:t>
      </w:r>
      <w:r w:rsidR="00EE21B1">
        <w:rPr>
          <w:rFonts w:ascii="Times New Roman" w:eastAsia="Times New Roman" w:hAnsi="Times New Roman" w:cs="Times New Roman"/>
          <w:color w:val="000000"/>
          <w:sz w:val="20"/>
          <w:szCs w:val="20"/>
        </w:rPr>
        <w:t xml:space="preserve">expected to be </w:t>
      </w:r>
      <w:r w:rsidRPr="0055346F">
        <w:rPr>
          <w:rFonts w:ascii="Times New Roman" w:eastAsia="Times New Roman" w:hAnsi="Times New Roman" w:cs="Times New Roman"/>
          <w:color w:val="000000"/>
          <w:sz w:val="20"/>
          <w:szCs w:val="20"/>
        </w:rPr>
        <w:t>approximately $</w:t>
      </w:r>
      <w:r w:rsidR="00FE192F">
        <w:rPr>
          <w:rFonts w:ascii="Times New Roman" w:eastAsia="Times New Roman" w:hAnsi="Times New Roman" w:cs="Times New Roman"/>
          <w:color w:val="000000"/>
          <w:sz w:val="20"/>
          <w:szCs w:val="20"/>
        </w:rPr>
        <w:t>12.8</w:t>
      </w:r>
      <w:r w:rsidRPr="0055346F">
        <w:rPr>
          <w:rFonts w:ascii="Times New Roman" w:eastAsia="Times New Roman" w:hAnsi="Times New Roman" w:cs="Times New Roman"/>
          <w:color w:val="000000"/>
          <w:sz w:val="20"/>
          <w:szCs w:val="20"/>
        </w:rPr>
        <w:t xml:space="preserve"> million, or approximately $</w:t>
      </w:r>
      <w:r w:rsidR="00FE192F">
        <w:rPr>
          <w:rFonts w:ascii="Times New Roman" w:eastAsia="Times New Roman" w:hAnsi="Times New Roman" w:cs="Times New Roman"/>
          <w:color w:val="000000"/>
          <w:sz w:val="20"/>
          <w:szCs w:val="20"/>
        </w:rPr>
        <w:t>14.72</w:t>
      </w:r>
      <w:r w:rsidRPr="0055346F">
        <w:rPr>
          <w:rFonts w:ascii="Times New Roman" w:eastAsia="Times New Roman" w:hAnsi="Times New Roman" w:cs="Times New Roman"/>
          <w:color w:val="000000"/>
          <w:sz w:val="20"/>
          <w:szCs w:val="20"/>
        </w:rPr>
        <w:t xml:space="preserve"> million if the Representative exercises in full its over-allotment option, before deducting underwriting discounts and commissio</w:t>
      </w:r>
      <w:r w:rsidR="00FE192F">
        <w:rPr>
          <w:rFonts w:ascii="Times New Roman" w:eastAsia="Times New Roman" w:hAnsi="Times New Roman" w:cs="Times New Roman"/>
          <w:color w:val="000000"/>
          <w:sz w:val="20"/>
          <w:szCs w:val="20"/>
        </w:rPr>
        <w:t>ns and other offering expenses.</w:t>
      </w:r>
    </w:p>
    <w:p w14:paraId="246498B2"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4242B091" w14:textId="1A77CBF5"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Pursuant to the Underwriting Agreement, the Company agreed to issue to the Representative, as a portion of the underwriting compensation payable to the Representative, warrants to purchase up to a total of </w:t>
      </w:r>
      <w:r w:rsidR="00FE192F">
        <w:rPr>
          <w:rFonts w:ascii="Times New Roman" w:eastAsia="Times New Roman" w:hAnsi="Times New Roman" w:cs="Times New Roman"/>
          <w:color w:val="000000"/>
          <w:sz w:val="20"/>
          <w:szCs w:val="20"/>
        </w:rPr>
        <w:t>128,000</w:t>
      </w:r>
      <w:r w:rsidRPr="0055346F">
        <w:rPr>
          <w:rFonts w:ascii="Times New Roman" w:eastAsia="Times New Roman" w:hAnsi="Times New Roman" w:cs="Times New Roman"/>
          <w:color w:val="000000"/>
          <w:sz w:val="20"/>
          <w:szCs w:val="20"/>
        </w:rPr>
        <w:t xml:space="preserve"> shares of Common Stock (the “Representative’s Warrants”). The Representative’s Warrants are exercisable at $</w:t>
      </w:r>
      <w:r w:rsidR="00FE192F">
        <w:rPr>
          <w:rFonts w:ascii="Times New Roman" w:eastAsia="Times New Roman" w:hAnsi="Times New Roman" w:cs="Times New Roman"/>
          <w:color w:val="000000"/>
          <w:sz w:val="20"/>
          <w:szCs w:val="20"/>
        </w:rPr>
        <w:t>5.50</w:t>
      </w:r>
      <w:r w:rsidRPr="0055346F">
        <w:rPr>
          <w:rFonts w:ascii="Times New Roman" w:eastAsia="Times New Roman" w:hAnsi="Times New Roman" w:cs="Times New Roman"/>
          <w:color w:val="000000"/>
          <w:sz w:val="20"/>
          <w:szCs w:val="20"/>
        </w:rPr>
        <w:t xml:space="preserve"> per share, are initially exercisable 180 days after the effective date of the Offering and have a term of three years from their initial exercise date. Pursuant to the customary FINRA rules, the Representative’s Warrants are subject to a lock-up agreement pursuant to which the Representative will not sell, transfer, assign, pledge, or hypothecate these warrants or the securities underlying these warrants, nor will it engage in any hedging, short sale, derivative, put, or call transaction that would result in the effective economic disposition of the warrants or the underlying securities for a period of 180 days from the effective date of the registration statement.</w:t>
      </w:r>
    </w:p>
    <w:p w14:paraId="137C8498"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lastRenderedPageBreak/>
        <w:t> </w:t>
      </w:r>
    </w:p>
    <w:p w14:paraId="2AF76D7F" w14:textId="4D98BF26"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E95465">
        <w:rPr>
          <w:rFonts w:ascii="Times New Roman" w:eastAsia="Times New Roman" w:hAnsi="Times New Roman" w:cs="Times New Roman"/>
          <w:color w:val="000000"/>
          <w:sz w:val="20"/>
          <w:szCs w:val="20"/>
        </w:rPr>
        <w:t>Pursuant to the Underwriting Agreement, the Company also granted the</w:t>
      </w:r>
      <w:r w:rsidR="00E95465" w:rsidRPr="00E95465">
        <w:rPr>
          <w:rFonts w:ascii="Times New Roman" w:eastAsia="Times New Roman" w:hAnsi="Times New Roman" w:cs="Times New Roman"/>
          <w:color w:val="000000"/>
          <w:sz w:val="20"/>
          <w:szCs w:val="20"/>
        </w:rPr>
        <w:t xml:space="preserve"> </w:t>
      </w:r>
      <w:r w:rsidR="00855367">
        <w:rPr>
          <w:rFonts w:ascii="Times New Roman" w:eastAsia="Times New Roman" w:hAnsi="Times New Roman" w:cs="Times New Roman"/>
          <w:color w:val="000000"/>
          <w:sz w:val="20"/>
          <w:szCs w:val="20"/>
        </w:rPr>
        <w:t>underwriters</w:t>
      </w:r>
      <w:r w:rsidR="00855367"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a right of f</w:t>
      </w:r>
      <w:r w:rsidR="00F56354">
        <w:rPr>
          <w:rFonts w:ascii="Times New Roman" w:eastAsia="Times New Roman" w:hAnsi="Times New Roman" w:cs="Times New Roman"/>
          <w:color w:val="000000"/>
          <w:sz w:val="20"/>
          <w:szCs w:val="20"/>
        </w:rPr>
        <w:t>irst refusal, for a period of 18</w:t>
      </w:r>
      <w:r w:rsidRPr="0055346F">
        <w:rPr>
          <w:rFonts w:ascii="Times New Roman" w:eastAsia="Times New Roman" w:hAnsi="Times New Roman" w:cs="Times New Roman"/>
          <w:color w:val="000000"/>
          <w:sz w:val="20"/>
          <w:szCs w:val="20"/>
        </w:rPr>
        <w:t xml:space="preserve"> months from the commencement of the Offering, to act as lead managing underwriter and book-runner </w:t>
      </w:r>
      <w:r w:rsidR="00214FD8" w:rsidRPr="00214FD8">
        <w:rPr>
          <w:rFonts w:ascii="Times New Roman" w:eastAsia="Times New Roman" w:hAnsi="Times New Roman" w:cs="Times New Roman"/>
          <w:color w:val="000000"/>
          <w:sz w:val="20"/>
          <w:szCs w:val="20"/>
        </w:rPr>
        <w:t>or minimally as co-lead manager and co-book runner and/or co-lead placement agent at each of the underwriter’s discretion,</w:t>
      </w:r>
      <w:r w:rsidR="00214FD8" w:rsidRPr="00214FD8" w:rsidDel="00214FD8">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for </w:t>
      </w:r>
      <w:r w:rsidR="00214FD8" w:rsidRPr="00214FD8">
        <w:rPr>
          <w:rFonts w:ascii="Times New Roman" w:eastAsia="Times New Roman" w:hAnsi="Times New Roman" w:cs="Times New Roman"/>
          <w:color w:val="000000"/>
          <w:sz w:val="20"/>
          <w:szCs w:val="20"/>
        </w:rPr>
        <w:t>each and every</w:t>
      </w:r>
      <w:r w:rsidRPr="0055346F">
        <w:rPr>
          <w:rFonts w:ascii="Times New Roman" w:eastAsia="Times New Roman" w:hAnsi="Times New Roman" w:cs="Times New Roman"/>
          <w:color w:val="000000"/>
          <w:sz w:val="20"/>
          <w:szCs w:val="20"/>
        </w:rPr>
        <w:t xml:space="preserve"> future public </w:t>
      </w:r>
      <w:r w:rsidR="00214FD8">
        <w:rPr>
          <w:rFonts w:ascii="Times New Roman" w:eastAsia="Times New Roman" w:hAnsi="Times New Roman" w:cs="Times New Roman"/>
          <w:color w:val="000000"/>
          <w:sz w:val="20"/>
          <w:szCs w:val="20"/>
        </w:rPr>
        <w:t>and</w:t>
      </w:r>
      <w:r w:rsidRPr="0055346F">
        <w:rPr>
          <w:rFonts w:ascii="Times New Roman" w:eastAsia="Times New Roman" w:hAnsi="Times New Roman" w:cs="Times New Roman"/>
          <w:color w:val="000000"/>
          <w:sz w:val="20"/>
          <w:szCs w:val="20"/>
        </w:rPr>
        <w:t xml:space="preserve"> private equity, equity-linked or debt (excluding commercial bank debt) offering</w:t>
      </w:r>
      <w:r w:rsidR="00214FD8">
        <w:rPr>
          <w:rFonts w:ascii="Times New Roman" w:eastAsia="Times New Roman" w:hAnsi="Times New Roman" w:cs="Times New Roman"/>
          <w:color w:val="000000"/>
          <w:sz w:val="20"/>
          <w:szCs w:val="20"/>
        </w:rPr>
        <w:t>, including all equity linked financings</w:t>
      </w:r>
      <w:r w:rsidRPr="0055346F">
        <w:rPr>
          <w:rFonts w:ascii="Times New Roman" w:eastAsia="Times New Roman" w:hAnsi="Times New Roman" w:cs="Times New Roman"/>
          <w:color w:val="000000"/>
          <w:sz w:val="20"/>
          <w:szCs w:val="20"/>
        </w:rPr>
        <w:t xml:space="preserve"> undertaken during such period by the Company, or any of the Company’s successors or subsidiaries, </w:t>
      </w:r>
      <w:r w:rsidR="00F56354" w:rsidRPr="000F767A">
        <w:rPr>
          <w:rFonts w:ascii="Times New Roman" w:eastAsia="Times New Roman" w:hAnsi="Times New Roman" w:cs="Times New Roman"/>
          <w:color w:val="000000"/>
          <w:sz w:val="20"/>
          <w:szCs w:val="20"/>
        </w:rPr>
        <w:t>but excluding the private placement fund-raising efforts of Immutak Oncology, Inc.</w:t>
      </w:r>
      <w:r w:rsidR="00214FD8">
        <w:rPr>
          <w:rFonts w:ascii="Times New Roman" w:eastAsia="Times New Roman" w:hAnsi="Times New Roman" w:cs="Times New Roman"/>
          <w:color w:val="000000"/>
          <w:sz w:val="20"/>
          <w:szCs w:val="20"/>
        </w:rPr>
        <w:t xml:space="preserve"> </w:t>
      </w:r>
      <w:r w:rsidR="00214FD8" w:rsidRPr="00214FD8">
        <w:rPr>
          <w:rFonts w:ascii="Times New Roman" w:eastAsia="Times New Roman" w:hAnsi="Times New Roman" w:cs="Times New Roman"/>
          <w:color w:val="000000"/>
          <w:sz w:val="20"/>
          <w:szCs w:val="20"/>
        </w:rPr>
        <w:t>In the event that both underwriters exercise their respective right of first refusal as to the same public equity offering, the economic participation between</w:t>
      </w:r>
      <w:r w:rsidR="000E30C4">
        <w:rPr>
          <w:rFonts w:ascii="Times New Roman" w:eastAsia="Times New Roman" w:hAnsi="Times New Roman" w:cs="Times New Roman"/>
          <w:color w:val="000000"/>
          <w:sz w:val="20"/>
          <w:szCs w:val="20"/>
        </w:rPr>
        <w:t xml:space="preserve"> the Representative</w:t>
      </w:r>
      <w:r w:rsidR="00214FD8" w:rsidRPr="00214FD8">
        <w:rPr>
          <w:rFonts w:ascii="Times New Roman" w:eastAsia="Times New Roman" w:hAnsi="Times New Roman" w:cs="Times New Roman"/>
          <w:color w:val="000000"/>
          <w:sz w:val="20"/>
          <w:szCs w:val="20"/>
        </w:rPr>
        <w:t xml:space="preserve"> and Joseph Gunnar</w:t>
      </w:r>
      <w:r w:rsidR="000E30C4">
        <w:rPr>
          <w:rFonts w:ascii="Times New Roman" w:eastAsia="Times New Roman" w:hAnsi="Times New Roman" w:cs="Times New Roman"/>
          <w:color w:val="000000"/>
          <w:sz w:val="20"/>
          <w:szCs w:val="20"/>
        </w:rPr>
        <w:t xml:space="preserve"> &amp; Co., LLC (“Joseph Gunnar”)</w:t>
      </w:r>
      <w:r w:rsidR="00214FD8" w:rsidRPr="00214FD8">
        <w:rPr>
          <w:rFonts w:ascii="Times New Roman" w:eastAsia="Times New Roman" w:hAnsi="Times New Roman" w:cs="Times New Roman"/>
          <w:color w:val="000000"/>
          <w:sz w:val="20"/>
          <w:szCs w:val="20"/>
        </w:rPr>
        <w:t xml:space="preserve"> for this right of fir</w:t>
      </w:r>
      <w:r w:rsidR="00FE192F">
        <w:rPr>
          <w:rFonts w:ascii="Times New Roman" w:eastAsia="Times New Roman" w:hAnsi="Times New Roman" w:cs="Times New Roman"/>
          <w:color w:val="000000"/>
          <w:sz w:val="20"/>
          <w:szCs w:val="20"/>
        </w:rPr>
        <w:t xml:space="preserve">st refusal shall be 75% to </w:t>
      </w:r>
      <w:r w:rsidR="000E30C4">
        <w:rPr>
          <w:rFonts w:ascii="Times New Roman" w:eastAsia="Times New Roman" w:hAnsi="Times New Roman" w:cs="Times New Roman"/>
          <w:color w:val="000000"/>
          <w:sz w:val="20"/>
          <w:szCs w:val="20"/>
        </w:rPr>
        <w:t>the Representative</w:t>
      </w:r>
      <w:r w:rsidR="00FE192F">
        <w:rPr>
          <w:rFonts w:ascii="Times New Roman" w:eastAsia="Times New Roman" w:hAnsi="Times New Roman" w:cs="Times New Roman"/>
          <w:color w:val="000000"/>
          <w:sz w:val="20"/>
          <w:szCs w:val="20"/>
        </w:rPr>
        <w:t xml:space="preserve"> and 25</w:t>
      </w:r>
      <w:r w:rsidR="00214FD8" w:rsidRPr="00214FD8">
        <w:rPr>
          <w:rFonts w:ascii="Times New Roman" w:eastAsia="Times New Roman" w:hAnsi="Times New Roman" w:cs="Times New Roman"/>
          <w:color w:val="000000"/>
          <w:sz w:val="20"/>
          <w:szCs w:val="20"/>
        </w:rPr>
        <w:t>% to Joseph Gunnar.</w:t>
      </w:r>
      <w:r w:rsidR="00214FD8">
        <w:rPr>
          <w:rFonts w:ascii="Times New Roman" w:eastAsia="Times New Roman" w:hAnsi="Times New Roman" w:cs="Times New Roman"/>
          <w:color w:val="000000"/>
          <w:sz w:val="20"/>
          <w:szCs w:val="20"/>
        </w:rPr>
        <w:t xml:space="preserve">  </w:t>
      </w:r>
      <w:r w:rsidR="00214FD8" w:rsidRPr="00214FD8">
        <w:rPr>
          <w:rFonts w:ascii="Times New Roman" w:eastAsia="Times New Roman" w:hAnsi="Times New Roman" w:cs="Times New Roman"/>
          <w:color w:val="000000"/>
          <w:sz w:val="20"/>
          <w:szCs w:val="20"/>
        </w:rPr>
        <w:t xml:space="preserve">In addition, </w:t>
      </w:r>
      <w:r w:rsidR="00214FD8">
        <w:rPr>
          <w:rFonts w:ascii="Times New Roman" w:eastAsia="Times New Roman" w:hAnsi="Times New Roman" w:cs="Times New Roman"/>
          <w:color w:val="000000"/>
          <w:sz w:val="20"/>
          <w:szCs w:val="20"/>
        </w:rPr>
        <w:t>the Company</w:t>
      </w:r>
      <w:r w:rsidR="00214FD8" w:rsidRPr="00214FD8">
        <w:rPr>
          <w:rFonts w:ascii="Times New Roman" w:eastAsia="Times New Roman" w:hAnsi="Times New Roman" w:cs="Times New Roman"/>
          <w:color w:val="000000"/>
          <w:sz w:val="20"/>
          <w:szCs w:val="20"/>
        </w:rPr>
        <w:t xml:space="preserve"> also agreed to pay the underwriters an aggregate cash fee of 8% in the event investors previously directly introduced to the Company by such parties provide capital, including, but not limited to, via any exercise of the warrants or overallotment warrant</w:t>
      </w:r>
      <w:r w:rsidR="00214FD8">
        <w:rPr>
          <w:rFonts w:ascii="Times New Roman" w:eastAsia="Times New Roman" w:hAnsi="Times New Roman" w:cs="Times New Roman"/>
          <w:color w:val="000000"/>
          <w:sz w:val="20"/>
          <w:szCs w:val="20"/>
        </w:rPr>
        <w:t>s (if any) issued in this O</w:t>
      </w:r>
      <w:r w:rsidR="00214FD8" w:rsidRPr="00214FD8">
        <w:rPr>
          <w:rFonts w:ascii="Times New Roman" w:eastAsia="Times New Roman" w:hAnsi="Times New Roman" w:cs="Times New Roman"/>
          <w:color w:val="000000"/>
          <w:sz w:val="20"/>
          <w:szCs w:val="20"/>
        </w:rPr>
        <w:t xml:space="preserve">ffering to the Company during the period commencing 91 days following the closing of the </w:t>
      </w:r>
      <w:r w:rsidR="00EE21B1">
        <w:rPr>
          <w:rFonts w:ascii="Times New Roman" w:eastAsia="Times New Roman" w:hAnsi="Times New Roman" w:cs="Times New Roman"/>
          <w:color w:val="000000"/>
          <w:sz w:val="20"/>
          <w:szCs w:val="20"/>
        </w:rPr>
        <w:t>O</w:t>
      </w:r>
      <w:r w:rsidR="00EE21B1" w:rsidRPr="00214FD8">
        <w:rPr>
          <w:rFonts w:ascii="Times New Roman" w:eastAsia="Times New Roman" w:hAnsi="Times New Roman" w:cs="Times New Roman"/>
          <w:color w:val="000000"/>
          <w:sz w:val="20"/>
          <w:szCs w:val="20"/>
        </w:rPr>
        <w:t xml:space="preserve">ffering </w:t>
      </w:r>
      <w:r w:rsidR="00214FD8" w:rsidRPr="00214FD8">
        <w:rPr>
          <w:rFonts w:ascii="Times New Roman" w:eastAsia="Times New Roman" w:hAnsi="Times New Roman" w:cs="Times New Roman"/>
          <w:color w:val="000000"/>
          <w:sz w:val="20"/>
          <w:szCs w:val="20"/>
        </w:rPr>
        <w:t xml:space="preserve">and continuing for a period of </w:t>
      </w:r>
      <w:r w:rsidR="000E30C4">
        <w:rPr>
          <w:rFonts w:ascii="Times New Roman" w:eastAsia="Times New Roman" w:hAnsi="Times New Roman" w:cs="Times New Roman"/>
          <w:color w:val="000000"/>
          <w:sz w:val="20"/>
          <w:szCs w:val="20"/>
        </w:rPr>
        <w:t>15</w:t>
      </w:r>
      <w:r w:rsidR="000E30C4" w:rsidRPr="00214FD8">
        <w:rPr>
          <w:rFonts w:ascii="Times New Roman" w:eastAsia="Times New Roman" w:hAnsi="Times New Roman" w:cs="Times New Roman"/>
          <w:color w:val="000000"/>
          <w:sz w:val="20"/>
          <w:szCs w:val="20"/>
        </w:rPr>
        <w:t xml:space="preserve"> </w:t>
      </w:r>
      <w:r w:rsidR="00214FD8" w:rsidRPr="00214FD8">
        <w:rPr>
          <w:rFonts w:ascii="Times New Roman" w:eastAsia="Times New Roman" w:hAnsi="Times New Roman" w:cs="Times New Roman"/>
          <w:color w:val="000000"/>
          <w:sz w:val="20"/>
          <w:szCs w:val="20"/>
        </w:rPr>
        <w:t>months thereafter.</w:t>
      </w:r>
    </w:p>
    <w:p w14:paraId="71307667"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6B3B4261" w14:textId="02E4F0A6"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The Shares</w:t>
      </w:r>
      <w:r w:rsidR="001C39AE">
        <w:rPr>
          <w:rFonts w:ascii="Times New Roman" w:eastAsia="Times New Roman" w:hAnsi="Times New Roman" w:cs="Times New Roman"/>
          <w:color w:val="000000"/>
          <w:sz w:val="20"/>
          <w:szCs w:val="20"/>
        </w:rPr>
        <w:t>, pre-funded warrants,</w:t>
      </w:r>
      <w:r w:rsidRPr="0055346F">
        <w:rPr>
          <w:rFonts w:ascii="Times New Roman" w:eastAsia="Times New Roman" w:hAnsi="Times New Roman" w:cs="Times New Roman"/>
          <w:color w:val="000000"/>
          <w:sz w:val="20"/>
          <w:szCs w:val="20"/>
        </w:rPr>
        <w:t xml:space="preserve"> and Warrants </w:t>
      </w:r>
      <w:r w:rsidR="001C39AE">
        <w:rPr>
          <w:rFonts w:ascii="Times New Roman" w:eastAsia="Times New Roman" w:hAnsi="Times New Roman" w:cs="Times New Roman"/>
          <w:color w:val="000000"/>
          <w:sz w:val="20"/>
          <w:szCs w:val="20"/>
        </w:rPr>
        <w:t>will be</w:t>
      </w:r>
      <w:r w:rsidR="001C39AE"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issued pursuant to the Company’s registrat</w:t>
      </w:r>
      <w:r w:rsidR="003C7D73">
        <w:rPr>
          <w:rFonts w:ascii="Times New Roman" w:eastAsia="Times New Roman" w:hAnsi="Times New Roman" w:cs="Times New Roman"/>
          <w:color w:val="000000"/>
          <w:sz w:val="20"/>
          <w:szCs w:val="20"/>
        </w:rPr>
        <w:t>ion statement on Form S-1 (File No. 333-239958</w:t>
      </w:r>
      <w:r w:rsidRPr="0055346F">
        <w:rPr>
          <w:rFonts w:ascii="Times New Roman" w:eastAsia="Times New Roman" w:hAnsi="Times New Roman" w:cs="Times New Roman"/>
          <w:color w:val="000000"/>
          <w:sz w:val="20"/>
          <w:szCs w:val="20"/>
        </w:rPr>
        <w:t xml:space="preserve">), filed by the Company with the Securities and Exchange Commission (the “Commission”) on </w:t>
      </w:r>
      <w:r w:rsidR="003C7D73">
        <w:rPr>
          <w:rFonts w:ascii="Times New Roman" w:eastAsia="Times New Roman" w:hAnsi="Times New Roman" w:cs="Times New Roman"/>
          <w:color w:val="000000"/>
          <w:sz w:val="20"/>
          <w:szCs w:val="20"/>
        </w:rPr>
        <w:t>July 20, 2020</w:t>
      </w:r>
      <w:r w:rsidRPr="0055346F">
        <w:rPr>
          <w:rFonts w:ascii="Times New Roman" w:eastAsia="Times New Roman" w:hAnsi="Times New Roman" w:cs="Times New Roman"/>
          <w:color w:val="000000"/>
          <w:sz w:val="20"/>
          <w:szCs w:val="20"/>
        </w:rPr>
        <w:t xml:space="preserve">, as amended, which was declared effective on </w:t>
      </w:r>
      <w:r w:rsidR="00214FD8">
        <w:rPr>
          <w:rFonts w:ascii="Times New Roman" w:eastAsia="Times New Roman" w:hAnsi="Times New Roman" w:cs="Times New Roman"/>
          <w:color w:val="000000"/>
          <w:sz w:val="20"/>
          <w:szCs w:val="20"/>
        </w:rPr>
        <w:t xml:space="preserve">September </w:t>
      </w:r>
      <w:r w:rsidR="00E95465">
        <w:rPr>
          <w:rFonts w:ascii="Times New Roman" w:eastAsia="Times New Roman" w:hAnsi="Times New Roman" w:cs="Times New Roman"/>
          <w:color w:val="000000"/>
          <w:sz w:val="20"/>
          <w:szCs w:val="20"/>
        </w:rPr>
        <w:t>24</w:t>
      </w:r>
      <w:r w:rsidR="003C7D73">
        <w:rPr>
          <w:rFonts w:ascii="Times New Roman" w:eastAsia="Times New Roman" w:hAnsi="Times New Roman" w:cs="Times New Roman"/>
          <w:color w:val="000000"/>
          <w:sz w:val="20"/>
          <w:szCs w:val="20"/>
        </w:rPr>
        <w:t xml:space="preserve">, 2020. </w:t>
      </w:r>
      <w:r w:rsidR="00EE21B1" w:rsidRPr="00EE21B1">
        <w:rPr>
          <w:rFonts w:ascii="Times New Roman" w:eastAsia="Times New Roman" w:hAnsi="Times New Roman" w:cs="Times New Roman"/>
          <w:color w:val="000000"/>
          <w:sz w:val="20"/>
          <w:szCs w:val="20"/>
        </w:rPr>
        <w:t xml:space="preserve">The Offering is expected to close on </w:t>
      </w:r>
      <w:r w:rsidR="00EE21B1">
        <w:rPr>
          <w:rFonts w:ascii="Times New Roman" w:eastAsia="Times New Roman" w:hAnsi="Times New Roman" w:cs="Times New Roman"/>
          <w:color w:val="000000"/>
          <w:sz w:val="20"/>
          <w:szCs w:val="20"/>
        </w:rPr>
        <w:t>September</w:t>
      </w:r>
      <w:r w:rsidR="00EE21B1" w:rsidRPr="00EE21B1">
        <w:rPr>
          <w:rFonts w:ascii="Times New Roman" w:eastAsia="Times New Roman" w:hAnsi="Times New Roman" w:cs="Times New Roman"/>
          <w:color w:val="000000"/>
          <w:sz w:val="20"/>
          <w:szCs w:val="20"/>
        </w:rPr>
        <w:t xml:space="preserve"> </w:t>
      </w:r>
      <w:r w:rsidR="00EE21B1">
        <w:rPr>
          <w:rFonts w:ascii="Times New Roman" w:eastAsia="Times New Roman" w:hAnsi="Times New Roman" w:cs="Times New Roman"/>
          <w:color w:val="000000"/>
          <w:sz w:val="20"/>
          <w:szCs w:val="20"/>
        </w:rPr>
        <w:t>29</w:t>
      </w:r>
      <w:r w:rsidR="00EE21B1" w:rsidRPr="00EE21B1">
        <w:rPr>
          <w:rFonts w:ascii="Times New Roman" w:eastAsia="Times New Roman" w:hAnsi="Times New Roman" w:cs="Times New Roman"/>
          <w:color w:val="000000"/>
          <w:sz w:val="20"/>
          <w:szCs w:val="20"/>
        </w:rPr>
        <w:t>, 20</w:t>
      </w:r>
      <w:r w:rsidR="00EE21B1">
        <w:rPr>
          <w:rFonts w:ascii="Times New Roman" w:eastAsia="Times New Roman" w:hAnsi="Times New Roman" w:cs="Times New Roman"/>
          <w:color w:val="000000"/>
          <w:sz w:val="20"/>
          <w:szCs w:val="20"/>
        </w:rPr>
        <w:t>20</w:t>
      </w:r>
      <w:r w:rsidR="00EE21B1" w:rsidRPr="00EE21B1">
        <w:rPr>
          <w:rFonts w:ascii="Times New Roman" w:eastAsia="Times New Roman" w:hAnsi="Times New Roman" w:cs="Times New Roman"/>
          <w:color w:val="000000"/>
          <w:sz w:val="20"/>
          <w:szCs w:val="20"/>
        </w:rPr>
        <w:t>, subject to the satisfaction of customary closing conditions</w:t>
      </w:r>
      <w:r w:rsidRPr="0055346F">
        <w:rPr>
          <w:rFonts w:ascii="Times New Roman" w:eastAsia="Times New Roman" w:hAnsi="Times New Roman" w:cs="Times New Roman"/>
          <w:color w:val="000000"/>
          <w:sz w:val="20"/>
          <w:szCs w:val="20"/>
        </w:rPr>
        <w:t>.</w:t>
      </w:r>
    </w:p>
    <w:p w14:paraId="5B6E71E8"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3714B610"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The Underwriting Agreement contains customary representations, warranties, and covenants by the Company and customary conditions to closing, obligations of the parties and termination provisions. Additionally, under the terms of the Underwriting Agreement, the Company has agreed to indemnify the underwriters for losses, expenses and damages arising out of or in connection with the Offering, including for liabilities under the Securities Act of 1933, as amended (the “Securities Act”), or contribute to payments the underwriters may be required to make with respect to these liabilities.</w:t>
      </w:r>
    </w:p>
    <w:p w14:paraId="3099430E" w14:textId="77777777" w:rsidR="0055346F" w:rsidRPr="0055346F"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606A5DCE" w14:textId="65F35FEE" w:rsidR="0085717D" w:rsidRDefault="0055346F"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Pursuant to the Underwriting Agreement, subject to certain exceptions, the Company</w:t>
      </w:r>
      <w:r w:rsidR="00214FD8">
        <w:rPr>
          <w:rFonts w:ascii="Times New Roman" w:eastAsia="Times New Roman" w:hAnsi="Times New Roman" w:cs="Times New Roman"/>
          <w:color w:val="000000"/>
          <w:sz w:val="20"/>
          <w:szCs w:val="20"/>
        </w:rPr>
        <w:t xml:space="preserve"> and</w:t>
      </w:r>
      <w:r w:rsidRPr="0055346F">
        <w:rPr>
          <w:rFonts w:ascii="Times New Roman" w:eastAsia="Times New Roman" w:hAnsi="Times New Roman" w:cs="Times New Roman"/>
          <w:color w:val="000000"/>
          <w:sz w:val="20"/>
          <w:szCs w:val="20"/>
        </w:rPr>
        <w:t xml:space="preserve"> each director and executive officer of </w:t>
      </w:r>
      <w:r w:rsidR="003E725F">
        <w:rPr>
          <w:rFonts w:ascii="Times New Roman" w:eastAsia="Times New Roman" w:hAnsi="Times New Roman" w:cs="Times New Roman"/>
          <w:color w:val="000000"/>
          <w:sz w:val="20"/>
          <w:szCs w:val="20"/>
        </w:rPr>
        <w:t xml:space="preserve">the Company </w:t>
      </w:r>
      <w:r w:rsidRPr="0055346F">
        <w:rPr>
          <w:rFonts w:ascii="Times New Roman" w:eastAsia="Times New Roman" w:hAnsi="Times New Roman" w:cs="Times New Roman"/>
          <w:color w:val="000000"/>
          <w:sz w:val="20"/>
          <w:szCs w:val="20"/>
        </w:rPr>
        <w:t>have agreed, for a period of 180 days after the closing of the Offering, not to offer,</w:t>
      </w:r>
      <w:r w:rsidR="00214FD8">
        <w:rPr>
          <w:rFonts w:ascii="Times New Roman" w:eastAsia="Times New Roman" w:hAnsi="Times New Roman" w:cs="Times New Roman"/>
          <w:color w:val="000000"/>
          <w:sz w:val="20"/>
          <w:szCs w:val="20"/>
        </w:rPr>
        <w:t xml:space="preserve"> issue,</w:t>
      </w:r>
      <w:r w:rsidRPr="0055346F">
        <w:rPr>
          <w:rFonts w:ascii="Times New Roman" w:eastAsia="Times New Roman" w:hAnsi="Times New Roman" w:cs="Times New Roman"/>
          <w:color w:val="000000"/>
          <w:sz w:val="20"/>
          <w:szCs w:val="20"/>
        </w:rPr>
        <w:t xml:space="preserve"> sell, contract to sell, </w:t>
      </w:r>
      <w:r w:rsidR="00214FD8">
        <w:rPr>
          <w:rFonts w:ascii="Times New Roman" w:eastAsia="Times New Roman" w:hAnsi="Times New Roman" w:cs="Times New Roman"/>
          <w:color w:val="000000"/>
          <w:sz w:val="20"/>
          <w:szCs w:val="20"/>
        </w:rPr>
        <w:t xml:space="preserve">encumber, grant any option for the sale of </w:t>
      </w:r>
      <w:r w:rsidRPr="0055346F">
        <w:rPr>
          <w:rFonts w:ascii="Times New Roman" w:eastAsia="Times New Roman" w:hAnsi="Times New Roman" w:cs="Times New Roman"/>
          <w:color w:val="000000"/>
          <w:sz w:val="20"/>
          <w:szCs w:val="20"/>
        </w:rPr>
        <w:t xml:space="preserve">or otherwise dispose of any shares of the Company’s Common Stock or securities convertible into Common Stock, without first obtaining the consent of the Representative. </w:t>
      </w:r>
    </w:p>
    <w:p w14:paraId="686F9EE6" w14:textId="6F4E3E62" w:rsidR="0085717D" w:rsidRDefault="0085717D" w:rsidP="0078615D">
      <w:pPr>
        <w:spacing w:after="0" w:line="240" w:lineRule="auto"/>
        <w:ind w:firstLine="720"/>
        <w:jc w:val="both"/>
        <w:rPr>
          <w:rFonts w:ascii="Times New Roman" w:eastAsia="Times New Roman" w:hAnsi="Times New Roman" w:cs="Times New Roman"/>
          <w:color w:val="000000"/>
          <w:sz w:val="20"/>
          <w:szCs w:val="20"/>
        </w:rPr>
      </w:pPr>
    </w:p>
    <w:p w14:paraId="27BC174F" w14:textId="6FA8751C" w:rsidR="001C39AE" w:rsidRDefault="001C39AE" w:rsidP="0078615D">
      <w:pPr>
        <w:spacing w:after="0" w:line="240" w:lineRule="auto"/>
        <w:ind w:firstLine="720"/>
        <w:jc w:val="both"/>
        <w:rPr>
          <w:rFonts w:ascii="Times New Roman" w:eastAsia="Times New Roman" w:hAnsi="Times New Roman" w:cs="Times New Roman"/>
          <w:color w:val="000000"/>
          <w:sz w:val="20"/>
          <w:szCs w:val="20"/>
        </w:rPr>
      </w:pPr>
      <w:r w:rsidRPr="001C39AE">
        <w:rPr>
          <w:rFonts w:ascii="Times New Roman" w:eastAsia="Times New Roman" w:hAnsi="Times New Roman" w:cs="Times New Roman"/>
          <w:color w:val="000000"/>
          <w:sz w:val="20"/>
          <w:szCs w:val="20"/>
        </w:rPr>
        <w:t>The Warrants will be issued pursuant to a warrant agen</w:t>
      </w:r>
      <w:r w:rsidR="00FB2380">
        <w:rPr>
          <w:rFonts w:ascii="Times New Roman" w:eastAsia="Times New Roman" w:hAnsi="Times New Roman" w:cs="Times New Roman"/>
          <w:color w:val="000000"/>
          <w:sz w:val="20"/>
          <w:szCs w:val="20"/>
        </w:rPr>
        <w:t>t</w:t>
      </w:r>
      <w:r w:rsidRPr="001C39AE">
        <w:rPr>
          <w:rFonts w:ascii="Times New Roman" w:eastAsia="Times New Roman" w:hAnsi="Times New Roman" w:cs="Times New Roman"/>
          <w:color w:val="000000"/>
          <w:sz w:val="20"/>
          <w:szCs w:val="20"/>
        </w:rPr>
        <w:t xml:space="preserve"> agreement to be entered into by and between the Company and American Stock Transfer &amp; Trust Company, LLC, as warrant agent.</w:t>
      </w:r>
    </w:p>
    <w:p w14:paraId="5513881D" w14:textId="77777777" w:rsidR="001C39AE" w:rsidRDefault="001C39AE" w:rsidP="0078615D">
      <w:pPr>
        <w:spacing w:after="0" w:line="240" w:lineRule="auto"/>
        <w:ind w:firstLine="720"/>
        <w:jc w:val="both"/>
        <w:rPr>
          <w:rFonts w:ascii="Times New Roman" w:eastAsia="Times New Roman" w:hAnsi="Times New Roman" w:cs="Times New Roman"/>
          <w:color w:val="000000"/>
          <w:sz w:val="20"/>
          <w:szCs w:val="20"/>
        </w:rPr>
      </w:pPr>
    </w:p>
    <w:p w14:paraId="75A3B038" w14:textId="05930819" w:rsidR="0085717D" w:rsidRDefault="0085717D" w:rsidP="0078615D">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The foregoing summar</w:t>
      </w:r>
      <w:r w:rsidR="002D20A7">
        <w:rPr>
          <w:rFonts w:ascii="Times New Roman" w:eastAsia="Times New Roman" w:hAnsi="Times New Roman" w:cs="Times New Roman"/>
          <w:color w:val="000000"/>
          <w:sz w:val="20"/>
          <w:szCs w:val="20"/>
        </w:rPr>
        <w:t>ies</w:t>
      </w:r>
      <w:r w:rsidR="001B5E70">
        <w:rPr>
          <w:rFonts w:ascii="Times New Roman" w:eastAsia="Times New Roman" w:hAnsi="Times New Roman" w:cs="Times New Roman"/>
          <w:color w:val="000000"/>
          <w:sz w:val="20"/>
          <w:szCs w:val="20"/>
        </w:rPr>
        <w:t xml:space="preserve"> of the Underwriting Agreement</w:t>
      </w:r>
      <w:r w:rsidR="002D20A7">
        <w:rPr>
          <w:rFonts w:ascii="Times New Roman" w:eastAsia="Times New Roman" w:hAnsi="Times New Roman" w:cs="Times New Roman"/>
          <w:color w:val="000000"/>
          <w:sz w:val="20"/>
          <w:szCs w:val="20"/>
        </w:rPr>
        <w:t xml:space="preserve"> and the pre-funded warrants</w:t>
      </w:r>
      <w:r w:rsidR="001B5E70">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do not purport to be complete and </w:t>
      </w:r>
      <w:r w:rsidR="002D20A7">
        <w:rPr>
          <w:rFonts w:ascii="Times New Roman" w:eastAsia="Times New Roman" w:hAnsi="Times New Roman" w:cs="Times New Roman"/>
          <w:color w:val="000000"/>
          <w:sz w:val="20"/>
          <w:szCs w:val="20"/>
        </w:rPr>
        <w:t>are</w:t>
      </w:r>
      <w:r w:rsidR="00793AD8"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 xml:space="preserve">qualified in </w:t>
      </w:r>
      <w:r w:rsidR="002D20A7">
        <w:rPr>
          <w:rFonts w:ascii="Times New Roman" w:eastAsia="Times New Roman" w:hAnsi="Times New Roman" w:cs="Times New Roman"/>
          <w:color w:val="000000"/>
          <w:sz w:val="20"/>
          <w:szCs w:val="20"/>
        </w:rPr>
        <w:t>their</w:t>
      </w:r>
      <w:r w:rsidR="00793AD8" w:rsidRPr="0055346F">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entirety by such document</w:t>
      </w:r>
      <w:r w:rsidR="002D20A7">
        <w:rPr>
          <w:rFonts w:ascii="Times New Roman" w:eastAsia="Times New Roman" w:hAnsi="Times New Roman" w:cs="Times New Roman"/>
          <w:color w:val="000000"/>
          <w:sz w:val="20"/>
          <w:szCs w:val="20"/>
        </w:rPr>
        <w:t>s</w:t>
      </w:r>
      <w:r w:rsidRPr="0055346F">
        <w:rPr>
          <w:rFonts w:ascii="Times New Roman" w:eastAsia="Times New Roman" w:hAnsi="Times New Roman" w:cs="Times New Roman"/>
          <w:color w:val="000000"/>
          <w:sz w:val="20"/>
          <w:szCs w:val="20"/>
        </w:rPr>
        <w:t xml:space="preserve"> a</w:t>
      </w:r>
      <w:r w:rsidR="001B5E70">
        <w:rPr>
          <w:rFonts w:ascii="Times New Roman" w:eastAsia="Times New Roman" w:hAnsi="Times New Roman" w:cs="Times New Roman"/>
          <w:color w:val="000000"/>
          <w:sz w:val="20"/>
          <w:szCs w:val="20"/>
        </w:rPr>
        <w:t>ttached hereto as Exhibit 1.1</w:t>
      </w:r>
      <w:r w:rsidR="002D20A7">
        <w:rPr>
          <w:rFonts w:ascii="Times New Roman" w:eastAsia="Times New Roman" w:hAnsi="Times New Roman" w:cs="Times New Roman"/>
          <w:color w:val="000000"/>
          <w:sz w:val="20"/>
          <w:szCs w:val="20"/>
        </w:rPr>
        <w:t xml:space="preserve"> and Exhibit 4.4.1</w:t>
      </w:r>
      <w:r w:rsidR="001B5E70">
        <w:rPr>
          <w:rFonts w:ascii="Times New Roman" w:eastAsia="Times New Roman" w:hAnsi="Times New Roman" w:cs="Times New Roman"/>
          <w:color w:val="000000"/>
          <w:sz w:val="20"/>
          <w:szCs w:val="20"/>
        </w:rPr>
        <w:t xml:space="preserve"> </w:t>
      </w:r>
      <w:r w:rsidR="002D20A7">
        <w:rPr>
          <w:rFonts w:ascii="Times New Roman" w:eastAsia="Times New Roman" w:hAnsi="Times New Roman" w:cs="Times New Roman"/>
          <w:color w:val="000000"/>
          <w:sz w:val="20"/>
          <w:szCs w:val="20"/>
        </w:rPr>
        <w:t>and are</w:t>
      </w:r>
      <w:r w:rsidR="00793AD8">
        <w:rPr>
          <w:rFonts w:ascii="Times New Roman" w:eastAsia="Times New Roman" w:hAnsi="Times New Roman" w:cs="Times New Roman"/>
          <w:color w:val="000000"/>
          <w:sz w:val="20"/>
          <w:szCs w:val="20"/>
        </w:rPr>
        <w:t xml:space="preserve"> </w:t>
      </w:r>
      <w:r w:rsidRPr="0055346F">
        <w:rPr>
          <w:rFonts w:ascii="Times New Roman" w:eastAsia="Times New Roman" w:hAnsi="Times New Roman" w:cs="Times New Roman"/>
          <w:color w:val="000000"/>
          <w:sz w:val="20"/>
          <w:szCs w:val="20"/>
        </w:rPr>
        <w:t>incorporated herein by reference.</w:t>
      </w:r>
    </w:p>
    <w:p w14:paraId="326B0C2D" w14:textId="45170A12" w:rsidR="0083588F" w:rsidRDefault="0083588F" w:rsidP="00E07869">
      <w:pPr>
        <w:spacing w:after="0" w:line="240" w:lineRule="auto"/>
        <w:rPr>
          <w:rFonts w:ascii="Times New Roman" w:eastAsia="Times New Roman" w:hAnsi="Times New Roman" w:cs="Times New Roman"/>
          <w:b/>
          <w:sz w:val="20"/>
          <w:szCs w:val="20"/>
        </w:rPr>
      </w:pPr>
    </w:p>
    <w:p w14:paraId="54061E14" w14:textId="0498F5E9" w:rsidR="008E08C6" w:rsidRDefault="008E08C6" w:rsidP="00E0786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 3.03</w:t>
      </w:r>
      <w:r>
        <w:rPr>
          <w:rFonts w:ascii="Times New Roman" w:eastAsia="Times New Roman" w:hAnsi="Times New Roman" w:cs="Times New Roman"/>
          <w:b/>
          <w:sz w:val="20"/>
          <w:szCs w:val="20"/>
        </w:rPr>
        <w:tab/>
        <w:t>Material Modification to Rights of Security Holders.</w:t>
      </w:r>
    </w:p>
    <w:p w14:paraId="24C79681" w14:textId="311EAA48" w:rsidR="008E08C6" w:rsidRDefault="008E08C6" w:rsidP="00E07869">
      <w:pPr>
        <w:spacing w:after="0" w:line="240" w:lineRule="auto"/>
        <w:rPr>
          <w:rFonts w:ascii="Times New Roman" w:eastAsia="Times New Roman" w:hAnsi="Times New Roman" w:cs="Times New Roman"/>
          <w:b/>
          <w:sz w:val="20"/>
          <w:szCs w:val="20"/>
        </w:rPr>
      </w:pPr>
    </w:p>
    <w:p w14:paraId="0077530B" w14:textId="3857456E" w:rsidR="008E08C6" w:rsidRDefault="008E08C6" w:rsidP="008E08C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sidR="00E95465">
        <w:rPr>
          <w:rFonts w:ascii="Times New Roman" w:eastAsia="Times New Roman" w:hAnsi="Times New Roman" w:cs="Times New Roman"/>
          <w:sz w:val="20"/>
          <w:szCs w:val="20"/>
        </w:rPr>
        <w:t>On September 24</w:t>
      </w:r>
      <w:r>
        <w:rPr>
          <w:rFonts w:ascii="Times New Roman" w:eastAsia="Times New Roman" w:hAnsi="Times New Roman" w:cs="Times New Roman"/>
          <w:sz w:val="20"/>
          <w:szCs w:val="20"/>
        </w:rPr>
        <w:t xml:space="preserve">, 2020, the Company filed a Certificate of Amendment to its Certificate of Incorporation effecting a </w:t>
      </w:r>
      <w:r w:rsidR="00E95465">
        <w:rPr>
          <w:rFonts w:ascii="Times New Roman" w:eastAsia="Times New Roman" w:hAnsi="Times New Roman" w:cs="Times New Roman"/>
          <w:sz w:val="20"/>
          <w:szCs w:val="20"/>
        </w:rPr>
        <w:t>1-for-20</w:t>
      </w:r>
      <w:r>
        <w:rPr>
          <w:rFonts w:ascii="Times New Roman" w:eastAsia="Times New Roman" w:hAnsi="Times New Roman" w:cs="Times New Roman"/>
          <w:sz w:val="20"/>
          <w:szCs w:val="20"/>
        </w:rPr>
        <w:t xml:space="preserve"> reverse stock split pursuant to </w:t>
      </w:r>
      <w:r w:rsidR="00E95465">
        <w:rPr>
          <w:rFonts w:ascii="Times New Roman" w:eastAsia="Times New Roman" w:hAnsi="Times New Roman" w:cs="Times New Roman"/>
          <w:sz w:val="20"/>
          <w:szCs w:val="20"/>
        </w:rPr>
        <w:t>which, as of 12:01 a.m. on September 25, 2020, each twenty (20)</w:t>
      </w:r>
      <w:r>
        <w:rPr>
          <w:rFonts w:ascii="Times New Roman" w:eastAsia="Times New Roman" w:hAnsi="Times New Roman" w:cs="Times New Roman"/>
          <w:sz w:val="20"/>
          <w:szCs w:val="20"/>
        </w:rPr>
        <w:t xml:space="preserve"> shares of the Company’s Common Stock, par value $0.001 per share,</w:t>
      </w:r>
      <w:r w:rsidR="001B5E70">
        <w:rPr>
          <w:rFonts w:ascii="Times New Roman" w:eastAsia="Times New Roman" w:hAnsi="Times New Roman" w:cs="Times New Roman"/>
          <w:sz w:val="20"/>
          <w:szCs w:val="20"/>
        </w:rPr>
        <w:t xml:space="preserve"> then</w:t>
      </w:r>
      <w:r>
        <w:rPr>
          <w:rFonts w:ascii="Times New Roman" w:eastAsia="Times New Roman" w:hAnsi="Times New Roman" w:cs="Times New Roman"/>
          <w:sz w:val="20"/>
          <w:szCs w:val="20"/>
        </w:rPr>
        <w:t xml:space="preserve"> issued and outstanding automatically and without any action on the part of the respective holders thereof, was combined and reclassified into one (1) share of Common Stock, par value $0.001 per share.  For further details, please refer to Item 5.03 below.</w:t>
      </w:r>
    </w:p>
    <w:p w14:paraId="713E4F62" w14:textId="7F6D621B" w:rsidR="008E08C6" w:rsidRDefault="008E08C6" w:rsidP="00E07869">
      <w:pPr>
        <w:spacing w:after="0" w:line="240" w:lineRule="auto"/>
        <w:rPr>
          <w:rFonts w:ascii="Times New Roman" w:eastAsia="Times New Roman" w:hAnsi="Times New Roman" w:cs="Times New Roman"/>
          <w:b/>
          <w:sz w:val="20"/>
          <w:szCs w:val="20"/>
        </w:rPr>
      </w:pPr>
    </w:p>
    <w:p w14:paraId="2843FD1F" w14:textId="26FBCBD6" w:rsidR="00E07869" w:rsidRPr="00E07869" w:rsidRDefault="00E07869" w:rsidP="00E07869">
      <w:pPr>
        <w:spacing w:after="0" w:line="240" w:lineRule="auto"/>
        <w:rPr>
          <w:rFonts w:ascii="Times New Roman" w:eastAsia="Times New Roman" w:hAnsi="Times New Roman" w:cs="Times New Roman"/>
          <w:b/>
          <w:sz w:val="20"/>
          <w:szCs w:val="20"/>
        </w:rPr>
      </w:pPr>
      <w:r w:rsidRPr="00E07869">
        <w:rPr>
          <w:rFonts w:ascii="Times New Roman" w:eastAsia="Times New Roman" w:hAnsi="Times New Roman" w:cs="Times New Roman"/>
          <w:b/>
          <w:sz w:val="20"/>
          <w:szCs w:val="20"/>
        </w:rPr>
        <w:t>Item 5.03</w:t>
      </w:r>
      <w:r w:rsidRPr="00E07869">
        <w:rPr>
          <w:rFonts w:ascii="Times New Roman" w:eastAsia="Times New Roman" w:hAnsi="Times New Roman" w:cs="Times New Roman"/>
          <w:b/>
          <w:sz w:val="20"/>
          <w:szCs w:val="20"/>
        </w:rPr>
        <w:tab/>
        <w:t>Amendment to Articles of Incorporation or Bylaws; Changes in Fiscal Year.</w:t>
      </w:r>
    </w:p>
    <w:p w14:paraId="53526328" w14:textId="77777777" w:rsidR="00E07869" w:rsidRPr="00E07869" w:rsidRDefault="00E07869" w:rsidP="00E07869">
      <w:pPr>
        <w:spacing w:after="0" w:line="240" w:lineRule="auto"/>
        <w:rPr>
          <w:rFonts w:ascii="Times New Roman" w:eastAsia="Times New Roman" w:hAnsi="Times New Roman" w:cs="Times New Roman"/>
          <w:b/>
          <w:sz w:val="20"/>
          <w:szCs w:val="20"/>
        </w:rPr>
      </w:pPr>
    </w:p>
    <w:p w14:paraId="1AB2D328" w14:textId="76A3C896" w:rsidR="0055346F" w:rsidRDefault="00646C2A" w:rsidP="0055346F">
      <w:pP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 </w:t>
      </w:r>
      <w:r w:rsidR="00214FD8">
        <w:rPr>
          <w:rFonts w:ascii="Times New Roman" w:eastAsia="Times New Roman" w:hAnsi="Times New Roman" w:cs="Times New Roman"/>
          <w:color w:val="000000"/>
          <w:sz w:val="20"/>
          <w:szCs w:val="20"/>
        </w:rPr>
        <w:t xml:space="preserve">September </w:t>
      </w:r>
      <w:r w:rsidR="00E95465">
        <w:rPr>
          <w:rFonts w:ascii="Times New Roman" w:eastAsia="Times New Roman" w:hAnsi="Times New Roman" w:cs="Times New Roman"/>
          <w:color w:val="000000"/>
          <w:sz w:val="20"/>
          <w:szCs w:val="20"/>
        </w:rPr>
        <w:t>24</w:t>
      </w:r>
      <w:r w:rsidR="0055346F" w:rsidRPr="0055346F">
        <w:rPr>
          <w:rFonts w:ascii="Times New Roman" w:eastAsia="Times New Roman" w:hAnsi="Times New Roman" w:cs="Times New Roman"/>
          <w:color w:val="000000"/>
          <w:sz w:val="20"/>
          <w:szCs w:val="20"/>
        </w:rPr>
        <w:t xml:space="preserve">, 2020, the Company filed a Certificate of Amendment to </w:t>
      </w:r>
      <w:r w:rsidR="008E08C6">
        <w:rPr>
          <w:rFonts w:ascii="Times New Roman" w:eastAsia="Times New Roman" w:hAnsi="Times New Roman" w:cs="Times New Roman"/>
          <w:color w:val="000000"/>
          <w:sz w:val="20"/>
          <w:szCs w:val="20"/>
        </w:rPr>
        <w:t>its</w:t>
      </w:r>
      <w:r w:rsidR="0055346F" w:rsidRPr="0055346F">
        <w:rPr>
          <w:rFonts w:ascii="Times New Roman" w:eastAsia="Times New Roman" w:hAnsi="Times New Roman" w:cs="Times New Roman"/>
          <w:color w:val="000000"/>
          <w:sz w:val="20"/>
          <w:szCs w:val="20"/>
        </w:rPr>
        <w:t xml:space="preserve"> </w:t>
      </w:r>
      <w:r w:rsidR="0055346F" w:rsidRPr="001301BB">
        <w:rPr>
          <w:rFonts w:ascii="Times New Roman" w:eastAsia="Times New Roman" w:hAnsi="Times New Roman" w:cs="Times New Roman"/>
          <w:color w:val="000000"/>
          <w:sz w:val="20"/>
          <w:szCs w:val="20"/>
        </w:rPr>
        <w:t xml:space="preserve">Certificate of Incorporation effecting a </w:t>
      </w:r>
      <w:r w:rsidR="00E95465">
        <w:rPr>
          <w:rFonts w:ascii="Times New Roman" w:eastAsia="Times New Roman" w:hAnsi="Times New Roman" w:cs="Times New Roman"/>
          <w:color w:val="000000"/>
          <w:sz w:val="20"/>
          <w:szCs w:val="20"/>
        </w:rPr>
        <w:t>1-for-20</w:t>
      </w:r>
      <w:r w:rsidR="0055346F" w:rsidRPr="0055346F">
        <w:rPr>
          <w:rFonts w:ascii="Times New Roman" w:eastAsia="Times New Roman" w:hAnsi="Times New Roman" w:cs="Times New Roman"/>
          <w:color w:val="000000"/>
          <w:sz w:val="20"/>
          <w:szCs w:val="20"/>
        </w:rPr>
        <w:t xml:space="preserve"> reverse stock split</w:t>
      </w:r>
      <w:r w:rsidR="008E08C6" w:rsidRPr="008E08C6">
        <w:rPr>
          <w:rFonts w:ascii="Times New Roman" w:eastAsia="Times New Roman" w:hAnsi="Times New Roman" w:cs="Times New Roman"/>
          <w:sz w:val="20"/>
          <w:szCs w:val="20"/>
        </w:rPr>
        <w:t xml:space="preserve"> </w:t>
      </w:r>
      <w:r w:rsidR="00E95465">
        <w:rPr>
          <w:rFonts w:ascii="Times New Roman" w:eastAsia="Times New Roman" w:hAnsi="Times New Roman" w:cs="Times New Roman"/>
          <w:sz w:val="20"/>
          <w:szCs w:val="20"/>
        </w:rPr>
        <w:t>pursuant to which,</w:t>
      </w:r>
      <w:r w:rsidR="00E95465" w:rsidRPr="00E95465">
        <w:rPr>
          <w:rFonts w:ascii="Times New Roman" w:eastAsia="Times New Roman" w:hAnsi="Times New Roman" w:cs="Times New Roman"/>
          <w:sz w:val="20"/>
          <w:szCs w:val="20"/>
        </w:rPr>
        <w:t xml:space="preserve"> </w:t>
      </w:r>
      <w:r w:rsidR="00E95465">
        <w:rPr>
          <w:rFonts w:ascii="Times New Roman" w:eastAsia="Times New Roman" w:hAnsi="Times New Roman" w:cs="Times New Roman"/>
          <w:sz w:val="20"/>
          <w:szCs w:val="20"/>
        </w:rPr>
        <w:t>as of 12:01 a.m. on September 25, 2020, each twenty (20)</w:t>
      </w:r>
      <w:r w:rsidR="008E08C6">
        <w:rPr>
          <w:rFonts w:ascii="Times New Roman" w:eastAsia="Times New Roman" w:hAnsi="Times New Roman" w:cs="Times New Roman"/>
          <w:sz w:val="20"/>
          <w:szCs w:val="20"/>
        </w:rPr>
        <w:t xml:space="preserve"> shares of the Company’s Common Stock, par value $0.001 per share (“Old Common Stock”), </w:t>
      </w:r>
      <w:r w:rsidR="00E95465">
        <w:rPr>
          <w:rFonts w:ascii="Times New Roman" w:eastAsia="Times New Roman" w:hAnsi="Times New Roman" w:cs="Times New Roman"/>
          <w:sz w:val="20"/>
          <w:szCs w:val="20"/>
        </w:rPr>
        <w:t xml:space="preserve">then </w:t>
      </w:r>
      <w:r w:rsidR="008E08C6">
        <w:rPr>
          <w:rFonts w:ascii="Times New Roman" w:eastAsia="Times New Roman" w:hAnsi="Times New Roman" w:cs="Times New Roman"/>
          <w:sz w:val="20"/>
          <w:szCs w:val="20"/>
        </w:rPr>
        <w:t xml:space="preserve">issued and automatically and without any action on the part of the respective holders thereof, was combined and reclassified into one (1) share of Common Stock, par value $0.001 per share (“New Common Stock”) (and such combination and </w:t>
      </w:r>
      <w:r w:rsidR="008E08C6">
        <w:rPr>
          <w:rFonts w:ascii="Times New Roman" w:eastAsia="Times New Roman" w:hAnsi="Times New Roman" w:cs="Times New Roman"/>
          <w:sz w:val="20"/>
          <w:szCs w:val="20"/>
        </w:rPr>
        <w:lastRenderedPageBreak/>
        <w:t xml:space="preserve">conversion, </w:t>
      </w:r>
      <w:r w:rsidR="0055346F" w:rsidRPr="0055346F">
        <w:rPr>
          <w:rFonts w:ascii="Times New Roman" w:eastAsia="Times New Roman" w:hAnsi="Times New Roman" w:cs="Times New Roman"/>
          <w:color w:val="000000"/>
          <w:sz w:val="20"/>
          <w:szCs w:val="20"/>
        </w:rPr>
        <w:t>the “Reverse Stock Split”). The Reverse Stock Split does not affect the total number of shares of Common Stock that the</w:t>
      </w:r>
      <w:r w:rsidR="001301BB">
        <w:rPr>
          <w:rFonts w:ascii="Times New Roman" w:eastAsia="Times New Roman" w:hAnsi="Times New Roman" w:cs="Times New Roman"/>
          <w:color w:val="000000"/>
          <w:sz w:val="20"/>
          <w:szCs w:val="20"/>
        </w:rPr>
        <w:t xml:space="preserve"> Company is authorized to issue.</w:t>
      </w:r>
      <w:r w:rsidR="008E08C6">
        <w:rPr>
          <w:rFonts w:ascii="Times New Roman" w:eastAsia="Times New Roman" w:hAnsi="Times New Roman" w:cs="Times New Roman"/>
          <w:color w:val="000000"/>
          <w:sz w:val="20"/>
          <w:szCs w:val="20"/>
        </w:rPr>
        <w:t xml:space="preserve">  No fractional shares of New Common Stock will be issued in connection with the Reverse Stock Split.  Stockholders of record who otherwise would have been entitled to receive fractional shares will be entitled, upon surrender to our transfer agent of certificates representing such shares, to a cash payment in lieu thereof equal to the fraction to which the stockholder otherwise would have been entitled multiplied by the closing price (calculated on a post-split basis) of our Common Stock as reported by The OTC Market on September </w:t>
      </w:r>
      <w:r w:rsidR="00793AD8">
        <w:rPr>
          <w:rFonts w:ascii="Times New Roman" w:eastAsia="Times New Roman" w:hAnsi="Times New Roman" w:cs="Times New Roman"/>
          <w:color w:val="000000"/>
          <w:sz w:val="20"/>
          <w:szCs w:val="20"/>
        </w:rPr>
        <w:t xml:space="preserve">24, </w:t>
      </w:r>
      <w:r w:rsidR="008E08C6">
        <w:rPr>
          <w:rFonts w:ascii="Times New Roman" w:eastAsia="Times New Roman" w:hAnsi="Times New Roman" w:cs="Times New Roman"/>
          <w:color w:val="000000"/>
          <w:sz w:val="20"/>
          <w:szCs w:val="20"/>
        </w:rPr>
        <w:t>2020.</w:t>
      </w:r>
    </w:p>
    <w:p w14:paraId="2E35FCF5" w14:textId="7882B6A9" w:rsidR="008E08C6" w:rsidRDefault="008E08C6" w:rsidP="0055346F">
      <w:pPr>
        <w:spacing w:after="0" w:line="240" w:lineRule="auto"/>
        <w:ind w:firstLine="720"/>
        <w:jc w:val="both"/>
        <w:rPr>
          <w:rFonts w:ascii="Times New Roman" w:eastAsia="Times New Roman" w:hAnsi="Times New Roman" w:cs="Times New Roman"/>
          <w:color w:val="000000"/>
          <w:sz w:val="20"/>
          <w:szCs w:val="20"/>
        </w:rPr>
      </w:pPr>
    </w:p>
    <w:p w14:paraId="49A66229" w14:textId="78927BDC" w:rsidR="008E08C6" w:rsidRPr="0055346F" w:rsidRDefault="008E08C6" w:rsidP="0055346F">
      <w:pP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Each stock certificate that, immediately prior to the filing, represented shares of Old Common Stock, automatically and without the necessity of presenting the same for exchange, now represents that number of whole shares of New Common Stock into which the shares of Old Common Stock represented by such certificate have been reclassified.  Each holder of record of a certificate that represented shares of Old Common Stock shall receive, upon surrender of such certificate, a new certificate representing the number of whole shares of New Common Stock into which the shares of Old Common Stock represented by such certificate shall have been reclassified.  The Company’s transfer agent will be sending letters of transmittal for stockholders of record to use in obtaining new share certificates.</w:t>
      </w:r>
    </w:p>
    <w:p w14:paraId="595B6A9D" w14:textId="77777777" w:rsidR="0055346F" w:rsidRPr="0055346F" w:rsidRDefault="0055346F" w:rsidP="0055346F">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w:t>
      </w:r>
    </w:p>
    <w:p w14:paraId="2315F502" w14:textId="6600A07C" w:rsidR="00E07869" w:rsidRPr="0055346F" w:rsidRDefault="0055346F" w:rsidP="0055346F">
      <w:pPr>
        <w:spacing w:after="0" w:line="240" w:lineRule="auto"/>
        <w:ind w:firstLine="720"/>
        <w:jc w:val="both"/>
        <w:rPr>
          <w:rFonts w:ascii="Times New Roman" w:eastAsia="Times New Roman" w:hAnsi="Times New Roman" w:cs="Times New Roman"/>
          <w:color w:val="000000"/>
          <w:sz w:val="20"/>
          <w:szCs w:val="20"/>
        </w:rPr>
      </w:pPr>
      <w:r w:rsidRPr="0055346F">
        <w:rPr>
          <w:rFonts w:ascii="Times New Roman" w:eastAsia="Times New Roman" w:hAnsi="Times New Roman" w:cs="Times New Roman"/>
          <w:color w:val="000000"/>
          <w:sz w:val="20"/>
          <w:szCs w:val="20"/>
        </w:rPr>
        <w:t xml:space="preserve">The foregoing summary of the Certificate of Amendment does not purport to be complete and is qualified in its entirety by reference to the full text of </w:t>
      </w:r>
      <w:r w:rsidR="00371887">
        <w:rPr>
          <w:rFonts w:ascii="Times New Roman" w:eastAsia="Times New Roman" w:hAnsi="Times New Roman" w:cs="Times New Roman"/>
          <w:color w:val="000000"/>
          <w:sz w:val="20"/>
          <w:szCs w:val="20"/>
        </w:rPr>
        <w:t xml:space="preserve">the </w:t>
      </w:r>
      <w:r w:rsidRPr="0055346F">
        <w:rPr>
          <w:rFonts w:ascii="Times New Roman" w:eastAsia="Times New Roman" w:hAnsi="Times New Roman" w:cs="Times New Roman"/>
          <w:color w:val="000000"/>
          <w:sz w:val="20"/>
          <w:szCs w:val="20"/>
        </w:rPr>
        <w:t xml:space="preserve">Certificate of Amendment, a copy of which is attached hereto as Exhibit </w:t>
      </w:r>
      <w:r w:rsidR="001B5E70">
        <w:rPr>
          <w:rFonts w:ascii="Times New Roman" w:eastAsia="Times New Roman" w:hAnsi="Times New Roman" w:cs="Times New Roman"/>
          <w:color w:val="000000"/>
          <w:sz w:val="20"/>
          <w:szCs w:val="20"/>
        </w:rPr>
        <w:t>3.1</w:t>
      </w:r>
      <w:r w:rsidRPr="0055346F">
        <w:rPr>
          <w:rFonts w:ascii="Times New Roman" w:eastAsia="Times New Roman" w:hAnsi="Times New Roman" w:cs="Times New Roman"/>
          <w:color w:val="000000"/>
          <w:sz w:val="20"/>
          <w:szCs w:val="20"/>
        </w:rPr>
        <w:t xml:space="preserve"> and is incorporated herein by reference.</w:t>
      </w:r>
    </w:p>
    <w:p w14:paraId="1C651DC1" w14:textId="77777777" w:rsidR="00E07869" w:rsidRDefault="00E07869" w:rsidP="00E07869">
      <w:pPr>
        <w:spacing w:after="0" w:line="240" w:lineRule="auto"/>
        <w:rPr>
          <w:rFonts w:ascii="Times New Roman" w:eastAsia="Times New Roman" w:hAnsi="Times New Roman" w:cs="Times New Roman"/>
          <w:sz w:val="20"/>
          <w:szCs w:val="20"/>
        </w:rPr>
      </w:pPr>
    </w:p>
    <w:p w14:paraId="6E332849" w14:textId="77777777" w:rsidR="00E07869" w:rsidRPr="00E07869" w:rsidRDefault="00E07869" w:rsidP="00E07869">
      <w:pPr>
        <w:spacing w:after="0" w:line="240" w:lineRule="auto"/>
        <w:rPr>
          <w:rFonts w:ascii="Times New Roman" w:eastAsia="Times New Roman" w:hAnsi="Times New Roman" w:cs="Times New Roman"/>
          <w:b/>
          <w:sz w:val="20"/>
          <w:szCs w:val="20"/>
        </w:rPr>
      </w:pPr>
      <w:r w:rsidRPr="00E07869">
        <w:rPr>
          <w:rFonts w:ascii="Times New Roman" w:eastAsia="Times New Roman" w:hAnsi="Times New Roman" w:cs="Times New Roman"/>
          <w:b/>
          <w:sz w:val="20"/>
          <w:szCs w:val="20"/>
        </w:rPr>
        <w:t>Item 8.01</w:t>
      </w:r>
      <w:r w:rsidRPr="00E07869">
        <w:rPr>
          <w:rFonts w:ascii="Times New Roman" w:eastAsia="Times New Roman" w:hAnsi="Times New Roman" w:cs="Times New Roman"/>
          <w:b/>
          <w:sz w:val="20"/>
          <w:szCs w:val="20"/>
        </w:rPr>
        <w:tab/>
        <w:t>Other Events.</w:t>
      </w:r>
    </w:p>
    <w:p w14:paraId="3B9D7B0C" w14:textId="77777777" w:rsidR="00E07869" w:rsidRDefault="00E07869" w:rsidP="00E07869">
      <w:pPr>
        <w:spacing w:after="0" w:line="240" w:lineRule="auto"/>
        <w:rPr>
          <w:rFonts w:ascii="Times New Roman" w:eastAsia="Times New Roman" w:hAnsi="Times New Roman" w:cs="Times New Roman"/>
          <w:sz w:val="20"/>
          <w:szCs w:val="20"/>
        </w:rPr>
      </w:pPr>
    </w:p>
    <w:p w14:paraId="23863F06" w14:textId="5A30E92D" w:rsidR="00436876" w:rsidRPr="00436876" w:rsidRDefault="00646C2A" w:rsidP="00436876">
      <w:pPr>
        <w:pStyle w:val="NormalWeb"/>
        <w:spacing w:before="0" w:beforeAutospacing="0" w:after="0" w:afterAutospacing="0"/>
        <w:ind w:firstLine="720"/>
        <w:rPr>
          <w:color w:val="000000"/>
          <w:sz w:val="20"/>
          <w:szCs w:val="20"/>
        </w:rPr>
      </w:pPr>
      <w:r>
        <w:rPr>
          <w:color w:val="000000"/>
          <w:sz w:val="20"/>
          <w:szCs w:val="20"/>
        </w:rPr>
        <w:t xml:space="preserve">On </w:t>
      </w:r>
      <w:r w:rsidR="008E08C6">
        <w:rPr>
          <w:color w:val="000000"/>
          <w:sz w:val="20"/>
          <w:szCs w:val="20"/>
        </w:rPr>
        <w:t xml:space="preserve">September </w:t>
      </w:r>
      <w:r w:rsidR="00E95465">
        <w:rPr>
          <w:color w:val="000000"/>
          <w:sz w:val="20"/>
          <w:szCs w:val="20"/>
        </w:rPr>
        <w:t>25</w:t>
      </w:r>
      <w:r w:rsidR="00436876" w:rsidRPr="00436876">
        <w:rPr>
          <w:color w:val="000000"/>
          <w:sz w:val="20"/>
          <w:szCs w:val="20"/>
        </w:rPr>
        <w:t>, 2020, in connection with the Offering described in Item 1.01, the Company’s Common Stock and the Warrants began trading on The Nasdaq Capital Market (“Nasdaq”) under t</w:t>
      </w:r>
      <w:r w:rsidR="00436876">
        <w:rPr>
          <w:color w:val="000000"/>
          <w:sz w:val="20"/>
          <w:szCs w:val="20"/>
        </w:rPr>
        <w:t>he trading symbols “GOVX” and “GOVX</w:t>
      </w:r>
      <w:r w:rsidR="00436876" w:rsidRPr="00436876">
        <w:rPr>
          <w:color w:val="000000"/>
          <w:sz w:val="20"/>
          <w:szCs w:val="20"/>
        </w:rPr>
        <w:t>W,” respectively.</w:t>
      </w:r>
    </w:p>
    <w:p w14:paraId="702C7D7A" w14:textId="77777777" w:rsidR="00436876" w:rsidRPr="00436876" w:rsidRDefault="00436876" w:rsidP="00436876">
      <w:pPr>
        <w:spacing w:after="0" w:line="240" w:lineRule="auto"/>
        <w:ind w:firstLine="720"/>
        <w:rPr>
          <w:rFonts w:ascii="Times New Roman" w:eastAsia="Times New Roman" w:hAnsi="Times New Roman" w:cs="Times New Roman"/>
          <w:color w:val="000000"/>
          <w:sz w:val="20"/>
          <w:szCs w:val="20"/>
        </w:rPr>
      </w:pPr>
      <w:r w:rsidRPr="00436876">
        <w:rPr>
          <w:rFonts w:ascii="Times New Roman" w:eastAsia="Times New Roman" w:hAnsi="Times New Roman" w:cs="Times New Roman"/>
          <w:color w:val="000000"/>
          <w:sz w:val="20"/>
          <w:szCs w:val="20"/>
        </w:rPr>
        <w:t> </w:t>
      </w:r>
    </w:p>
    <w:p w14:paraId="75D6A947" w14:textId="08929B53" w:rsidR="00436876" w:rsidRPr="00436876" w:rsidRDefault="00436876" w:rsidP="00436876">
      <w:pPr>
        <w:spacing w:after="0" w:line="240" w:lineRule="auto"/>
        <w:ind w:firstLine="720"/>
        <w:rPr>
          <w:rFonts w:ascii="Times New Roman" w:eastAsia="Times New Roman" w:hAnsi="Times New Roman" w:cs="Times New Roman"/>
          <w:color w:val="000000"/>
          <w:sz w:val="20"/>
          <w:szCs w:val="20"/>
        </w:rPr>
      </w:pPr>
      <w:r w:rsidRPr="00436876">
        <w:rPr>
          <w:rFonts w:ascii="Times New Roman" w:eastAsia="Times New Roman" w:hAnsi="Times New Roman" w:cs="Times New Roman"/>
          <w:color w:val="000000"/>
          <w:sz w:val="20"/>
          <w:szCs w:val="20"/>
        </w:rPr>
        <w:t xml:space="preserve">The Company issued a </w:t>
      </w:r>
      <w:r w:rsidR="00646C2A">
        <w:rPr>
          <w:rFonts w:ascii="Times New Roman" w:eastAsia="Times New Roman" w:hAnsi="Times New Roman" w:cs="Times New Roman"/>
          <w:color w:val="000000"/>
          <w:sz w:val="20"/>
          <w:szCs w:val="20"/>
        </w:rPr>
        <w:t xml:space="preserve">press release on </w:t>
      </w:r>
      <w:r w:rsidR="008E08C6">
        <w:rPr>
          <w:rFonts w:ascii="Times New Roman" w:eastAsia="Times New Roman" w:hAnsi="Times New Roman" w:cs="Times New Roman"/>
          <w:color w:val="000000"/>
          <w:sz w:val="20"/>
          <w:szCs w:val="20"/>
        </w:rPr>
        <w:t xml:space="preserve">September </w:t>
      </w:r>
      <w:r w:rsidR="00E95465">
        <w:rPr>
          <w:rFonts w:ascii="Times New Roman" w:eastAsia="Times New Roman" w:hAnsi="Times New Roman" w:cs="Times New Roman"/>
          <w:color w:val="000000"/>
          <w:sz w:val="20"/>
          <w:szCs w:val="20"/>
        </w:rPr>
        <w:t>24</w:t>
      </w:r>
      <w:r w:rsidRPr="00436876">
        <w:rPr>
          <w:rFonts w:ascii="Times New Roman" w:eastAsia="Times New Roman" w:hAnsi="Times New Roman" w:cs="Times New Roman"/>
          <w:color w:val="000000"/>
          <w:sz w:val="20"/>
          <w:szCs w:val="20"/>
        </w:rPr>
        <w:t>, 2020 announcing the pricing of the Offering, the Reverse Stoc</w:t>
      </w:r>
      <w:r w:rsidR="000F767A">
        <w:rPr>
          <w:rFonts w:ascii="Times New Roman" w:eastAsia="Times New Roman" w:hAnsi="Times New Roman" w:cs="Times New Roman"/>
          <w:color w:val="000000"/>
          <w:sz w:val="20"/>
          <w:szCs w:val="20"/>
        </w:rPr>
        <w:t xml:space="preserve">k Split and the Nasdaq listing. </w:t>
      </w:r>
      <w:r w:rsidRPr="00436876">
        <w:rPr>
          <w:rFonts w:ascii="Times New Roman" w:eastAsia="Times New Roman" w:hAnsi="Times New Roman" w:cs="Times New Roman"/>
          <w:color w:val="000000"/>
          <w:sz w:val="20"/>
          <w:szCs w:val="20"/>
          <w:shd w:val="clear" w:color="auto" w:fill="FFFFFF"/>
        </w:rPr>
        <w:t xml:space="preserve">A copy of the press release is attached hereto as Exhibit 99.1 and is incorporated herein by reference. </w:t>
      </w:r>
    </w:p>
    <w:p w14:paraId="472901A7" w14:textId="77777777" w:rsidR="00E07869" w:rsidRDefault="00E07869" w:rsidP="00E07869">
      <w:pPr>
        <w:spacing w:after="0" w:line="240" w:lineRule="auto"/>
        <w:rPr>
          <w:rFonts w:ascii="Times New Roman" w:eastAsia="Times New Roman" w:hAnsi="Times New Roman" w:cs="Times New Roman"/>
          <w:sz w:val="20"/>
          <w:szCs w:val="20"/>
        </w:rPr>
      </w:pPr>
    </w:p>
    <w:p w14:paraId="0B313D10" w14:textId="77777777" w:rsidR="00E07869" w:rsidRPr="00E07869" w:rsidRDefault="00E07869" w:rsidP="00E07869">
      <w:pPr>
        <w:spacing w:after="0" w:line="240" w:lineRule="auto"/>
        <w:rPr>
          <w:rFonts w:ascii="Times New Roman" w:eastAsia="Times New Roman" w:hAnsi="Times New Roman" w:cs="Times New Roman"/>
          <w:b/>
          <w:sz w:val="20"/>
          <w:szCs w:val="20"/>
        </w:rPr>
      </w:pPr>
      <w:r w:rsidRPr="00E07869">
        <w:rPr>
          <w:rFonts w:ascii="Times New Roman" w:eastAsia="Times New Roman" w:hAnsi="Times New Roman" w:cs="Times New Roman"/>
          <w:b/>
          <w:sz w:val="20"/>
          <w:szCs w:val="20"/>
        </w:rPr>
        <w:t>Item 9.01</w:t>
      </w:r>
      <w:r w:rsidRPr="00E07869">
        <w:rPr>
          <w:rFonts w:ascii="Times New Roman" w:eastAsia="Times New Roman" w:hAnsi="Times New Roman" w:cs="Times New Roman"/>
          <w:b/>
          <w:sz w:val="20"/>
          <w:szCs w:val="20"/>
        </w:rPr>
        <w:tab/>
        <w:t>Financial Statements and Exhibits.</w:t>
      </w:r>
    </w:p>
    <w:p w14:paraId="7B0036AC" w14:textId="77777777" w:rsidR="00E07869" w:rsidRPr="00E07869" w:rsidRDefault="00E07869" w:rsidP="00E07869">
      <w:pPr>
        <w:spacing w:after="0" w:line="240" w:lineRule="auto"/>
        <w:rPr>
          <w:rFonts w:ascii="Times New Roman" w:eastAsia="Times New Roman" w:hAnsi="Times New Roman" w:cs="Times New Roman"/>
          <w:b/>
          <w:sz w:val="20"/>
          <w:szCs w:val="20"/>
        </w:rPr>
      </w:pPr>
    </w:p>
    <w:p w14:paraId="523E5699" w14:textId="77777777" w:rsidR="00E07869"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t>Exhibits</w:t>
      </w:r>
    </w:p>
    <w:p w14:paraId="3C8D1E00" w14:textId="77777777" w:rsidR="00E07869" w:rsidRDefault="00E07869" w:rsidP="00E07869">
      <w:pPr>
        <w:spacing w:after="0" w:line="240" w:lineRule="auto"/>
        <w:rPr>
          <w:rFonts w:ascii="Times New Roman" w:eastAsia="Times New Roman" w:hAnsi="Times New Roman" w:cs="Times New Roman"/>
          <w:sz w:val="20"/>
          <w:szCs w:val="20"/>
        </w:rPr>
      </w:pPr>
    </w:p>
    <w:p w14:paraId="0CC4A77E" w14:textId="77777777" w:rsidR="00436876"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087"/>
      </w:tblGrid>
      <w:tr w:rsidR="00436876" w14:paraId="4E3820E6" w14:textId="77777777" w:rsidTr="00EF577C">
        <w:trPr>
          <w:trHeight w:val="239"/>
        </w:trPr>
        <w:tc>
          <w:tcPr>
            <w:tcW w:w="1688" w:type="dxa"/>
          </w:tcPr>
          <w:p w14:paraId="6F5A36CE" w14:textId="77777777" w:rsidR="00436876" w:rsidRPr="001301BB" w:rsidRDefault="00436876" w:rsidP="00E07869">
            <w:pPr>
              <w:spacing w:after="0" w:line="240" w:lineRule="auto"/>
              <w:rPr>
                <w:rFonts w:ascii="Times New Roman" w:eastAsia="Times New Roman" w:hAnsi="Times New Roman" w:cs="Times New Roman"/>
                <w:sz w:val="20"/>
                <w:szCs w:val="20"/>
                <w:u w:val="single"/>
              </w:rPr>
            </w:pPr>
            <w:r w:rsidRPr="001301BB">
              <w:rPr>
                <w:rFonts w:ascii="Times New Roman" w:eastAsia="Times New Roman" w:hAnsi="Times New Roman" w:cs="Times New Roman"/>
                <w:sz w:val="20"/>
                <w:szCs w:val="20"/>
                <w:u w:val="single"/>
              </w:rPr>
              <w:t>Exhibit No.</w:t>
            </w:r>
          </w:p>
        </w:tc>
        <w:tc>
          <w:tcPr>
            <w:tcW w:w="8087" w:type="dxa"/>
          </w:tcPr>
          <w:p w14:paraId="72F57937" w14:textId="77777777" w:rsidR="00436876" w:rsidRPr="001301BB" w:rsidRDefault="00436876" w:rsidP="00E07869">
            <w:pPr>
              <w:spacing w:after="0" w:line="240" w:lineRule="auto"/>
              <w:rPr>
                <w:rFonts w:ascii="Times New Roman" w:eastAsia="Times New Roman" w:hAnsi="Times New Roman" w:cs="Times New Roman"/>
                <w:sz w:val="20"/>
                <w:szCs w:val="20"/>
                <w:u w:val="single"/>
              </w:rPr>
            </w:pPr>
            <w:r w:rsidRPr="001301BB">
              <w:rPr>
                <w:rFonts w:ascii="Times New Roman" w:eastAsia="Times New Roman" w:hAnsi="Times New Roman" w:cs="Times New Roman"/>
                <w:sz w:val="20"/>
                <w:szCs w:val="20"/>
                <w:u w:val="single"/>
              </w:rPr>
              <w:t>Description</w:t>
            </w:r>
          </w:p>
        </w:tc>
      </w:tr>
      <w:tr w:rsidR="00436876" w14:paraId="7289EBEE" w14:textId="77777777" w:rsidTr="00EF577C">
        <w:trPr>
          <w:trHeight w:val="480"/>
        </w:trPr>
        <w:tc>
          <w:tcPr>
            <w:tcW w:w="1688" w:type="dxa"/>
          </w:tcPr>
          <w:p w14:paraId="5A530360" w14:textId="77777777" w:rsidR="00436876" w:rsidRDefault="00436876"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087" w:type="dxa"/>
          </w:tcPr>
          <w:p w14:paraId="3DB56253" w14:textId="5CEC7107" w:rsidR="00436876" w:rsidRDefault="000F767A"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Underwriting Agreement dated </w:t>
            </w:r>
            <w:r w:rsidR="008E08C6">
              <w:rPr>
                <w:rFonts w:ascii="Times New Roman" w:eastAsia="Times New Roman" w:hAnsi="Times New Roman" w:cs="Times New Roman"/>
                <w:color w:val="000000"/>
                <w:sz w:val="20"/>
                <w:szCs w:val="20"/>
                <w:shd w:val="clear" w:color="auto" w:fill="FFFFFF"/>
              </w:rPr>
              <w:t>September</w:t>
            </w:r>
            <w:r w:rsidR="00B461F1">
              <w:rPr>
                <w:rFonts w:ascii="Times New Roman" w:eastAsia="Times New Roman" w:hAnsi="Times New Roman" w:cs="Times New Roman"/>
                <w:sz w:val="20"/>
                <w:szCs w:val="20"/>
              </w:rPr>
              <w:t xml:space="preserve"> 24</w:t>
            </w:r>
            <w:r>
              <w:rPr>
                <w:rFonts w:ascii="Times New Roman" w:eastAsia="Times New Roman" w:hAnsi="Times New Roman" w:cs="Times New Roman"/>
                <w:sz w:val="20"/>
                <w:szCs w:val="20"/>
              </w:rPr>
              <w:t>, 2020 between the Company and Maxim Group LLC, as representative of the underwriters</w:t>
            </w:r>
          </w:p>
        </w:tc>
      </w:tr>
      <w:tr w:rsidR="00436876" w14:paraId="7CF0550D" w14:textId="77777777" w:rsidTr="00EF577C">
        <w:trPr>
          <w:trHeight w:val="239"/>
        </w:trPr>
        <w:tc>
          <w:tcPr>
            <w:tcW w:w="1688" w:type="dxa"/>
          </w:tcPr>
          <w:p w14:paraId="302D0B3D" w14:textId="77777777" w:rsidR="00436876" w:rsidRDefault="00436876"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8087" w:type="dxa"/>
          </w:tcPr>
          <w:p w14:paraId="4B14EDB7" w14:textId="77777777" w:rsidR="00436876" w:rsidRDefault="000F767A"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Certificate of Amendment to the Certificate of Incorporation</w:t>
            </w:r>
          </w:p>
        </w:tc>
      </w:tr>
      <w:tr w:rsidR="002D20A7" w14:paraId="5C5FC55E" w14:textId="77777777" w:rsidTr="00EF577C">
        <w:trPr>
          <w:trHeight w:val="239"/>
        </w:trPr>
        <w:tc>
          <w:tcPr>
            <w:tcW w:w="1688" w:type="dxa"/>
          </w:tcPr>
          <w:p w14:paraId="580243A7" w14:textId="2A356068" w:rsidR="002D20A7" w:rsidRDefault="002D20A7"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4.4.1</w:t>
            </w:r>
          </w:p>
        </w:tc>
        <w:tc>
          <w:tcPr>
            <w:tcW w:w="8087" w:type="dxa"/>
          </w:tcPr>
          <w:p w14:paraId="69EA4B83" w14:textId="15FBC73E" w:rsidR="002D20A7" w:rsidRDefault="002D20A7"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Form of Pre-Funded Warrant</w:t>
            </w:r>
          </w:p>
        </w:tc>
      </w:tr>
      <w:tr w:rsidR="00436876" w14:paraId="32DEF99D" w14:textId="77777777" w:rsidTr="00EF577C">
        <w:trPr>
          <w:trHeight w:val="239"/>
        </w:trPr>
        <w:tc>
          <w:tcPr>
            <w:tcW w:w="1688" w:type="dxa"/>
          </w:tcPr>
          <w:p w14:paraId="7C5F46FA" w14:textId="77777777" w:rsidR="00436876" w:rsidRDefault="00436876"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99.1</w:t>
            </w:r>
          </w:p>
        </w:tc>
        <w:tc>
          <w:tcPr>
            <w:tcW w:w="8087" w:type="dxa"/>
          </w:tcPr>
          <w:p w14:paraId="6E32EDF0" w14:textId="49018A9E" w:rsidR="00436876" w:rsidRDefault="000F767A"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Pricing press release dated </w:t>
            </w:r>
            <w:r w:rsidR="008E08C6">
              <w:rPr>
                <w:rFonts w:ascii="Times New Roman" w:eastAsia="Times New Roman" w:hAnsi="Times New Roman" w:cs="Times New Roman"/>
                <w:color w:val="000000"/>
                <w:sz w:val="20"/>
                <w:szCs w:val="20"/>
                <w:shd w:val="clear" w:color="auto" w:fill="FFFFFF"/>
              </w:rPr>
              <w:t xml:space="preserve">September </w:t>
            </w:r>
            <w:r w:rsidR="001B5E70">
              <w:rPr>
                <w:rFonts w:ascii="Times New Roman" w:eastAsia="Times New Roman" w:hAnsi="Times New Roman" w:cs="Times New Roman"/>
                <w:sz w:val="20"/>
                <w:szCs w:val="20"/>
              </w:rPr>
              <w:t>24</w:t>
            </w:r>
            <w:r>
              <w:rPr>
                <w:rFonts w:ascii="Times New Roman" w:eastAsia="Times New Roman" w:hAnsi="Times New Roman" w:cs="Times New Roman"/>
                <w:sz w:val="20"/>
                <w:szCs w:val="20"/>
              </w:rPr>
              <w:t>, 2020</w:t>
            </w:r>
          </w:p>
        </w:tc>
      </w:tr>
    </w:tbl>
    <w:p w14:paraId="2AD57C5E" w14:textId="77777777" w:rsidR="00E07869" w:rsidRDefault="00E07869" w:rsidP="00E07869">
      <w:pPr>
        <w:spacing w:after="0" w:line="240" w:lineRule="auto"/>
        <w:rPr>
          <w:rFonts w:ascii="Times New Roman" w:eastAsia="Times New Roman" w:hAnsi="Times New Roman" w:cs="Times New Roman"/>
          <w:sz w:val="20"/>
          <w:szCs w:val="20"/>
        </w:rPr>
      </w:pPr>
    </w:p>
    <w:p w14:paraId="5B10F564" w14:textId="77777777" w:rsidR="00E07869" w:rsidRDefault="00E07869" w:rsidP="00E0786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4A2F5F7" w14:textId="77777777" w:rsidR="00E07869" w:rsidRPr="00494EA1" w:rsidRDefault="00E07869" w:rsidP="00E07869">
      <w:pPr>
        <w:spacing w:after="0" w:line="240" w:lineRule="auto"/>
        <w:rPr>
          <w:rFonts w:ascii="Times New Roman" w:eastAsia="Times New Roman" w:hAnsi="Times New Roman" w:cs="Times New Roman"/>
          <w:sz w:val="20"/>
          <w:szCs w:val="20"/>
        </w:rPr>
      </w:pPr>
    </w:p>
    <w:p w14:paraId="6AC2C923" w14:textId="77777777" w:rsidR="00E07869" w:rsidRPr="00494EA1" w:rsidRDefault="00E07869" w:rsidP="00E07869">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SIGNATURE</w:t>
      </w:r>
    </w:p>
    <w:p w14:paraId="4DAB3DB3"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D6ACAC7" w14:textId="77777777" w:rsidR="00E07869" w:rsidRPr="00494EA1" w:rsidRDefault="00E07869" w:rsidP="00E07869">
      <w:pPr>
        <w:spacing w:after="0" w:line="240" w:lineRule="auto"/>
        <w:ind w:firstLine="720"/>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Pursuant to the requirements of the Securities Exchange Act of 1934, the Registrant has duly caused this </w:t>
      </w:r>
      <w:r>
        <w:rPr>
          <w:rFonts w:ascii="Times New Roman" w:eastAsia="Times New Roman" w:hAnsi="Times New Roman" w:cs="Times New Roman"/>
          <w:sz w:val="20"/>
          <w:szCs w:val="20"/>
        </w:rPr>
        <w:t>r</w:t>
      </w:r>
      <w:r w:rsidRPr="00494EA1">
        <w:rPr>
          <w:rFonts w:ascii="Times New Roman" w:eastAsia="Times New Roman" w:hAnsi="Times New Roman" w:cs="Times New Roman"/>
          <w:sz w:val="20"/>
          <w:szCs w:val="20"/>
        </w:rPr>
        <w:t>eport to be signed on its behalf by the undersigned hereunto duly authorized.</w:t>
      </w:r>
    </w:p>
    <w:p w14:paraId="44F20A76"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488265D" w14:textId="58D1BD0B" w:rsidR="00E07869" w:rsidRPr="00494EA1" w:rsidRDefault="00E07869" w:rsidP="00E078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Pr="00494EA1">
        <w:rPr>
          <w:rFonts w:ascii="Times New Roman" w:eastAsia="Times New Roman" w:hAnsi="Times New Roman" w:cs="Times New Roman"/>
          <w:sz w:val="20"/>
          <w:szCs w:val="20"/>
        </w:rPr>
        <w:t xml:space="preserve">: </w:t>
      </w:r>
      <w:r w:rsidR="006E63CF">
        <w:rPr>
          <w:rFonts w:ascii="Times New Roman" w:eastAsia="Times New Roman" w:hAnsi="Times New Roman" w:cs="Times New Roman"/>
          <w:sz w:val="20"/>
          <w:szCs w:val="20"/>
        </w:rPr>
        <w:t>September</w:t>
      </w:r>
      <w:r w:rsidR="00B461F1">
        <w:rPr>
          <w:rFonts w:ascii="Times New Roman" w:eastAsia="Times New Roman" w:hAnsi="Times New Roman" w:cs="Times New Roman"/>
          <w:sz w:val="20"/>
          <w:szCs w:val="20"/>
        </w:rPr>
        <w:t xml:space="preserve"> </w:t>
      </w:r>
      <w:r w:rsidR="00B461F1" w:rsidRPr="00B461F1">
        <w:rPr>
          <w:rFonts w:ascii="Times New Roman" w:eastAsia="Times New Roman" w:hAnsi="Times New Roman" w:cs="Times New Roman"/>
          <w:sz w:val="20"/>
          <w:szCs w:val="20"/>
        </w:rPr>
        <w:t>25</w:t>
      </w:r>
      <w:r w:rsidRPr="00494EA1">
        <w:rPr>
          <w:rFonts w:ascii="Times New Roman" w:eastAsia="Times New Roman" w:hAnsi="Times New Roman" w:cs="Times New Roman"/>
          <w:sz w:val="20"/>
          <w:szCs w:val="20"/>
        </w:rPr>
        <w:t>, 2020</w:t>
      </w:r>
    </w:p>
    <w:p w14:paraId="46347AED"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E07869" w:rsidRPr="00494EA1" w14:paraId="73A341FF" w14:textId="77777777" w:rsidTr="009E01BC">
        <w:trPr>
          <w:tblCellSpacing w:w="0" w:type="dxa"/>
        </w:trPr>
        <w:tc>
          <w:tcPr>
            <w:tcW w:w="2500" w:type="pct"/>
            <w:hideMark/>
          </w:tcPr>
          <w:p w14:paraId="665CB854"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0E184D61"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GEOVAX LABS, INC.</w:t>
            </w:r>
          </w:p>
        </w:tc>
        <w:tc>
          <w:tcPr>
            <w:tcW w:w="600" w:type="pct"/>
            <w:hideMark/>
          </w:tcPr>
          <w:p w14:paraId="555D3411"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06F7BD60" w14:textId="77777777" w:rsidTr="009E01BC">
        <w:trPr>
          <w:tblCellSpacing w:w="0" w:type="dxa"/>
        </w:trPr>
        <w:tc>
          <w:tcPr>
            <w:tcW w:w="2500" w:type="pct"/>
            <w:hideMark/>
          </w:tcPr>
          <w:p w14:paraId="5927BAF6"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643C5BC9"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7A9A27DA"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7520B4ED" w14:textId="77777777" w:rsidTr="009E01BC">
        <w:trPr>
          <w:tblCellSpacing w:w="0" w:type="dxa"/>
        </w:trPr>
        <w:tc>
          <w:tcPr>
            <w:tcW w:w="2500" w:type="pct"/>
            <w:hideMark/>
          </w:tcPr>
          <w:p w14:paraId="6928C3FE"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5BF3E959"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374BE1C3"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4BA77C24" w14:textId="77777777" w:rsidTr="009E01BC">
        <w:trPr>
          <w:tblCellSpacing w:w="0" w:type="dxa"/>
        </w:trPr>
        <w:tc>
          <w:tcPr>
            <w:tcW w:w="2500" w:type="pct"/>
            <w:hideMark/>
          </w:tcPr>
          <w:p w14:paraId="02C9E60E"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168B679A"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By:</w:t>
            </w:r>
          </w:p>
        </w:tc>
        <w:tc>
          <w:tcPr>
            <w:tcW w:w="1750" w:type="pct"/>
            <w:tcBorders>
              <w:bottom w:val="single" w:sz="6" w:space="0" w:color="000000"/>
            </w:tcBorders>
            <w:hideMark/>
          </w:tcPr>
          <w:p w14:paraId="7D12417B"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 Mark W. Reynolds</w:t>
            </w:r>
          </w:p>
        </w:tc>
        <w:tc>
          <w:tcPr>
            <w:tcW w:w="600" w:type="pct"/>
            <w:hideMark/>
          </w:tcPr>
          <w:p w14:paraId="406707EA"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4441C8EE" w14:textId="77777777" w:rsidTr="009E01BC">
        <w:trPr>
          <w:tblCellSpacing w:w="0" w:type="dxa"/>
        </w:trPr>
        <w:tc>
          <w:tcPr>
            <w:tcW w:w="2500" w:type="pct"/>
            <w:hideMark/>
          </w:tcPr>
          <w:p w14:paraId="73524CA3"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37530812"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vAlign w:val="bottom"/>
            <w:hideMark/>
          </w:tcPr>
          <w:p w14:paraId="076961F3"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Mark W. Reynolds</w:t>
            </w:r>
          </w:p>
        </w:tc>
        <w:tc>
          <w:tcPr>
            <w:tcW w:w="600" w:type="pct"/>
            <w:hideMark/>
          </w:tcPr>
          <w:p w14:paraId="70DF5EB9"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1F9154A7" w14:textId="77777777" w:rsidTr="009E01BC">
        <w:trPr>
          <w:tblCellSpacing w:w="0" w:type="dxa"/>
        </w:trPr>
        <w:tc>
          <w:tcPr>
            <w:tcW w:w="2500" w:type="pct"/>
            <w:hideMark/>
          </w:tcPr>
          <w:p w14:paraId="2AC637B1"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115343FD"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42640DB6"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Chief Financial Officer</w:t>
            </w:r>
          </w:p>
        </w:tc>
        <w:tc>
          <w:tcPr>
            <w:tcW w:w="600" w:type="pct"/>
            <w:hideMark/>
          </w:tcPr>
          <w:p w14:paraId="136EDFED"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E07869" w:rsidRPr="00494EA1" w14:paraId="4BC01689" w14:textId="77777777" w:rsidTr="009E01BC">
        <w:trPr>
          <w:tblCellSpacing w:w="0" w:type="dxa"/>
        </w:trPr>
        <w:tc>
          <w:tcPr>
            <w:tcW w:w="2500" w:type="pct"/>
            <w:hideMark/>
          </w:tcPr>
          <w:p w14:paraId="25693E12"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517F033E"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10AC3F0A"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3AFB0A1F" w14:textId="77777777" w:rsidR="00E07869" w:rsidRPr="00494EA1" w:rsidRDefault="00E07869" w:rsidP="009E01BC">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bl>
    <w:p w14:paraId="232D665B" w14:textId="77777777" w:rsidR="00E07869" w:rsidRPr="00494EA1" w:rsidRDefault="00E07869" w:rsidP="00E07869">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FBC69B5" w14:textId="77777777" w:rsidR="00E07869" w:rsidRPr="008644BF" w:rsidRDefault="00E07869" w:rsidP="00E07869"/>
    <w:p w14:paraId="1A300485" w14:textId="77777777" w:rsidR="00E07869" w:rsidRPr="00734787" w:rsidRDefault="00E07869" w:rsidP="00E07869"/>
    <w:p w14:paraId="3F2A2BE5" w14:textId="77777777" w:rsidR="00E07869" w:rsidRPr="00781181" w:rsidRDefault="00E07869" w:rsidP="00E07869">
      <w:pPr>
        <w:rPr>
          <w:rFonts w:cs="Times New Roman"/>
          <w:szCs w:val="24"/>
        </w:rPr>
      </w:pPr>
    </w:p>
    <w:p w14:paraId="0EF6866E" w14:textId="77777777" w:rsidR="00AE3C59" w:rsidRDefault="00AE3C59">
      <w:pPr>
        <w:rPr>
          <w:rFonts w:cs="Times New Roman"/>
          <w:szCs w:val="24"/>
        </w:rPr>
        <w:sectPr w:rsidR="00AE3C59">
          <w:footerReference w:type="default" r:id="rId8"/>
          <w:pgSz w:w="12240" w:h="15840"/>
          <w:pgMar w:top="1440" w:right="1440" w:bottom="1440" w:left="1440" w:header="720" w:footer="720" w:gutter="0"/>
          <w:cols w:space="720"/>
          <w:docGrid w:linePitch="360"/>
        </w:sectPr>
      </w:pPr>
    </w:p>
    <w:p w14:paraId="55B7CA7F" w14:textId="77777777" w:rsidR="00AE3C59" w:rsidRPr="00AE3C59" w:rsidRDefault="00AE3C59" w:rsidP="00AE3C59">
      <w:pPr>
        <w:spacing w:after="0" w:line="240" w:lineRule="auto"/>
        <w:jc w:val="right"/>
        <w:rPr>
          <w:rFonts w:ascii="Times New Roman" w:eastAsia="Times New Roman" w:hAnsi="Times New Roman" w:cs="Times New Roman"/>
          <w:b/>
          <w:sz w:val="20"/>
          <w:szCs w:val="24"/>
          <w:lang w:eastAsia="en-US" w:bidi="ar-SA"/>
        </w:rPr>
      </w:pPr>
      <w:r w:rsidRPr="00AE3C59">
        <w:rPr>
          <w:rFonts w:ascii="Times New Roman" w:eastAsia="Times New Roman" w:hAnsi="Times New Roman" w:cs="Times New Roman"/>
          <w:b/>
          <w:sz w:val="20"/>
          <w:szCs w:val="24"/>
          <w:lang w:eastAsia="en-US" w:bidi="ar-SA"/>
        </w:rPr>
        <w:lastRenderedPageBreak/>
        <w:t>Exhibit 1.1</w:t>
      </w:r>
    </w:p>
    <w:p w14:paraId="06E0600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8CFAF1F" w14:textId="77777777" w:rsidR="00AE3C59" w:rsidRPr="00AE3C59" w:rsidRDefault="00AE3C59" w:rsidP="00AE3C59">
      <w:pPr>
        <w:spacing w:after="0" w:line="240" w:lineRule="auto"/>
        <w:jc w:val="right"/>
        <w:rPr>
          <w:rFonts w:ascii="Times New Roman" w:eastAsia="Times New Roman" w:hAnsi="Times New Roman" w:cs="Times New Roman"/>
          <w:b/>
          <w:bCs/>
          <w:sz w:val="20"/>
          <w:szCs w:val="20"/>
          <w:lang w:val="en-US" w:eastAsia="en-US" w:bidi="ar-SA"/>
        </w:rPr>
      </w:pPr>
    </w:p>
    <w:p w14:paraId="027E3146" w14:textId="77777777" w:rsidR="00AE3C59" w:rsidRPr="00AE3C59" w:rsidRDefault="00AE3C59" w:rsidP="00AE3C59">
      <w:pPr>
        <w:spacing w:after="0" w:line="240" w:lineRule="auto"/>
        <w:jc w:val="right"/>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3E350B51"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eastAsia="en-US" w:bidi="ar-SA"/>
        </w:rPr>
        <w:t>2,560,000</w:t>
      </w:r>
      <w:r w:rsidRPr="00AE3C59">
        <w:rPr>
          <w:rFonts w:ascii="Times New Roman" w:eastAsia="Times New Roman" w:hAnsi="Times New Roman" w:cs="Times New Roman"/>
          <w:b/>
          <w:bCs/>
          <w:sz w:val="20"/>
          <w:szCs w:val="20"/>
          <w:lang w:val="en-US" w:eastAsia="en-US" w:bidi="ar-SA"/>
        </w:rPr>
        <w:t xml:space="preserve"> UNITS </w:t>
      </w:r>
    </w:p>
    <w:p w14:paraId="140007C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EACH UNIT CONSISTING OF</w:t>
      </w:r>
    </w:p>
    <w:p w14:paraId="6038517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eastAsia="en-US" w:bidi="ar-SA"/>
        </w:rPr>
      </w:pPr>
      <w:r w:rsidRPr="00AE3C59">
        <w:rPr>
          <w:rFonts w:ascii="Times New Roman" w:eastAsia="Times New Roman" w:hAnsi="Times New Roman" w:cs="Times New Roman"/>
          <w:b/>
          <w:bCs/>
          <w:sz w:val="20"/>
          <w:szCs w:val="20"/>
          <w:lang w:val="en-US" w:eastAsia="en-US" w:bidi="ar-SA"/>
        </w:rPr>
        <w:t>ONE SHARE OF COMMON STOCK</w:t>
      </w:r>
      <w:r w:rsidRPr="00AE3C59">
        <w:rPr>
          <w:rFonts w:ascii="Times New Roman" w:eastAsia="Times New Roman" w:hAnsi="Times New Roman" w:cs="Times New Roman"/>
          <w:b/>
          <w:bCs/>
          <w:sz w:val="20"/>
          <w:szCs w:val="20"/>
          <w:lang w:eastAsia="en-US" w:bidi="ar-SA"/>
        </w:rPr>
        <w:t xml:space="preserve"> OR ONE PRE-FUNDED WARRANT</w:t>
      </w:r>
    </w:p>
    <w:p w14:paraId="6B99FDB9" w14:textId="77777777" w:rsidR="00AE3C59" w:rsidRPr="00AE3C59" w:rsidRDefault="00AE3C59" w:rsidP="00AE3C59">
      <w:pPr>
        <w:spacing w:after="0" w:line="240" w:lineRule="auto"/>
        <w:jc w:val="center"/>
        <w:rPr>
          <w:rFonts w:ascii="Times New Roman" w:eastAsia="Times New Roman" w:hAnsi="Times New Roman" w:cs="Times New Roman"/>
          <w:b/>
          <w:bCs/>
          <w:caps/>
          <w:sz w:val="20"/>
          <w:szCs w:val="20"/>
          <w:lang w:val="en-US" w:eastAsia="en-US" w:bidi="ar-SA"/>
        </w:rPr>
      </w:pPr>
      <w:r w:rsidRPr="00AE3C59">
        <w:rPr>
          <w:rFonts w:ascii="Times New Roman" w:eastAsia="Times New Roman" w:hAnsi="Times New Roman" w:cs="Times New Roman"/>
          <w:b/>
          <w:bCs/>
          <w:caps/>
          <w:sz w:val="20"/>
          <w:szCs w:val="20"/>
          <w:lang w:val="en-US" w:eastAsia="en-US" w:bidi="ar-SA"/>
        </w:rPr>
        <w:t xml:space="preserve">and </w:t>
      </w:r>
    </w:p>
    <w:p w14:paraId="0DA7849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ONE WARRANT TO PURCHASE ONE SHARE OF COMMON STOCK</w:t>
      </w:r>
    </w:p>
    <w:p w14:paraId="6E965B5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93BD5B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p w14:paraId="278228D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4765A0C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UNDERWRITING AGREEMENT</w:t>
      </w:r>
    </w:p>
    <w:p w14:paraId="20D53ED2" w14:textId="77777777" w:rsidR="00AE3C59" w:rsidRPr="00AE3C59" w:rsidRDefault="00AE3C59" w:rsidP="00AE3C59">
      <w:pPr>
        <w:spacing w:after="0" w:line="240" w:lineRule="auto"/>
        <w:jc w:val="right"/>
        <w:rPr>
          <w:rFonts w:ascii="Times New Roman" w:eastAsia="Times New Roman" w:hAnsi="Times New Roman" w:cs="Times New Roman"/>
          <w:sz w:val="24"/>
          <w:szCs w:val="24"/>
        </w:rPr>
      </w:pPr>
      <w:r w:rsidRPr="00AE3C59">
        <w:rPr>
          <w:rFonts w:ascii="Times New Roman" w:eastAsia="Times New Roman" w:hAnsi="Times New Roman" w:cs="Times New Roman"/>
          <w:sz w:val="24"/>
          <w:szCs w:val="24"/>
        </w:rPr>
        <w:br/>
      </w:r>
      <w:r w:rsidRPr="00AE3C59">
        <w:rPr>
          <w:rFonts w:ascii="Times New Roman" w:eastAsia="Times New Roman" w:hAnsi="Times New Roman" w:cs="Times New Roman"/>
          <w:sz w:val="20"/>
          <w:szCs w:val="20"/>
          <w:lang w:val="en-US" w:eastAsia="en-US" w:bidi="ar-SA"/>
        </w:rPr>
        <w:t xml:space="preserve">September </w:t>
      </w:r>
      <w:r w:rsidRPr="00AE3C59">
        <w:rPr>
          <w:rFonts w:ascii="Times New Roman" w:eastAsia="Times New Roman" w:hAnsi="Times New Roman" w:cs="Times New Roman"/>
          <w:sz w:val="20"/>
          <w:szCs w:val="20"/>
          <w:lang w:eastAsia="en-US" w:bidi="ar-SA"/>
        </w:rPr>
        <w:t>24,</w:t>
      </w:r>
      <w:r w:rsidRPr="00AE3C59">
        <w:rPr>
          <w:rFonts w:ascii="Times New Roman" w:eastAsia="Times New Roman" w:hAnsi="Times New Roman" w:cs="Times New Roman"/>
          <w:sz w:val="20"/>
          <w:szCs w:val="20"/>
          <w:lang w:val="en-US" w:eastAsia="en-US" w:bidi="ar-SA"/>
        </w:rPr>
        <w:t xml:space="preserve"> 2020</w:t>
      </w:r>
    </w:p>
    <w:p w14:paraId="2FD7B9E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04CFC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Maxim Group LLC</w:t>
      </w:r>
    </w:p>
    <w:p w14:paraId="0DA3E9D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Investment Banking</w:t>
      </w:r>
    </w:p>
    <w:p w14:paraId="644EFA8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405 Lexington Avenue, 2nd Fl.</w:t>
      </w:r>
    </w:p>
    <w:p w14:paraId="44EE15F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New York, New York 10174</w:t>
      </w:r>
    </w:p>
    <w:p w14:paraId="7CCC6C8E" w14:textId="77777777" w:rsidR="00AE3C59" w:rsidRPr="00AE3C59" w:rsidRDefault="00AE3C59" w:rsidP="00AE3C59">
      <w:pPr>
        <w:spacing w:after="0" w:line="240" w:lineRule="auto"/>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 </w:t>
      </w:r>
    </w:p>
    <w:p w14:paraId="496D71A8" w14:textId="77777777" w:rsidR="00AE3C59" w:rsidRPr="00AE3C59" w:rsidRDefault="00AE3C59" w:rsidP="00AE3C59">
      <w:pPr>
        <w:spacing w:after="0" w:line="240" w:lineRule="auto"/>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As Representative of the</w:t>
      </w:r>
      <w:r w:rsidRPr="00AE3C59">
        <w:rPr>
          <w:rFonts w:ascii="Times New Roman" w:eastAsia="Times New Roman" w:hAnsi="Times New Roman" w:cs="Times New Roman"/>
          <w:sz w:val="20"/>
          <w:szCs w:val="20"/>
          <w:lang w:val="en-US" w:eastAsia="en-US" w:bidi="ar-SA"/>
        </w:rPr>
        <w:t xml:space="preserve"> S</w:t>
      </w:r>
      <w:r w:rsidRPr="00AE3C59">
        <w:rPr>
          <w:rFonts w:ascii="Times New Roman" w:eastAsia="Times New Roman" w:hAnsi="Times New Roman" w:cs="Times New Roman"/>
          <w:i/>
          <w:iCs/>
          <w:sz w:val="20"/>
          <w:szCs w:val="20"/>
          <w:lang w:val="en-US" w:eastAsia="en-US" w:bidi="ar-SA"/>
        </w:rPr>
        <w:t xml:space="preserve">everal Underwriters, if any, named in </w:t>
      </w:r>
      <w:r w:rsidRPr="00AE3C59">
        <w:rPr>
          <w:rFonts w:ascii="Times New Roman" w:eastAsia="Times New Roman" w:hAnsi="Times New Roman" w:cs="Times New Roman"/>
          <w:i/>
          <w:iCs/>
          <w:sz w:val="20"/>
          <w:szCs w:val="20"/>
          <w:u w:val="single"/>
          <w:lang w:val="en-US" w:eastAsia="en-US" w:bidi="ar-SA"/>
        </w:rPr>
        <w:t>Schedule I</w:t>
      </w:r>
      <w:r w:rsidRPr="00AE3C59">
        <w:rPr>
          <w:rFonts w:ascii="Times New Roman" w:eastAsia="Times New Roman" w:hAnsi="Times New Roman" w:cs="Times New Roman"/>
          <w:i/>
          <w:iCs/>
          <w:sz w:val="20"/>
          <w:szCs w:val="20"/>
          <w:lang w:val="en-US" w:eastAsia="en-US" w:bidi="ar-SA"/>
        </w:rPr>
        <w:t xml:space="preserve"> hereto</w:t>
      </w:r>
    </w:p>
    <w:p w14:paraId="06AE0D6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45EEC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Ladies and Gentlemen:</w:t>
      </w:r>
    </w:p>
    <w:p w14:paraId="3BE7375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43E58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GEOVAX LABS, INC., a company incorporated under the laws of Delaware (the “</w:t>
      </w:r>
      <w:r w:rsidRPr="00AE3C59">
        <w:rPr>
          <w:rFonts w:ascii="Times New Roman" w:eastAsia="Times New Roman" w:hAnsi="Times New Roman" w:cs="Times New Roman"/>
          <w:sz w:val="20"/>
          <w:szCs w:val="20"/>
          <w:u w:val="single"/>
          <w:lang w:val="en-US" w:eastAsia="en-US" w:bidi="ar-SA"/>
        </w:rPr>
        <w:t>Company</w:t>
      </w:r>
      <w:r w:rsidRPr="00AE3C59">
        <w:rPr>
          <w:rFonts w:ascii="Times New Roman" w:eastAsia="Times New Roman" w:hAnsi="Times New Roman" w:cs="Times New Roman"/>
          <w:sz w:val="20"/>
          <w:szCs w:val="20"/>
          <w:lang w:val="en-US" w:eastAsia="en-US" w:bidi="ar-SA"/>
        </w:rPr>
        <w:t>”), hereby confirms its agreement (this “</w:t>
      </w:r>
      <w:r w:rsidRPr="00AE3C59">
        <w:rPr>
          <w:rFonts w:ascii="Times New Roman" w:eastAsia="Times New Roman" w:hAnsi="Times New Roman" w:cs="Times New Roman"/>
          <w:sz w:val="20"/>
          <w:szCs w:val="20"/>
          <w:u w:val="single"/>
          <w:lang w:val="en-US" w:eastAsia="en-US" w:bidi="ar-SA"/>
        </w:rPr>
        <w:t>Agreement</w:t>
      </w:r>
      <w:r w:rsidRPr="00AE3C59">
        <w:rPr>
          <w:rFonts w:ascii="Times New Roman" w:eastAsia="Times New Roman" w:hAnsi="Times New Roman" w:cs="Times New Roman"/>
          <w:sz w:val="20"/>
          <w:szCs w:val="20"/>
          <w:lang w:val="en-US" w:eastAsia="en-US" w:bidi="ar-SA"/>
        </w:rPr>
        <w:t>”) with the several underwriters (such underwriters, including the Representative (as defined below), the “</w:t>
      </w:r>
      <w:r w:rsidRPr="00AE3C59">
        <w:rPr>
          <w:rFonts w:ascii="Times New Roman" w:eastAsia="Times New Roman" w:hAnsi="Times New Roman" w:cs="Times New Roman"/>
          <w:sz w:val="20"/>
          <w:szCs w:val="20"/>
          <w:u w:val="single"/>
          <w:lang w:val="en-US" w:eastAsia="en-US" w:bidi="ar-SA"/>
        </w:rPr>
        <w:t>Underwriters</w:t>
      </w:r>
      <w:r w:rsidRPr="00AE3C59">
        <w:rPr>
          <w:rFonts w:ascii="Times New Roman" w:eastAsia="Times New Roman" w:hAnsi="Times New Roman" w:cs="Times New Roman"/>
          <w:sz w:val="20"/>
          <w:szCs w:val="20"/>
          <w:lang w:val="en-US" w:eastAsia="en-US" w:bidi="ar-SA"/>
        </w:rPr>
        <w:t>” and each an “</w:t>
      </w:r>
      <w:r w:rsidRPr="00AE3C59">
        <w:rPr>
          <w:rFonts w:ascii="Times New Roman" w:eastAsia="Times New Roman" w:hAnsi="Times New Roman" w:cs="Times New Roman"/>
          <w:sz w:val="20"/>
          <w:szCs w:val="20"/>
          <w:u w:val="single"/>
          <w:lang w:val="en-US" w:eastAsia="en-US" w:bidi="ar-SA"/>
        </w:rPr>
        <w:t>Underwriter</w:t>
      </w:r>
      <w:r w:rsidRPr="00AE3C59">
        <w:rPr>
          <w:rFonts w:ascii="Times New Roman" w:eastAsia="Times New Roman" w:hAnsi="Times New Roman" w:cs="Times New Roman"/>
          <w:sz w:val="20"/>
          <w:szCs w:val="20"/>
          <w:lang w:val="en-US" w:eastAsia="en-US" w:bidi="ar-SA"/>
        </w:rPr>
        <w:t xml:space="preserve">”) named in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hereto for which MAXIM GROUP LLC (“</w:t>
      </w:r>
      <w:r w:rsidRPr="00AE3C59">
        <w:rPr>
          <w:rFonts w:ascii="Times New Roman" w:eastAsia="Times New Roman" w:hAnsi="Times New Roman" w:cs="Times New Roman"/>
          <w:sz w:val="20"/>
          <w:szCs w:val="20"/>
          <w:u w:val="single"/>
          <w:lang w:val="en-US" w:eastAsia="en-US" w:bidi="ar-SA"/>
        </w:rPr>
        <w:t>Maxim</w:t>
      </w:r>
      <w:r w:rsidRPr="00AE3C59">
        <w:rPr>
          <w:rFonts w:ascii="Times New Roman" w:eastAsia="Times New Roman" w:hAnsi="Times New Roman" w:cs="Times New Roman"/>
          <w:sz w:val="20"/>
          <w:szCs w:val="20"/>
          <w:lang w:val="en-US" w:eastAsia="en-US" w:bidi="ar-SA"/>
        </w:rPr>
        <w:t>”) is acting as representative to the several Underwriters (in such capacity, the “</w:t>
      </w:r>
      <w:r w:rsidRPr="00AE3C59">
        <w:rPr>
          <w:rFonts w:ascii="Times New Roman" w:eastAsia="Times New Roman" w:hAnsi="Times New Roman" w:cs="Times New Roman"/>
          <w:sz w:val="20"/>
          <w:szCs w:val="20"/>
          <w:u w:val="single"/>
          <w:lang w:val="en-US" w:eastAsia="en-US" w:bidi="ar-SA"/>
        </w:rPr>
        <w:t>Representative</w:t>
      </w:r>
      <w:r w:rsidRPr="00AE3C59">
        <w:rPr>
          <w:rFonts w:ascii="Times New Roman" w:eastAsia="Times New Roman" w:hAnsi="Times New Roman" w:cs="Times New Roman"/>
          <w:sz w:val="20"/>
          <w:szCs w:val="20"/>
          <w:lang w:val="en-US" w:eastAsia="en-US" w:bidi="ar-SA"/>
        </w:rPr>
        <w:t>” and if there are no Underwriters other than the Representative, references to multiple Underwriters shall be disregarded and the term Representative as used herein shall have the same meaning as Underwriter) on the terms and conditions set forth herein.</w:t>
      </w:r>
    </w:p>
    <w:p w14:paraId="37C8E70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153A48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It is understood that the several Underwriters are to make a public offering of the Public Securities (as defined below) as soon as the Representative deems it advisable to do so. The Public Securities are to be initially offered to the public at the public offering price set forth in the Prospectus. The Representative may from time to time thereafter change the public offering price and other selling terms.</w:t>
      </w:r>
    </w:p>
    <w:p w14:paraId="70DA9BB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95885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It is further understood that Maxim will act as the Representative for the Underwriters in the offering and sale of the Closing Securities (as defined below) and, if any, the Option Securities (as defined below) in accordance with this Agreement.</w:t>
      </w:r>
    </w:p>
    <w:p w14:paraId="3C9B39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EE7F6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I. </w:t>
      </w:r>
    </w:p>
    <w:p w14:paraId="3D9B0B8E"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DEFINITIONS</w:t>
      </w:r>
    </w:p>
    <w:p w14:paraId="00171E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201AA3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1.1  </w:t>
      </w:r>
      <w:r w:rsidRPr="00AE3C59">
        <w:rPr>
          <w:rFonts w:ascii="Times New Roman" w:eastAsia="Times New Roman" w:hAnsi="Times New Roman" w:cs="Times New Roman"/>
          <w:sz w:val="20"/>
          <w:szCs w:val="20"/>
          <w:u w:val="single"/>
          <w:lang w:val="en-US" w:eastAsia="en-US" w:bidi="ar-SA"/>
        </w:rPr>
        <w:t>Definitions</w:t>
      </w:r>
      <w:r w:rsidRPr="00AE3C59">
        <w:rPr>
          <w:rFonts w:ascii="Times New Roman" w:eastAsia="Times New Roman" w:hAnsi="Times New Roman" w:cs="Times New Roman"/>
          <w:sz w:val="20"/>
          <w:szCs w:val="20"/>
          <w:lang w:val="en-US" w:eastAsia="en-US" w:bidi="ar-SA"/>
        </w:rPr>
        <w:t xml:space="preserve">. In addition to the terms defined elsewhere in this Agreement, for all purposes of this Agreement, the following terms have the meanings set forth in this </w:t>
      </w:r>
      <w:r w:rsidRPr="00AE3C59">
        <w:rPr>
          <w:rFonts w:ascii="Times New Roman" w:eastAsia="Times New Roman" w:hAnsi="Times New Roman" w:cs="Times New Roman"/>
          <w:sz w:val="20"/>
          <w:szCs w:val="20"/>
          <w:u w:val="single"/>
          <w:lang w:val="en-US" w:eastAsia="en-US" w:bidi="ar-SA"/>
        </w:rPr>
        <w:t>Section 1.1</w:t>
      </w:r>
      <w:r w:rsidRPr="00AE3C59">
        <w:rPr>
          <w:rFonts w:ascii="Times New Roman" w:eastAsia="Times New Roman" w:hAnsi="Times New Roman" w:cs="Times New Roman"/>
          <w:sz w:val="20"/>
          <w:szCs w:val="20"/>
          <w:lang w:val="en-US" w:eastAsia="en-US" w:bidi="ar-SA"/>
        </w:rPr>
        <w:t>:</w:t>
      </w:r>
    </w:p>
    <w:p w14:paraId="64ECF7F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F1DEB8" w14:textId="77777777" w:rsidR="00AE3C59" w:rsidRPr="00AE3C59" w:rsidRDefault="00AE3C59" w:rsidP="00AE3C59">
      <w:pPr>
        <w:spacing w:after="0" w:line="240" w:lineRule="auto"/>
        <w:ind w:left="-360"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Action</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3.1(k)</w:t>
      </w:r>
      <w:r w:rsidRPr="00AE3C59">
        <w:rPr>
          <w:rFonts w:ascii="Times New Roman" w:eastAsia="Times New Roman" w:hAnsi="Times New Roman" w:cs="Times New Roman"/>
          <w:sz w:val="20"/>
          <w:szCs w:val="20"/>
          <w:lang w:val="en-US" w:eastAsia="en-US" w:bidi="ar-SA"/>
        </w:rPr>
        <w:t>.</w:t>
      </w:r>
    </w:p>
    <w:p w14:paraId="66FA299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61B2DC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Affiliate</w:t>
      </w:r>
      <w:r w:rsidRPr="00AE3C59">
        <w:rPr>
          <w:rFonts w:ascii="Times New Roman" w:eastAsia="Times New Roman" w:hAnsi="Times New Roman" w:cs="Times New Roman"/>
          <w:sz w:val="20"/>
          <w:szCs w:val="20"/>
          <w:lang w:val="en-US" w:eastAsia="en-US" w:bidi="ar-SA"/>
        </w:rPr>
        <w:t>” means with respect to any Person, any other Person that, directly or indirectly through one or more intermediaries, controls or is controlled by or is under common control with such Person as such terms are used in and construed under Rule 405 under the Securities Act.</w:t>
      </w:r>
    </w:p>
    <w:p w14:paraId="7BB6DDB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16398F5" w14:textId="77777777" w:rsidR="00AE3C59" w:rsidRPr="00AE3C59" w:rsidRDefault="00AE3C59" w:rsidP="00AE3C59">
      <w:pPr>
        <w:spacing w:after="0" w:line="240" w:lineRule="auto"/>
        <w:ind w:firstLine="108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Authorizations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3.1(o)</w:t>
      </w:r>
      <w:r w:rsidRPr="00AE3C59">
        <w:rPr>
          <w:rFonts w:ascii="Times New Roman" w:eastAsia="Times New Roman" w:hAnsi="Times New Roman" w:cs="Times New Roman"/>
          <w:sz w:val="20"/>
          <w:szCs w:val="20"/>
          <w:lang w:val="en-US" w:eastAsia="en-US" w:bidi="ar-SA"/>
        </w:rPr>
        <w:t>.</w:t>
      </w:r>
    </w:p>
    <w:p w14:paraId="54EFB7C2"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B6975A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Board of Directors</w:t>
      </w:r>
      <w:r w:rsidRPr="00AE3C59">
        <w:rPr>
          <w:rFonts w:ascii="Times New Roman" w:eastAsia="Times New Roman" w:hAnsi="Times New Roman" w:cs="Times New Roman"/>
          <w:sz w:val="20"/>
          <w:szCs w:val="20"/>
          <w:lang w:val="en-US" w:eastAsia="en-US" w:bidi="ar-SA"/>
        </w:rPr>
        <w:t>” means the board of directors of the Company.</w:t>
      </w:r>
    </w:p>
    <w:p w14:paraId="67D2676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D5799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w:t>
      </w:r>
      <w:r w:rsidRPr="00AE3C59">
        <w:rPr>
          <w:rFonts w:ascii="Times New Roman" w:eastAsia="Times New Roman" w:hAnsi="Times New Roman" w:cs="Times New Roman"/>
          <w:sz w:val="20"/>
          <w:szCs w:val="20"/>
          <w:u w:val="single"/>
          <w:lang w:val="en-US" w:eastAsia="en-US" w:bidi="ar-SA"/>
        </w:rPr>
        <w:t>Business Day</w:t>
      </w:r>
      <w:r w:rsidRPr="00AE3C59">
        <w:rPr>
          <w:rFonts w:ascii="Times New Roman" w:eastAsia="Times New Roman" w:hAnsi="Times New Roman" w:cs="Times New Roman"/>
          <w:sz w:val="20"/>
          <w:szCs w:val="20"/>
          <w:lang w:val="en-US" w:eastAsia="en-US" w:bidi="ar-SA"/>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51A65EE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693EE4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w:t>
      </w:r>
      <w:r w:rsidRPr="00AE3C59">
        <w:rPr>
          <w:rFonts w:ascii="Times New Roman" w:eastAsia="Times New Roman" w:hAnsi="Times New Roman" w:cs="Times New Roman"/>
          <w:sz w:val="20"/>
          <w:szCs w:val="20"/>
          <w:lang w:val="en-US" w:eastAsia="en-US" w:bidi="ar-SA"/>
        </w:rPr>
        <w:t xml:space="preserve">” means the closing of the purchase and sale of the Closing Securities pursuant to </w:t>
      </w:r>
      <w:r w:rsidRPr="00AE3C59">
        <w:rPr>
          <w:rFonts w:ascii="Times New Roman" w:eastAsia="Times New Roman" w:hAnsi="Times New Roman" w:cs="Times New Roman"/>
          <w:sz w:val="20"/>
          <w:szCs w:val="20"/>
          <w:u w:val="single"/>
          <w:lang w:val="en-US" w:eastAsia="en-US" w:bidi="ar-SA"/>
        </w:rPr>
        <w:t>Section 2.1</w:t>
      </w:r>
      <w:r w:rsidRPr="00AE3C59">
        <w:rPr>
          <w:rFonts w:ascii="Times New Roman" w:eastAsia="Times New Roman" w:hAnsi="Times New Roman" w:cs="Times New Roman"/>
          <w:sz w:val="20"/>
          <w:szCs w:val="20"/>
          <w:lang w:val="en-US" w:eastAsia="en-US" w:bidi="ar-SA"/>
        </w:rPr>
        <w:t>.</w:t>
      </w:r>
    </w:p>
    <w:p w14:paraId="242A022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A04CB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Date</w:t>
      </w:r>
      <w:r w:rsidRPr="00AE3C59">
        <w:rPr>
          <w:rFonts w:ascii="Times New Roman" w:eastAsia="Times New Roman" w:hAnsi="Times New Roman" w:cs="Times New Roman"/>
          <w:sz w:val="20"/>
          <w:szCs w:val="20"/>
          <w:lang w:val="en-US" w:eastAsia="en-US" w:bidi="ar-SA"/>
        </w:rPr>
        <w:t>” means the hour and the date on the Trading Day on which all conditions precedent to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Underwriters’ obligations to pay the Closing Purchase Price and (ii) the Company’s obligations to deliver the Closing Securities, in each case, have been satisfied or waived, but in no event later than 10:00 a.m. (New York City time) on the second (2</w:t>
      </w:r>
      <w:r w:rsidRPr="00AE3C59">
        <w:rPr>
          <w:rFonts w:ascii="Times New Roman" w:eastAsia="Times New Roman" w:hAnsi="Times New Roman" w:cs="Times New Roman"/>
          <w:sz w:val="17"/>
          <w:szCs w:val="17"/>
          <w:lang w:val="en-US" w:eastAsia="en-US" w:bidi="ar-SA"/>
        </w:rPr>
        <w:t>nd</w:t>
      </w:r>
      <w:r w:rsidRPr="00AE3C59">
        <w:rPr>
          <w:rFonts w:ascii="Times New Roman" w:eastAsia="Times New Roman" w:hAnsi="Times New Roman" w:cs="Times New Roman"/>
          <w:sz w:val="20"/>
          <w:szCs w:val="20"/>
          <w:lang w:val="en-US" w:eastAsia="en-US" w:bidi="ar-SA"/>
        </w:rPr>
        <w:t>) Trading Day following the date hereof or at such earlier time as shall be agreed upon by the Representative and the Company.</w:t>
      </w:r>
    </w:p>
    <w:p w14:paraId="72AC8A3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03FF3A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Pre-Funded Warrants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2.1(a)(ii)</w:t>
      </w:r>
      <w:r w:rsidRPr="00AE3C59">
        <w:rPr>
          <w:rFonts w:ascii="Times New Roman" w:eastAsia="Times New Roman" w:hAnsi="Times New Roman" w:cs="Times New Roman"/>
          <w:sz w:val="20"/>
          <w:szCs w:val="20"/>
          <w:lang w:val="en-US" w:eastAsia="en-US" w:bidi="ar-SA"/>
        </w:rPr>
        <w:t>.</w:t>
      </w:r>
    </w:p>
    <w:p w14:paraId="1072BE5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FBAD79"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Purchase Price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2.1(b)</w:t>
      </w:r>
      <w:r w:rsidRPr="00AE3C59">
        <w:rPr>
          <w:rFonts w:ascii="Times New Roman" w:eastAsia="Times New Roman" w:hAnsi="Times New Roman" w:cs="Times New Roman"/>
          <w:sz w:val="20"/>
          <w:szCs w:val="20"/>
          <w:lang w:val="en-US" w:eastAsia="en-US" w:bidi="ar-SA"/>
        </w:rPr>
        <w:t>, which aggregate purchase price shall be net of underwriting discounts and commissions.</w:t>
      </w:r>
    </w:p>
    <w:p w14:paraId="7E3ACD7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E8B47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Securities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2.1(a)(iii)</w:t>
      </w:r>
      <w:r w:rsidRPr="00AE3C59">
        <w:rPr>
          <w:rFonts w:ascii="Times New Roman" w:eastAsia="Times New Roman" w:hAnsi="Times New Roman" w:cs="Times New Roman"/>
          <w:sz w:val="20"/>
          <w:szCs w:val="20"/>
          <w:lang w:val="en-US" w:eastAsia="en-US" w:bidi="ar-SA"/>
        </w:rPr>
        <w:t>.</w:t>
      </w:r>
    </w:p>
    <w:p w14:paraId="6A5FB3C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4800FB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Shares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2.1(a)(ii)</w:t>
      </w:r>
      <w:r w:rsidRPr="00AE3C59">
        <w:rPr>
          <w:rFonts w:ascii="Times New Roman" w:eastAsia="Times New Roman" w:hAnsi="Times New Roman" w:cs="Times New Roman"/>
          <w:sz w:val="20"/>
          <w:szCs w:val="20"/>
          <w:lang w:val="en-US" w:eastAsia="en-US" w:bidi="ar-SA"/>
        </w:rPr>
        <w:t>.</w:t>
      </w:r>
    </w:p>
    <w:p w14:paraId="6FE7AB1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9B291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Units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w:t>
      </w:r>
      <w:proofErr w:type="spellStart"/>
      <w:r w:rsidRPr="00AE3C59">
        <w:rPr>
          <w:rFonts w:ascii="Times New Roman" w:eastAsia="Times New Roman" w:hAnsi="Times New Roman" w:cs="Times New Roman"/>
          <w:sz w:val="20"/>
          <w:szCs w:val="20"/>
          <w:u w:val="single"/>
          <w:lang w:val="en-US" w:eastAsia="en-US" w:bidi="ar-SA"/>
        </w:rPr>
        <w:t>i</w:t>
      </w:r>
      <w:proofErr w:type="spellEnd"/>
      <w:r w:rsidRPr="00AE3C59">
        <w:rPr>
          <w:rFonts w:ascii="Times New Roman" w:eastAsia="Times New Roman" w:hAnsi="Times New Roman" w:cs="Times New Roman"/>
          <w:sz w:val="20"/>
          <w:szCs w:val="20"/>
          <w:u w:val="single"/>
          <w:lang w:val="en-US" w:eastAsia="en-US" w:bidi="ar-SA"/>
        </w:rPr>
        <w:t>)</w:t>
      </w:r>
      <w:r w:rsidRPr="00AE3C59">
        <w:rPr>
          <w:rFonts w:ascii="Times New Roman" w:eastAsia="Times New Roman" w:hAnsi="Times New Roman" w:cs="Times New Roman"/>
          <w:sz w:val="20"/>
          <w:szCs w:val="20"/>
          <w:lang w:val="en-US" w:eastAsia="en-US" w:bidi="ar-SA"/>
        </w:rPr>
        <w:t>.</w:t>
      </w:r>
    </w:p>
    <w:p w14:paraId="4C84E0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B7AD7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Closing Warrants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2.1(a)(iii)</w:t>
      </w:r>
      <w:r w:rsidRPr="00AE3C59">
        <w:rPr>
          <w:rFonts w:ascii="Times New Roman" w:eastAsia="Times New Roman" w:hAnsi="Times New Roman" w:cs="Times New Roman"/>
          <w:sz w:val="20"/>
          <w:szCs w:val="20"/>
          <w:lang w:val="en-US" w:eastAsia="en-US" w:bidi="ar-SA"/>
        </w:rPr>
        <w:t>.</w:t>
      </w:r>
    </w:p>
    <w:p w14:paraId="41857AA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8BE3D4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Commission</w:t>
      </w:r>
      <w:r w:rsidRPr="00AE3C59">
        <w:rPr>
          <w:rFonts w:ascii="Times New Roman" w:eastAsia="Times New Roman" w:hAnsi="Times New Roman" w:cs="Times New Roman"/>
          <w:sz w:val="20"/>
          <w:szCs w:val="20"/>
          <w:lang w:val="en-US" w:eastAsia="en-US" w:bidi="ar-SA"/>
        </w:rPr>
        <w:t>” means the United States Securities and Exchange Commission.</w:t>
      </w:r>
    </w:p>
    <w:p w14:paraId="75413E2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2FB5AC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Common Stock</w:t>
      </w:r>
      <w:r w:rsidRPr="00AE3C59">
        <w:rPr>
          <w:rFonts w:ascii="Times New Roman" w:eastAsia="Times New Roman" w:hAnsi="Times New Roman" w:cs="Times New Roman"/>
          <w:sz w:val="20"/>
          <w:szCs w:val="20"/>
          <w:lang w:val="en-US" w:eastAsia="en-US" w:bidi="ar-SA"/>
        </w:rPr>
        <w:t>” means the common stock of the Company, par value $0.001 per share, and any other class of securities into which such securities may hereafter be reclassified or changed.</w:t>
      </w:r>
    </w:p>
    <w:p w14:paraId="5FD760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9D521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Common Stock Equivalents</w:t>
      </w:r>
      <w:r w:rsidRPr="00AE3C59">
        <w:rPr>
          <w:rFonts w:ascii="Times New Roman" w:eastAsia="Times New Roman" w:hAnsi="Times New Roman" w:cs="Times New Roman"/>
          <w:sz w:val="20"/>
          <w:szCs w:val="20"/>
          <w:lang w:val="en-US" w:eastAsia="en-US" w:bidi="ar-SA"/>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0263C6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8C5DD6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Company Auditor</w:t>
      </w:r>
      <w:r w:rsidRPr="00AE3C59">
        <w:rPr>
          <w:rFonts w:ascii="Times New Roman" w:eastAsia="Times New Roman" w:hAnsi="Times New Roman" w:cs="Times New Roman"/>
          <w:sz w:val="20"/>
          <w:szCs w:val="20"/>
          <w:lang w:val="en-US" w:eastAsia="en-US" w:bidi="ar-SA"/>
        </w:rPr>
        <w:t xml:space="preserve">” means </w:t>
      </w:r>
      <w:proofErr w:type="spellStart"/>
      <w:r w:rsidRPr="00AE3C59">
        <w:rPr>
          <w:rFonts w:ascii="Times New Roman" w:eastAsia="Times New Roman" w:hAnsi="Times New Roman" w:cs="Times New Roman"/>
          <w:sz w:val="20"/>
          <w:szCs w:val="20"/>
          <w:lang w:val="en-US" w:eastAsia="en-US" w:bidi="ar-SA"/>
        </w:rPr>
        <w:t>Wipfli</w:t>
      </w:r>
      <w:proofErr w:type="spellEnd"/>
      <w:r w:rsidRPr="00AE3C59">
        <w:rPr>
          <w:rFonts w:ascii="Times New Roman" w:eastAsia="Times New Roman" w:hAnsi="Times New Roman" w:cs="Times New Roman"/>
          <w:sz w:val="20"/>
          <w:szCs w:val="20"/>
          <w:lang w:val="en-US" w:eastAsia="en-US" w:bidi="ar-SA"/>
        </w:rPr>
        <w:t xml:space="preserve"> LLP, with offices located at 235 Peachtree St. NE, Suite 1800, Atlanta Georgia, 30303.</w:t>
      </w:r>
    </w:p>
    <w:p w14:paraId="69CB96C1"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2634EE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Company Counsel</w:t>
      </w:r>
      <w:r w:rsidRPr="00AE3C59">
        <w:rPr>
          <w:rFonts w:ascii="Times New Roman" w:eastAsia="Times New Roman" w:hAnsi="Times New Roman" w:cs="Times New Roman"/>
          <w:sz w:val="20"/>
          <w:szCs w:val="20"/>
          <w:lang w:val="en-US" w:eastAsia="en-US" w:bidi="ar-SA"/>
        </w:rPr>
        <w:t>” means Womble Bond Dickinson (US) LLP, with offices located at 271 17th Street NW, Suite 2400, Atlanta, Georgia 30363.</w:t>
      </w:r>
    </w:p>
    <w:p w14:paraId="76D6666E"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A246F7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Company IT Systems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w:t>
      </w:r>
      <w:proofErr w:type="spellStart"/>
      <w:r w:rsidRPr="00AE3C59">
        <w:rPr>
          <w:rFonts w:ascii="Times New Roman" w:eastAsia="Times New Roman" w:hAnsi="Times New Roman" w:cs="Times New Roman"/>
          <w:sz w:val="20"/>
          <w:szCs w:val="20"/>
          <w:u w:val="single"/>
          <w:lang w:val="en-US" w:eastAsia="en-US" w:bidi="ar-SA"/>
        </w:rPr>
        <w:t>tt</w:t>
      </w:r>
      <w:proofErr w:type="spellEnd"/>
      <w:r w:rsidRPr="00AE3C59">
        <w:rPr>
          <w:rFonts w:ascii="Times New Roman" w:eastAsia="Times New Roman" w:hAnsi="Times New Roman" w:cs="Times New Roman"/>
          <w:sz w:val="20"/>
          <w:szCs w:val="20"/>
          <w:u w:val="single"/>
          <w:lang w:val="en-US" w:eastAsia="en-US" w:bidi="ar-SA"/>
        </w:rPr>
        <w:t>)</w:t>
      </w:r>
      <w:r w:rsidRPr="00AE3C59">
        <w:rPr>
          <w:rFonts w:ascii="Times New Roman" w:eastAsia="Times New Roman" w:hAnsi="Times New Roman" w:cs="Times New Roman"/>
          <w:sz w:val="20"/>
          <w:szCs w:val="20"/>
          <w:lang w:val="en-US" w:eastAsia="en-US" w:bidi="ar-SA"/>
        </w:rPr>
        <w:t>.</w:t>
      </w:r>
    </w:p>
    <w:p w14:paraId="02D5ED0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3F3A8A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Disclosure Schedules</w:t>
      </w:r>
      <w:r w:rsidRPr="00AE3C59">
        <w:rPr>
          <w:rFonts w:ascii="Times New Roman" w:eastAsia="Times New Roman" w:hAnsi="Times New Roman" w:cs="Times New Roman"/>
          <w:sz w:val="20"/>
          <w:szCs w:val="20"/>
          <w:lang w:val="en-US" w:eastAsia="en-US" w:bidi="ar-SA"/>
        </w:rPr>
        <w:t>” means the Disclosure Schedules of the Company delivered concurrently herewith.</w:t>
      </w:r>
    </w:p>
    <w:p w14:paraId="1599A02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1A0E8D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EDGAR</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3.1(f).</w:t>
      </w:r>
    </w:p>
    <w:p w14:paraId="5510FAD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74AEB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Environmental Laws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3.1(n)</w:t>
      </w:r>
      <w:r w:rsidRPr="00AE3C59">
        <w:rPr>
          <w:rFonts w:ascii="Times New Roman" w:eastAsia="Times New Roman" w:hAnsi="Times New Roman" w:cs="Times New Roman"/>
          <w:sz w:val="20"/>
          <w:szCs w:val="20"/>
          <w:lang w:val="en-US" w:eastAsia="en-US" w:bidi="ar-SA"/>
        </w:rPr>
        <w:t>.</w:t>
      </w:r>
    </w:p>
    <w:p w14:paraId="225EEEA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EF57C0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Effective Date</w:t>
      </w:r>
      <w:r w:rsidRPr="00AE3C59">
        <w:rPr>
          <w:rFonts w:ascii="Times New Roman" w:eastAsia="Times New Roman" w:hAnsi="Times New Roman" w:cs="Times New Roman"/>
          <w:sz w:val="20"/>
          <w:szCs w:val="20"/>
          <w:lang w:val="en-US" w:eastAsia="en-US" w:bidi="ar-SA"/>
        </w:rPr>
        <w:t>” means the date and time as of which the Registration Statement became effective in accordance with the rules and regulations under the Securities Act.</w:t>
      </w:r>
    </w:p>
    <w:p w14:paraId="1AA3840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0C49C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Exchange Act</w:t>
      </w:r>
      <w:r w:rsidRPr="00AE3C59">
        <w:rPr>
          <w:rFonts w:ascii="Times New Roman" w:eastAsia="Times New Roman" w:hAnsi="Times New Roman" w:cs="Times New Roman"/>
          <w:sz w:val="20"/>
          <w:szCs w:val="20"/>
          <w:lang w:val="en-US" w:eastAsia="en-US" w:bidi="ar-SA"/>
        </w:rPr>
        <w:t>” means the Securities Exchange Act of 1934, as amended, and the rules and regulations promulgated thereunder.</w:t>
      </w:r>
    </w:p>
    <w:p w14:paraId="0876EC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56A0CD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Execution Date</w:t>
      </w:r>
      <w:r w:rsidRPr="00AE3C59">
        <w:rPr>
          <w:rFonts w:ascii="Times New Roman" w:eastAsia="Times New Roman" w:hAnsi="Times New Roman" w:cs="Times New Roman"/>
          <w:sz w:val="20"/>
          <w:szCs w:val="20"/>
          <w:lang w:val="en-US" w:eastAsia="en-US" w:bidi="ar-SA"/>
        </w:rPr>
        <w:t>” shall mean the date on which the parties execute and enter into this Agreement.</w:t>
      </w:r>
    </w:p>
    <w:p w14:paraId="607B682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7958588A" w14:textId="77777777" w:rsidR="00AE3C59" w:rsidRPr="00AE3C59" w:rsidRDefault="00AE3C59" w:rsidP="00AE3C59">
      <w:pPr>
        <w:spacing w:after="0" w:line="240" w:lineRule="auto"/>
        <w:ind w:left="108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Exempt Issuance</w:t>
      </w:r>
      <w:r w:rsidRPr="00AE3C59">
        <w:rPr>
          <w:rFonts w:ascii="Times New Roman" w:eastAsia="Times New Roman" w:hAnsi="Times New Roman" w:cs="Times New Roman"/>
          <w:sz w:val="20"/>
          <w:szCs w:val="20"/>
          <w:lang w:val="en-US" w:eastAsia="en-US" w:bidi="ar-SA"/>
        </w:rPr>
        <w:t xml:space="preserve">” means the issuance of (a) shares of Common Stock, restricted stock, restricted stock units or options to employees, officers, consultants, other service providers or directors of the Company pursuant to any stock or option plan duly adopted for such purpose, by a majority of the non-employee members of the Board of Directors or a majority of the members of a committee of non-employee directors established for such purpose, for services rendered to the Company, (b) securities upon the exercise or exchange of or conversion of any Securities issued hereunder and/or other securities exercisable or exchangeable for or convertible into shares of Common Stock issued and outstanding on the date of this Agreement, provided that such securities have not been amended since the date of this Agreement to increase the number of such securities or to decrease the exercise price, exchange price or conversion price of such securities (other than in connection with automatic price resets, stock splits, adjustments or combinations as set forth in such securities) or to extend the term of such securities and (c) securities issued pursuant to acquisitions or strategic transactions approved by a majority of the disinterested directors of the Company, and securities issued by the Company’s majority owned subsidiary,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Oncology, Inc. (“</w:t>
      </w:r>
      <w:proofErr w:type="spellStart"/>
      <w:r w:rsidRPr="00AE3C59">
        <w:rPr>
          <w:rFonts w:ascii="Times New Roman" w:eastAsia="Times New Roman" w:hAnsi="Times New Roman" w:cs="Times New Roman"/>
          <w:sz w:val="20"/>
          <w:szCs w:val="20"/>
          <w:u w:val="single"/>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pursuant to a private placement transaction and solely representing ownership rights or prospective ownership rights in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provided that in any such cases such securities are issued as “restricted securities” (as defined in Rule 144) and carry no registration rights that require or permit the filing of any registration statement in connection therewith during the prohibition period in </w:t>
      </w:r>
      <w:r w:rsidRPr="00AE3C59">
        <w:rPr>
          <w:rFonts w:ascii="Times New Roman" w:eastAsia="Times New Roman" w:hAnsi="Times New Roman" w:cs="Times New Roman"/>
          <w:sz w:val="20"/>
          <w:szCs w:val="20"/>
          <w:u w:val="single"/>
          <w:lang w:val="en-US" w:eastAsia="en-US" w:bidi="ar-SA"/>
        </w:rPr>
        <w:t xml:space="preserve">Section 4.21(a) </w:t>
      </w:r>
      <w:r w:rsidRPr="00AE3C59">
        <w:rPr>
          <w:rFonts w:ascii="Times New Roman" w:eastAsia="Times New Roman" w:hAnsi="Times New Roman" w:cs="Times New Roman"/>
          <w:sz w:val="20"/>
          <w:szCs w:val="20"/>
          <w:lang w:val="en-US" w:eastAsia="en-US" w:bidi="ar-SA"/>
        </w:rPr>
        <w:t>herein, and provided that any such issuance shall only be to a Person (or to the equity holders of a Person) which is, itself or through its subsidiaries, an operating company or an owner of an asset in a business synergistic with the business of the Company and shall provide to the Company additional benefits in addition to the investment of funds, but shall not include a transaction in which the Company is issuing securities primarily for the purpose of raising capital or to an entity whose primary business is investing in securities.</w:t>
      </w:r>
    </w:p>
    <w:p w14:paraId="4D49B04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EFD51B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FCPA</w:t>
      </w:r>
      <w:r w:rsidRPr="00AE3C59">
        <w:rPr>
          <w:rFonts w:ascii="Times New Roman" w:eastAsia="Times New Roman" w:hAnsi="Times New Roman" w:cs="Times New Roman"/>
          <w:sz w:val="20"/>
          <w:szCs w:val="20"/>
          <w:lang w:val="en-US" w:eastAsia="en-US" w:bidi="ar-SA"/>
        </w:rPr>
        <w:t>” means the Foreign Corrupt Practices Act of 1977, as amended.</w:t>
      </w:r>
    </w:p>
    <w:p w14:paraId="7734A7D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18564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FDA</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3.1(o)</w:t>
      </w:r>
      <w:r w:rsidRPr="00AE3C59">
        <w:rPr>
          <w:rFonts w:ascii="Times New Roman" w:eastAsia="Times New Roman" w:hAnsi="Times New Roman" w:cs="Times New Roman"/>
          <w:sz w:val="20"/>
          <w:szCs w:val="20"/>
          <w:lang w:val="en-US" w:eastAsia="en-US" w:bidi="ar-SA"/>
        </w:rPr>
        <w:t>.</w:t>
      </w:r>
    </w:p>
    <w:p w14:paraId="52B1990F"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49BD0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FINRA</w:t>
      </w:r>
      <w:r w:rsidRPr="00AE3C59">
        <w:rPr>
          <w:rFonts w:ascii="Times New Roman" w:eastAsia="Times New Roman" w:hAnsi="Times New Roman" w:cs="Times New Roman"/>
          <w:sz w:val="20"/>
          <w:szCs w:val="20"/>
          <w:lang w:val="en-US" w:eastAsia="en-US" w:bidi="ar-SA"/>
        </w:rPr>
        <w:t>” means the Financial Industry Regulatory Authority.</w:t>
      </w:r>
    </w:p>
    <w:p w14:paraId="61E6651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C0837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GAAP</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w:t>
      </w:r>
      <w:proofErr w:type="spellStart"/>
      <w:r w:rsidRPr="00AE3C59">
        <w:rPr>
          <w:rFonts w:ascii="Times New Roman" w:eastAsia="Times New Roman" w:hAnsi="Times New Roman" w:cs="Times New Roman"/>
          <w:sz w:val="20"/>
          <w:szCs w:val="20"/>
          <w:u w:val="single"/>
          <w:lang w:val="en-US" w:eastAsia="en-US" w:bidi="ar-SA"/>
        </w:rPr>
        <w:t>i</w:t>
      </w:r>
      <w:proofErr w:type="spellEnd"/>
      <w:r w:rsidRPr="00AE3C59">
        <w:rPr>
          <w:rFonts w:ascii="Times New Roman" w:eastAsia="Times New Roman" w:hAnsi="Times New Roman" w:cs="Times New Roman"/>
          <w:sz w:val="20"/>
          <w:szCs w:val="20"/>
          <w:u w:val="single"/>
          <w:lang w:val="en-US" w:eastAsia="en-US" w:bidi="ar-SA"/>
        </w:rPr>
        <w:t>)</w:t>
      </w:r>
      <w:r w:rsidRPr="00AE3C59">
        <w:rPr>
          <w:rFonts w:ascii="Times New Roman" w:eastAsia="Times New Roman" w:hAnsi="Times New Roman" w:cs="Times New Roman"/>
          <w:sz w:val="20"/>
          <w:szCs w:val="20"/>
          <w:lang w:val="en-US" w:eastAsia="en-US" w:bidi="ar-SA"/>
        </w:rPr>
        <w:t>.</w:t>
      </w:r>
    </w:p>
    <w:p w14:paraId="1A7F41F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13931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General Disclosure Package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3.1(f)</w:t>
      </w:r>
      <w:r w:rsidRPr="00AE3C59">
        <w:rPr>
          <w:rFonts w:ascii="Times New Roman" w:eastAsia="Times New Roman" w:hAnsi="Times New Roman" w:cs="Times New Roman"/>
          <w:sz w:val="20"/>
          <w:szCs w:val="20"/>
          <w:lang w:val="en-US" w:eastAsia="en-US" w:bidi="ar-SA"/>
        </w:rPr>
        <w:t>.</w:t>
      </w:r>
    </w:p>
    <w:p w14:paraId="4CFF208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8F3A2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Hazardous Materials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3.1(n)</w:t>
      </w:r>
      <w:r w:rsidRPr="00AE3C59">
        <w:rPr>
          <w:rFonts w:ascii="Times New Roman" w:eastAsia="Times New Roman" w:hAnsi="Times New Roman" w:cs="Times New Roman"/>
          <w:sz w:val="20"/>
          <w:szCs w:val="20"/>
          <w:lang w:val="en-US" w:eastAsia="en-US" w:bidi="ar-SA"/>
        </w:rPr>
        <w:t>.</w:t>
      </w:r>
    </w:p>
    <w:p w14:paraId="7BB6A79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48E36A" w14:textId="77777777" w:rsidR="00AE3C59" w:rsidRPr="00AE3C59" w:rsidRDefault="00AE3C59" w:rsidP="00AE3C59">
      <w:pPr>
        <w:tabs>
          <w:tab w:val="left" w:pos="4705"/>
          <w:tab w:val="center" w:pos="4968"/>
        </w:tabs>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b/>
      </w:r>
    </w:p>
    <w:p w14:paraId="6C4927F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Indebtedness</w:t>
      </w:r>
      <w:r w:rsidRPr="00AE3C59">
        <w:rPr>
          <w:rFonts w:ascii="Times New Roman" w:eastAsia="Times New Roman" w:hAnsi="Times New Roman" w:cs="Times New Roman"/>
          <w:sz w:val="20"/>
          <w:szCs w:val="20"/>
          <w:lang w:val="en-US" w:eastAsia="en-US" w:bidi="ar-SA"/>
        </w:rPr>
        <w:t>” means (a) any liabilities for borrowed money or amounts owed in excess of $25,000 (other than trade accounts payable incurred in the ordinary course of business), (b) all guaranties, endorsements and other contingent obligations in respect of indebtedness of others, whether or not the same are or should be reflected in the Company’s consolidated balance sheet (or the notes thereto), except guaranties by endorsement of negotiable instruments for deposit or collection or similar transactions in the ordinary course of business; and (c) the present value of any lease payments in excess of $25,000 due under leases required to be capitalized in accordance with GAAP.</w:t>
      </w:r>
    </w:p>
    <w:p w14:paraId="4D8EC2A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CEB38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Intellectual Property Rights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3.1(s)</w:t>
      </w:r>
      <w:r w:rsidRPr="00AE3C59">
        <w:rPr>
          <w:rFonts w:ascii="Times New Roman" w:eastAsia="Times New Roman" w:hAnsi="Times New Roman" w:cs="Times New Roman"/>
          <w:sz w:val="20"/>
          <w:szCs w:val="20"/>
          <w:lang w:val="en-US" w:eastAsia="en-US" w:bidi="ar-SA"/>
        </w:rPr>
        <w:t>.</w:t>
      </w:r>
    </w:p>
    <w:p w14:paraId="2CC9E54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86CFD3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Liens</w:t>
      </w:r>
      <w:r w:rsidRPr="00AE3C59">
        <w:rPr>
          <w:rFonts w:ascii="Times New Roman" w:eastAsia="Times New Roman" w:hAnsi="Times New Roman" w:cs="Times New Roman"/>
          <w:sz w:val="20"/>
          <w:szCs w:val="20"/>
          <w:lang w:val="en-US" w:eastAsia="en-US" w:bidi="ar-SA"/>
        </w:rPr>
        <w:t>” means a lien, charge, pledge, security interest, encumbrance, right of first refusal, preemptive right or other restriction.</w:t>
      </w:r>
    </w:p>
    <w:p w14:paraId="683A80C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6AC6F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Lock-Up Agreements</w:t>
      </w:r>
      <w:r w:rsidRPr="00AE3C59">
        <w:rPr>
          <w:rFonts w:ascii="Times New Roman" w:eastAsia="Times New Roman" w:hAnsi="Times New Roman" w:cs="Times New Roman"/>
          <w:sz w:val="20"/>
          <w:szCs w:val="20"/>
          <w:lang w:val="en-US" w:eastAsia="en-US" w:bidi="ar-SA"/>
        </w:rPr>
        <w:t xml:space="preserve">” means the lock-up agreements that are delivered on the date hereof by each of the Company’s officers and directors in the form of </w:t>
      </w:r>
      <w:r w:rsidRPr="00AE3C59">
        <w:rPr>
          <w:rFonts w:ascii="Times New Roman" w:eastAsia="Times New Roman" w:hAnsi="Times New Roman" w:cs="Times New Roman"/>
          <w:sz w:val="20"/>
          <w:szCs w:val="20"/>
          <w:u w:val="single"/>
          <w:lang w:val="en-US" w:eastAsia="en-US" w:bidi="ar-SA"/>
        </w:rPr>
        <w:t>Exhibit A</w:t>
      </w:r>
      <w:r w:rsidRPr="00AE3C59">
        <w:rPr>
          <w:rFonts w:ascii="Times New Roman" w:eastAsia="Times New Roman" w:hAnsi="Times New Roman" w:cs="Times New Roman"/>
          <w:sz w:val="20"/>
          <w:szCs w:val="20"/>
          <w:lang w:val="en-US" w:eastAsia="en-US" w:bidi="ar-SA"/>
        </w:rPr>
        <w:t xml:space="preserve"> attached hereto.</w:t>
      </w:r>
    </w:p>
    <w:p w14:paraId="4660549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9AE52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u w:val="single"/>
          <w:lang w:val="en-US" w:eastAsia="en-US" w:bidi="ar-SA"/>
        </w:rPr>
        <w:t>Lucosky</w:t>
      </w:r>
      <w:proofErr w:type="spellEnd"/>
      <w:r w:rsidRPr="00AE3C59">
        <w:rPr>
          <w:rFonts w:ascii="Times New Roman" w:eastAsia="Times New Roman" w:hAnsi="Times New Roman" w:cs="Times New Roman"/>
          <w:sz w:val="20"/>
          <w:szCs w:val="20"/>
          <w:u w:val="single"/>
          <w:lang w:val="en-US" w:eastAsia="en-US" w:bidi="ar-SA"/>
        </w:rPr>
        <w:t xml:space="preserve"> Brookman LLP</w:t>
      </w:r>
      <w:r w:rsidRPr="00AE3C59">
        <w:rPr>
          <w:rFonts w:ascii="Times New Roman" w:eastAsia="Times New Roman" w:hAnsi="Times New Roman" w:cs="Times New Roman"/>
          <w:sz w:val="20"/>
          <w:szCs w:val="20"/>
          <w:lang w:val="en-US" w:eastAsia="en-US" w:bidi="ar-SA"/>
        </w:rPr>
        <w:t xml:space="preserve">” means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counsel to the Underwriters, with offices located at 101 Wood Avenue, 5</w:t>
      </w:r>
      <w:r w:rsidRPr="00AE3C59">
        <w:rPr>
          <w:rFonts w:ascii="Times New Roman" w:eastAsia="Times New Roman" w:hAnsi="Times New Roman" w:cs="Times New Roman"/>
          <w:sz w:val="17"/>
          <w:szCs w:val="17"/>
          <w:lang w:val="en-US" w:eastAsia="en-US" w:bidi="ar-SA"/>
        </w:rPr>
        <w:t>th</w:t>
      </w:r>
      <w:r w:rsidRPr="00AE3C59">
        <w:rPr>
          <w:rFonts w:ascii="Times New Roman" w:eastAsia="Times New Roman" w:hAnsi="Times New Roman" w:cs="Times New Roman"/>
          <w:sz w:val="20"/>
          <w:szCs w:val="20"/>
          <w:lang w:val="en-US" w:eastAsia="en-US" w:bidi="ar-SA"/>
        </w:rPr>
        <w:t xml:space="preserve"> Floor, Woodbridge, New Jersey 08830.</w:t>
      </w:r>
    </w:p>
    <w:p w14:paraId="6956B687"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EA5487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Material Adverse Effect</w:t>
      </w:r>
      <w:r w:rsidRPr="00AE3C59">
        <w:rPr>
          <w:rFonts w:ascii="Times New Roman" w:eastAsia="Times New Roman" w:hAnsi="Times New Roman" w:cs="Times New Roman"/>
          <w:sz w:val="20"/>
          <w:szCs w:val="20"/>
          <w:lang w:val="en-US" w:eastAsia="en-US" w:bidi="ar-SA"/>
        </w:rPr>
        <w:t xml:space="preserve">” shall have the meaning assigned to such term in </w:t>
      </w:r>
      <w:r w:rsidRPr="00AE3C59">
        <w:rPr>
          <w:rFonts w:ascii="Times New Roman" w:eastAsia="Times New Roman" w:hAnsi="Times New Roman" w:cs="Times New Roman"/>
          <w:sz w:val="20"/>
          <w:szCs w:val="20"/>
          <w:u w:val="single"/>
          <w:lang w:val="en-US" w:eastAsia="en-US" w:bidi="ar-SA"/>
        </w:rPr>
        <w:t>Section 3.1(b)</w:t>
      </w:r>
      <w:r w:rsidRPr="00AE3C59">
        <w:rPr>
          <w:rFonts w:ascii="Times New Roman" w:eastAsia="Times New Roman" w:hAnsi="Times New Roman" w:cs="Times New Roman"/>
          <w:sz w:val="20"/>
          <w:szCs w:val="20"/>
          <w:lang w:val="en-US" w:eastAsia="en-US" w:bidi="ar-SA"/>
        </w:rPr>
        <w:t>.</w:t>
      </w:r>
    </w:p>
    <w:p w14:paraId="65D9B48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BEF7AD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Material Permit</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3.1(ii)</w:t>
      </w:r>
      <w:r w:rsidRPr="00AE3C59">
        <w:rPr>
          <w:rFonts w:ascii="Times New Roman" w:eastAsia="Times New Roman" w:hAnsi="Times New Roman" w:cs="Times New Roman"/>
          <w:sz w:val="20"/>
          <w:szCs w:val="20"/>
          <w:lang w:val="en-US" w:eastAsia="en-US" w:bidi="ar-SA"/>
        </w:rPr>
        <w:t>.</w:t>
      </w:r>
    </w:p>
    <w:p w14:paraId="5D480469" w14:textId="77777777" w:rsidR="00AE3C59" w:rsidRPr="00AE3C59" w:rsidRDefault="00AE3C59" w:rsidP="00AE3C59">
      <w:pPr>
        <w:spacing w:after="0" w:line="240" w:lineRule="auto"/>
        <w:ind w:firstLine="144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2EDE117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Offering</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2.1(c)</w:t>
      </w:r>
      <w:r w:rsidRPr="00AE3C59">
        <w:rPr>
          <w:rFonts w:ascii="Times New Roman" w:eastAsia="Times New Roman" w:hAnsi="Times New Roman" w:cs="Times New Roman"/>
          <w:sz w:val="20"/>
          <w:szCs w:val="20"/>
          <w:lang w:val="en-US" w:eastAsia="en-US" w:bidi="ar-SA"/>
        </w:rPr>
        <w:t>.</w:t>
      </w:r>
    </w:p>
    <w:p w14:paraId="18514D4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0ECCC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Closing Date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2.2(c).</w:t>
      </w:r>
    </w:p>
    <w:p w14:paraId="0CD3A1C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F2FA5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Closing Purchase Price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2.2(b)</w:t>
      </w:r>
      <w:r w:rsidRPr="00AE3C59">
        <w:rPr>
          <w:rFonts w:ascii="Times New Roman" w:eastAsia="Times New Roman" w:hAnsi="Times New Roman" w:cs="Times New Roman"/>
          <w:sz w:val="20"/>
          <w:szCs w:val="20"/>
          <w:lang w:val="en-US" w:eastAsia="en-US" w:bidi="ar-SA"/>
        </w:rPr>
        <w:t>, which aggregate purchase price shall be net of the underwriting discounts and commissions.</w:t>
      </w:r>
    </w:p>
    <w:p w14:paraId="5D7A7CF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17EDA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Pre-Funded Warrants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1403DA9C"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E6511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Securities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08C19E9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EE12C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Shares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765207F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407B19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Option Warrants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7634F69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8E5386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Over-Allotment Option</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3CB0B1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18A510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Person</w:t>
      </w:r>
      <w:r w:rsidRPr="00AE3C59">
        <w:rPr>
          <w:rFonts w:ascii="Times New Roman" w:eastAsia="Times New Roman" w:hAnsi="Times New Roman" w:cs="Times New Roman"/>
          <w:sz w:val="20"/>
          <w:szCs w:val="20"/>
          <w:lang w:val="en-US" w:eastAsia="en-US" w:bidi="ar-SA"/>
        </w:rPr>
        <w:t>” means an individual or corporation, partnership, trust, incorporated or unincorporated association, joint venture, limited liability company, joint stock company, government (or an agency or subdivision thereof) or other entity of any kind.</w:t>
      </w:r>
    </w:p>
    <w:p w14:paraId="12529A0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5EB283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Pre-Funded Warrant Purchase Price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2.1(b)</w:t>
      </w:r>
      <w:r w:rsidRPr="00AE3C59">
        <w:rPr>
          <w:rFonts w:ascii="Times New Roman" w:eastAsia="Times New Roman" w:hAnsi="Times New Roman" w:cs="Times New Roman"/>
          <w:sz w:val="20"/>
          <w:szCs w:val="20"/>
          <w:lang w:val="en-US" w:eastAsia="en-US" w:bidi="ar-SA"/>
        </w:rPr>
        <w:t>.</w:t>
      </w:r>
    </w:p>
    <w:p w14:paraId="29730952"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D3956D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Pre-Funded Warrants</w:t>
      </w:r>
      <w:r w:rsidRPr="00AE3C59">
        <w:rPr>
          <w:rFonts w:ascii="Times New Roman" w:eastAsia="Times New Roman" w:hAnsi="Times New Roman" w:cs="Times New Roman"/>
          <w:sz w:val="20"/>
          <w:szCs w:val="20"/>
          <w:lang w:val="en-US" w:eastAsia="en-US" w:bidi="ar-SA"/>
        </w:rPr>
        <w:t xml:space="preserve">” means, collectively, the Common Stock purchase warrants delivered to the Underwriters in accordance with </w:t>
      </w:r>
      <w:r w:rsidRPr="00AE3C59">
        <w:rPr>
          <w:rFonts w:ascii="Times New Roman" w:eastAsia="Times New Roman" w:hAnsi="Times New Roman" w:cs="Times New Roman"/>
          <w:sz w:val="20"/>
          <w:szCs w:val="20"/>
          <w:u w:val="single"/>
          <w:lang w:val="en-US" w:eastAsia="en-US" w:bidi="ar-SA"/>
        </w:rPr>
        <w:t>Section 2.1(a)(ii)</w:t>
      </w:r>
      <w:r w:rsidRPr="00AE3C59">
        <w:rPr>
          <w:rFonts w:ascii="Times New Roman" w:eastAsia="Times New Roman" w:hAnsi="Times New Roman" w:cs="Times New Roman"/>
          <w:sz w:val="20"/>
          <w:szCs w:val="20"/>
          <w:lang w:val="en-US" w:eastAsia="en-US" w:bidi="ar-SA"/>
        </w:rPr>
        <w:t xml:space="preserve">, which Pre-Funded Warrants shall be exercisable immediately and have an unlimited term of exercise, in the form of </w:t>
      </w:r>
      <w:r w:rsidRPr="00AE3C59">
        <w:rPr>
          <w:rFonts w:ascii="Times New Roman" w:eastAsia="Times New Roman" w:hAnsi="Times New Roman" w:cs="Times New Roman"/>
          <w:sz w:val="20"/>
          <w:szCs w:val="20"/>
          <w:u w:val="single"/>
          <w:lang w:val="en-US" w:eastAsia="en-US" w:bidi="ar-SA"/>
        </w:rPr>
        <w:t>Exhibit H</w:t>
      </w:r>
      <w:r w:rsidRPr="00AE3C59">
        <w:rPr>
          <w:rFonts w:ascii="Times New Roman" w:eastAsia="Times New Roman" w:hAnsi="Times New Roman" w:cs="Times New Roman"/>
          <w:sz w:val="20"/>
          <w:szCs w:val="20"/>
          <w:lang w:val="en-US" w:eastAsia="en-US" w:bidi="ar-SA"/>
        </w:rPr>
        <w:t xml:space="preserve"> attached hereto.</w:t>
      </w:r>
    </w:p>
    <w:p w14:paraId="5BC678CF"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815883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Pre-Funded Warrant Shares</w:t>
      </w:r>
      <w:r w:rsidRPr="00AE3C59">
        <w:rPr>
          <w:rFonts w:ascii="Times New Roman" w:eastAsia="Times New Roman" w:hAnsi="Times New Roman" w:cs="Times New Roman"/>
          <w:sz w:val="20"/>
          <w:szCs w:val="20"/>
          <w:lang w:val="en-US" w:eastAsia="en-US" w:bidi="ar-SA"/>
        </w:rPr>
        <w:t>” means the shares of Common Stock issuable upon exercise of the Pre-Funded Warrants.</w:t>
      </w:r>
    </w:p>
    <w:p w14:paraId="1D16CEB1"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041EB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Preliminary Prospectus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3.1(f)</w:t>
      </w:r>
      <w:r w:rsidRPr="00AE3C59">
        <w:rPr>
          <w:rFonts w:ascii="Times New Roman" w:eastAsia="Times New Roman" w:hAnsi="Times New Roman" w:cs="Times New Roman"/>
          <w:sz w:val="20"/>
          <w:szCs w:val="20"/>
          <w:lang w:val="en-US" w:eastAsia="en-US" w:bidi="ar-SA"/>
        </w:rPr>
        <w:t>.</w:t>
      </w:r>
    </w:p>
    <w:p w14:paraId="2C1A1D3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0E02B5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Proceeding</w:t>
      </w:r>
      <w:r w:rsidRPr="00AE3C59">
        <w:rPr>
          <w:rFonts w:ascii="Times New Roman" w:eastAsia="Times New Roman" w:hAnsi="Times New Roman" w:cs="Times New Roman"/>
          <w:sz w:val="20"/>
          <w:szCs w:val="20"/>
          <w:lang w:val="en-US" w:eastAsia="en-US" w:bidi="ar-SA"/>
        </w:rPr>
        <w:t>” means an action, claim, suit, investigation or proceeding (including, without limitation, an informal investigation or partial proceeding, such as a deposition), whether commenced or threatened.</w:t>
      </w:r>
    </w:p>
    <w:p w14:paraId="32EC5A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65AB9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Prospectus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3.1(f)</w:t>
      </w:r>
      <w:r w:rsidRPr="00AE3C59">
        <w:rPr>
          <w:rFonts w:ascii="Times New Roman" w:eastAsia="Times New Roman" w:hAnsi="Times New Roman" w:cs="Times New Roman"/>
          <w:sz w:val="20"/>
          <w:szCs w:val="20"/>
          <w:lang w:val="en-US" w:eastAsia="en-US" w:bidi="ar-SA"/>
        </w:rPr>
        <w:t>.</w:t>
      </w:r>
    </w:p>
    <w:p w14:paraId="4774C21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47DD9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Public Securities</w:t>
      </w:r>
      <w:r w:rsidRPr="00AE3C59">
        <w:rPr>
          <w:rFonts w:ascii="Times New Roman" w:eastAsia="Times New Roman" w:hAnsi="Times New Roman" w:cs="Times New Roman"/>
          <w:sz w:val="20"/>
          <w:szCs w:val="20"/>
          <w:lang w:val="en-US" w:eastAsia="en-US" w:bidi="ar-SA"/>
        </w:rPr>
        <w:t>” means, collectively, the Closing Securities and, if any, the Option Securities.</w:t>
      </w:r>
    </w:p>
    <w:p w14:paraId="110BCB9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C8EE18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Registration Statement</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3.1(f)</w:t>
      </w:r>
      <w:r w:rsidRPr="00AE3C59">
        <w:rPr>
          <w:rFonts w:ascii="Times New Roman" w:eastAsia="Times New Roman" w:hAnsi="Times New Roman" w:cs="Times New Roman"/>
          <w:sz w:val="20"/>
          <w:szCs w:val="20"/>
          <w:lang w:val="en-US" w:eastAsia="en-US" w:bidi="ar-SA"/>
        </w:rPr>
        <w:t>.</w:t>
      </w:r>
    </w:p>
    <w:p w14:paraId="606F11A5"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04CEB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Regulatory Laws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3.1(o)</w:t>
      </w:r>
      <w:r w:rsidRPr="00AE3C59">
        <w:rPr>
          <w:rFonts w:ascii="Times New Roman" w:eastAsia="Times New Roman" w:hAnsi="Times New Roman" w:cs="Times New Roman"/>
          <w:sz w:val="20"/>
          <w:szCs w:val="20"/>
          <w:lang w:val="en-US" w:eastAsia="en-US" w:bidi="ar-SA"/>
        </w:rPr>
        <w:t>. </w:t>
      </w:r>
    </w:p>
    <w:p w14:paraId="737B3245"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844819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Representative’s Securities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2.5</w:t>
      </w:r>
      <w:r w:rsidRPr="00AE3C59">
        <w:rPr>
          <w:rFonts w:ascii="Times New Roman" w:eastAsia="Times New Roman" w:hAnsi="Times New Roman" w:cs="Times New Roman"/>
          <w:sz w:val="20"/>
          <w:szCs w:val="20"/>
          <w:lang w:val="en-US" w:eastAsia="en-US" w:bidi="ar-SA"/>
        </w:rPr>
        <w:t>.</w:t>
      </w:r>
    </w:p>
    <w:p w14:paraId="572B854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A5847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Representative’s Warrants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2.5</w:t>
      </w:r>
      <w:r w:rsidRPr="00AE3C59">
        <w:rPr>
          <w:rFonts w:ascii="Times New Roman" w:eastAsia="Times New Roman" w:hAnsi="Times New Roman" w:cs="Times New Roman"/>
          <w:sz w:val="20"/>
          <w:szCs w:val="20"/>
          <w:lang w:val="en-US" w:eastAsia="en-US" w:bidi="ar-SA"/>
        </w:rPr>
        <w:t>.</w:t>
      </w:r>
    </w:p>
    <w:p w14:paraId="57D854A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13448B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Representative’s Warrant Shares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2.5</w:t>
      </w:r>
      <w:r w:rsidRPr="00AE3C59">
        <w:rPr>
          <w:rFonts w:ascii="Times New Roman" w:eastAsia="Times New Roman" w:hAnsi="Times New Roman" w:cs="Times New Roman"/>
          <w:sz w:val="20"/>
          <w:szCs w:val="20"/>
          <w:lang w:val="en-US" w:eastAsia="en-US" w:bidi="ar-SA"/>
        </w:rPr>
        <w:t>.</w:t>
      </w:r>
    </w:p>
    <w:p w14:paraId="6DD630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D1DFB8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Representative’s Warrant Agreement</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2.5</w:t>
      </w:r>
      <w:r w:rsidRPr="00AE3C59">
        <w:rPr>
          <w:rFonts w:ascii="Times New Roman" w:eastAsia="Times New Roman" w:hAnsi="Times New Roman" w:cs="Times New Roman"/>
          <w:sz w:val="20"/>
          <w:szCs w:val="20"/>
          <w:lang w:val="en-US" w:eastAsia="en-US" w:bidi="ar-SA"/>
        </w:rPr>
        <w:t>.</w:t>
      </w:r>
    </w:p>
    <w:p w14:paraId="1246871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6B84CA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Required Approvals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3.1(e)</w:t>
      </w:r>
      <w:r w:rsidRPr="00AE3C59">
        <w:rPr>
          <w:rFonts w:ascii="Times New Roman" w:eastAsia="Times New Roman" w:hAnsi="Times New Roman" w:cs="Times New Roman"/>
          <w:sz w:val="20"/>
          <w:szCs w:val="20"/>
          <w:lang w:val="en-US" w:eastAsia="en-US" w:bidi="ar-SA"/>
        </w:rPr>
        <w:t>.</w:t>
      </w:r>
    </w:p>
    <w:p w14:paraId="576256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AAA00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Rule 144</w:t>
      </w:r>
      <w:r w:rsidRPr="00AE3C59">
        <w:rPr>
          <w:rFonts w:ascii="Times New Roman" w:eastAsia="Times New Roman" w:hAnsi="Times New Roman" w:cs="Times New Roman"/>
          <w:sz w:val="20"/>
          <w:szCs w:val="20"/>
          <w:lang w:val="en-US" w:eastAsia="en-US" w:bidi="ar-SA"/>
        </w:rPr>
        <w:t>” means Rule 144 promulgated by the Commission pursuant to the Securities Act, as such Rule may be amended or interpreted from time to time, or any similar rule or regulation hereafter adopted by the Commission having substantially the same purpose and effect as such Rule.</w:t>
      </w:r>
    </w:p>
    <w:p w14:paraId="16CA9E5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629291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w:t>
      </w:r>
      <w:r w:rsidRPr="00AE3C59">
        <w:rPr>
          <w:rFonts w:ascii="Times New Roman" w:eastAsia="Times New Roman" w:hAnsi="Times New Roman" w:cs="Times New Roman"/>
          <w:sz w:val="20"/>
          <w:szCs w:val="20"/>
          <w:u w:val="single"/>
          <w:lang w:val="en-US" w:eastAsia="en-US" w:bidi="ar-SA"/>
        </w:rPr>
        <w:t>Rule 424</w:t>
      </w:r>
      <w:r w:rsidRPr="00AE3C59">
        <w:rPr>
          <w:rFonts w:ascii="Times New Roman" w:eastAsia="Times New Roman" w:hAnsi="Times New Roman" w:cs="Times New Roman"/>
          <w:sz w:val="20"/>
          <w:szCs w:val="20"/>
          <w:lang w:val="en-US" w:eastAsia="en-US" w:bidi="ar-SA"/>
        </w:rPr>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2419A3F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B3B0C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SEC Reports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3.1(</w:t>
      </w:r>
      <w:proofErr w:type="spellStart"/>
      <w:r w:rsidRPr="00AE3C59">
        <w:rPr>
          <w:rFonts w:ascii="Times New Roman" w:eastAsia="Times New Roman" w:hAnsi="Times New Roman" w:cs="Times New Roman"/>
          <w:sz w:val="20"/>
          <w:szCs w:val="20"/>
          <w:u w:val="single"/>
          <w:lang w:val="en-US" w:eastAsia="en-US" w:bidi="ar-SA"/>
        </w:rPr>
        <w:t>i</w:t>
      </w:r>
      <w:proofErr w:type="spellEnd"/>
      <w:r w:rsidRPr="00AE3C59">
        <w:rPr>
          <w:rFonts w:ascii="Times New Roman" w:eastAsia="Times New Roman" w:hAnsi="Times New Roman" w:cs="Times New Roman"/>
          <w:sz w:val="20"/>
          <w:szCs w:val="20"/>
          <w:u w:val="single"/>
          <w:lang w:val="en-US" w:eastAsia="en-US" w:bidi="ar-SA"/>
        </w:rPr>
        <w:t>)</w:t>
      </w:r>
      <w:r w:rsidRPr="00AE3C59">
        <w:rPr>
          <w:rFonts w:ascii="Times New Roman" w:eastAsia="Times New Roman" w:hAnsi="Times New Roman" w:cs="Times New Roman"/>
          <w:sz w:val="20"/>
          <w:szCs w:val="20"/>
          <w:lang w:val="en-US" w:eastAsia="en-US" w:bidi="ar-SA"/>
        </w:rPr>
        <w:t>.</w:t>
      </w:r>
    </w:p>
    <w:p w14:paraId="369122F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F7872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Securities</w:t>
      </w:r>
      <w:r w:rsidRPr="00AE3C59">
        <w:rPr>
          <w:rFonts w:ascii="Times New Roman" w:eastAsia="Times New Roman" w:hAnsi="Times New Roman" w:cs="Times New Roman"/>
          <w:sz w:val="20"/>
          <w:szCs w:val="20"/>
          <w:lang w:val="en-US" w:eastAsia="en-US" w:bidi="ar-SA"/>
        </w:rPr>
        <w:t>” means the Closing Securities, the Option Securities, the Warrant Shares and the Representative’s Securities.</w:t>
      </w:r>
    </w:p>
    <w:p w14:paraId="4B08645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BFF406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Securities Act</w:t>
      </w:r>
      <w:r w:rsidRPr="00AE3C59">
        <w:rPr>
          <w:rFonts w:ascii="Times New Roman" w:eastAsia="Times New Roman" w:hAnsi="Times New Roman" w:cs="Times New Roman"/>
          <w:sz w:val="20"/>
          <w:szCs w:val="20"/>
          <w:lang w:val="en-US" w:eastAsia="en-US" w:bidi="ar-SA"/>
        </w:rPr>
        <w:t>” means the Securities Act of 1933, as amended, and the rules and regulations promulgated thereunder.</w:t>
      </w:r>
    </w:p>
    <w:p w14:paraId="2A5618C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401DCC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Share Purchase Price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2.1(b)</w:t>
      </w:r>
      <w:r w:rsidRPr="00AE3C59">
        <w:rPr>
          <w:rFonts w:ascii="Times New Roman" w:eastAsia="Times New Roman" w:hAnsi="Times New Roman" w:cs="Times New Roman"/>
          <w:sz w:val="20"/>
          <w:szCs w:val="20"/>
          <w:lang w:val="en-US" w:eastAsia="en-US" w:bidi="ar-SA"/>
        </w:rPr>
        <w:t>.</w:t>
      </w:r>
    </w:p>
    <w:p w14:paraId="167F2DD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80D398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Shares</w:t>
      </w:r>
      <w:r w:rsidRPr="00AE3C59">
        <w:rPr>
          <w:rFonts w:ascii="Times New Roman" w:eastAsia="Times New Roman" w:hAnsi="Times New Roman" w:cs="Times New Roman"/>
          <w:sz w:val="20"/>
          <w:szCs w:val="20"/>
          <w:lang w:val="en-US" w:eastAsia="en-US" w:bidi="ar-SA"/>
        </w:rPr>
        <w:t xml:space="preserve">” means, collectively, the shares of Common Stock delivered to the Underwriters in accordance with </w:t>
      </w:r>
      <w:r w:rsidRPr="00AE3C59">
        <w:rPr>
          <w:rFonts w:ascii="Times New Roman" w:eastAsia="Times New Roman" w:hAnsi="Times New Roman" w:cs="Times New Roman"/>
          <w:sz w:val="20"/>
          <w:szCs w:val="20"/>
          <w:u w:val="single"/>
          <w:lang w:val="en-US" w:eastAsia="en-US" w:bidi="ar-SA"/>
        </w:rPr>
        <w:t>Section 2.1(a)(ii)</w:t>
      </w:r>
      <w:r w:rsidRPr="00AE3C59">
        <w:rPr>
          <w:rFonts w:ascii="Times New Roman" w:eastAsia="Times New Roman" w:hAnsi="Times New Roman" w:cs="Times New Roman"/>
          <w:sz w:val="20"/>
          <w:szCs w:val="20"/>
          <w:lang w:val="en-US" w:eastAsia="en-US" w:bidi="ar-SA"/>
        </w:rPr>
        <w:t xml:space="preserve"> and </w:t>
      </w:r>
      <w:r w:rsidRPr="00AE3C59">
        <w:rPr>
          <w:rFonts w:ascii="Times New Roman" w:eastAsia="Times New Roman" w:hAnsi="Times New Roman" w:cs="Times New Roman"/>
          <w:sz w:val="20"/>
          <w:szCs w:val="20"/>
          <w:u w:val="single"/>
          <w:lang w:val="en-US" w:eastAsia="en-US" w:bidi="ar-SA"/>
        </w:rPr>
        <w:t>Section 2.2(a)</w:t>
      </w:r>
      <w:r w:rsidRPr="00AE3C59">
        <w:rPr>
          <w:rFonts w:ascii="Times New Roman" w:eastAsia="Times New Roman" w:hAnsi="Times New Roman" w:cs="Times New Roman"/>
          <w:sz w:val="20"/>
          <w:szCs w:val="20"/>
          <w:lang w:val="en-US" w:eastAsia="en-US" w:bidi="ar-SA"/>
        </w:rPr>
        <w:t>.</w:t>
      </w:r>
    </w:p>
    <w:p w14:paraId="1E6526B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8B348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Special Intellectual Property Counsel</w:t>
      </w:r>
      <w:r w:rsidRPr="00AE3C59">
        <w:rPr>
          <w:rFonts w:ascii="Times New Roman" w:eastAsia="Times New Roman" w:hAnsi="Times New Roman" w:cs="Times New Roman"/>
          <w:sz w:val="20"/>
          <w:szCs w:val="20"/>
          <w:lang w:val="en-US" w:eastAsia="en-US" w:bidi="ar-SA"/>
        </w:rPr>
        <w:t>” means Knowles IP Strategies, with offices located at 400 Perimeter Center Terrace NE, Suite 200, Atlanta, Georgia, 30346.</w:t>
      </w:r>
    </w:p>
    <w:p w14:paraId="5C6B67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7BE83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Subsidiary</w:t>
      </w:r>
      <w:r w:rsidRPr="00AE3C59">
        <w:rPr>
          <w:rFonts w:ascii="Times New Roman" w:eastAsia="Times New Roman" w:hAnsi="Times New Roman" w:cs="Times New Roman"/>
          <w:sz w:val="20"/>
          <w:szCs w:val="20"/>
          <w:lang w:val="en-US" w:eastAsia="en-US" w:bidi="ar-SA"/>
        </w:rPr>
        <w:t>” means any subsidiary of the Company and shall, where applicable, also include any direct or indirect subsidiary of the Company formed or acquired after the date hereof.</w:t>
      </w:r>
    </w:p>
    <w:p w14:paraId="6F89686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576A45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Trading Day</w:t>
      </w:r>
      <w:r w:rsidRPr="00AE3C59">
        <w:rPr>
          <w:rFonts w:ascii="Times New Roman" w:eastAsia="Times New Roman" w:hAnsi="Times New Roman" w:cs="Times New Roman"/>
          <w:sz w:val="20"/>
          <w:szCs w:val="20"/>
          <w:lang w:val="en-US" w:eastAsia="en-US" w:bidi="ar-SA"/>
        </w:rPr>
        <w:t>” means a day on which the principal Trading Market is open for trading.</w:t>
      </w:r>
    </w:p>
    <w:p w14:paraId="338A5EC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62468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Trading Market</w:t>
      </w:r>
      <w:r w:rsidRPr="00AE3C59">
        <w:rPr>
          <w:rFonts w:ascii="Times New Roman" w:eastAsia="Times New Roman" w:hAnsi="Times New Roman" w:cs="Times New Roman"/>
          <w:sz w:val="20"/>
          <w:szCs w:val="20"/>
          <w:lang w:val="en-US" w:eastAsia="en-US" w:bidi="ar-SA"/>
        </w:rPr>
        <w:t>” means any of the following markets or exchanges on which the Common Stock is listed or quoted for trading on the date in question: the OTCQB Venture Market, the NYSE American, the Nasdaq Capital Market, the Nasdaq Global Market, the Nasdaq Global Select Market or the New York Stock Exchange (or any successors to any of the foregoing).</w:t>
      </w:r>
    </w:p>
    <w:p w14:paraId="7B3904F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580094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Transaction Documents</w:t>
      </w:r>
      <w:r w:rsidRPr="00AE3C59">
        <w:rPr>
          <w:rFonts w:ascii="Times New Roman" w:eastAsia="Times New Roman" w:hAnsi="Times New Roman" w:cs="Times New Roman"/>
          <w:sz w:val="20"/>
          <w:szCs w:val="20"/>
          <w:lang w:val="en-US" w:eastAsia="en-US" w:bidi="ar-SA"/>
        </w:rPr>
        <w:t>” means this Agreement and all exhibits and schedules hereto, the Pre-Funded Warrants, the Warrants, the Warrant Agent Agreement, the Representative’s Warrant Agreement, the Lock-Up Agreements, and any other documents or agreements executed in connection with the transactions contemplated hereunder.</w:t>
      </w:r>
    </w:p>
    <w:p w14:paraId="2BF03CA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53F9C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Transfer Agent</w:t>
      </w:r>
      <w:r w:rsidRPr="00AE3C59">
        <w:rPr>
          <w:rFonts w:ascii="Times New Roman" w:eastAsia="Times New Roman" w:hAnsi="Times New Roman" w:cs="Times New Roman"/>
          <w:sz w:val="20"/>
          <w:szCs w:val="20"/>
          <w:lang w:val="en-US" w:eastAsia="en-US" w:bidi="ar-SA"/>
        </w:rPr>
        <w:t>” means American Stock Transfer &amp; Trust Company, LLC, with a mailing address of 6201 15th Ave, Brooklyn, NY 11219and a telephone number of (718) 921-8124, and any successor transfer agent of the Company.</w:t>
      </w:r>
    </w:p>
    <w:p w14:paraId="42A1639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4756E3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Underwriters’ Information</w:t>
      </w:r>
      <w:r w:rsidRPr="00AE3C59">
        <w:rPr>
          <w:rFonts w:ascii="Times New Roman" w:eastAsia="Times New Roman" w:hAnsi="Times New Roman" w:cs="Times New Roman"/>
          <w:sz w:val="20"/>
          <w:szCs w:val="20"/>
          <w:lang w:val="en-US" w:eastAsia="en-US" w:bidi="ar-SA"/>
        </w:rPr>
        <w:t>” shall have the meaning ascribed to such term in Section 6.1.</w:t>
      </w:r>
    </w:p>
    <w:p w14:paraId="68122B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0FD04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Units</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2.1(a)(</w:t>
      </w:r>
      <w:proofErr w:type="spellStart"/>
      <w:r w:rsidRPr="00AE3C59">
        <w:rPr>
          <w:rFonts w:ascii="Times New Roman" w:eastAsia="Times New Roman" w:hAnsi="Times New Roman" w:cs="Times New Roman"/>
          <w:sz w:val="20"/>
          <w:szCs w:val="20"/>
          <w:u w:val="single"/>
          <w:lang w:val="en-US" w:eastAsia="en-US" w:bidi="ar-SA"/>
        </w:rPr>
        <w:t>i</w:t>
      </w:r>
      <w:proofErr w:type="spellEnd"/>
      <w:r w:rsidRPr="00AE3C59">
        <w:rPr>
          <w:rFonts w:ascii="Times New Roman" w:eastAsia="Times New Roman" w:hAnsi="Times New Roman" w:cs="Times New Roman"/>
          <w:sz w:val="20"/>
          <w:szCs w:val="20"/>
          <w:u w:val="single"/>
          <w:lang w:val="en-US" w:eastAsia="en-US" w:bidi="ar-SA"/>
        </w:rPr>
        <w:t>)</w:t>
      </w:r>
      <w:r w:rsidRPr="00AE3C59">
        <w:rPr>
          <w:rFonts w:ascii="Times New Roman" w:eastAsia="Times New Roman" w:hAnsi="Times New Roman" w:cs="Times New Roman"/>
          <w:sz w:val="20"/>
          <w:szCs w:val="20"/>
          <w:lang w:val="en-US" w:eastAsia="en-US" w:bidi="ar-SA"/>
        </w:rPr>
        <w:t>.</w:t>
      </w:r>
    </w:p>
    <w:p w14:paraId="25B595E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244603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 Agent</w:t>
      </w:r>
      <w:r w:rsidRPr="00AE3C59">
        <w:rPr>
          <w:rFonts w:ascii="Times New Roman" w:eastAsia="Times New Roman" w:hAnsi="Times New Roman" w:cs="Times New Roman"/>
          <w:sz w:val="20"/>
          <w:szCs w:val="20"/>
          <w:lang w:val="en-US" w:eastAsia="en-US" w:bidi="ar-SA"/>
        </w:rPr>
        <w:t>” means the Transfer Agent.</w:t>
      </w:r>
    </w:p>
    <w:p w14:paraId="542ADDC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B8B6BB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 Agent Agreement</w:t>
      </w:r>
      <w:r w:rsidRPr="00AE3C59">
        <w:rPr>
          <w:rFonts w:ascii="Times New Roman" w:eastAsia="Times New Roman" w:hAnsi="Times New Roman" w:cs="Times New Roman"/>
          <w:sz w:val="20"/>
          <w:szCs w:val="20"/>
          <w:lang w:val="en-US" w:eastAsia="en-US" w:bidi="ar-SA"/>
        </w:rPr>
        <w:t xml:space="preserve">” means the warrant agent agreement by and between the Company and Transfer Agent, as warrant agent, dated on or before the Closing Date, for the purpose of administering the Warrants, in the form of </w:t>
      </w:r>
      <w:r w:rsidRPr="00AE3C59">
        <w:rPr>
          <w:rFonts w:ascii="Times New Roman" w:eastAsia="Times New Roman" w:hAnsi="Times New Roman" w:cs="Times New Roman"/>
          <w:sz w:val="20"/>
          <w:szCs w:val="20"/>
          <w:u w:val="single"/>
          <w:lang w:val="en-US" w:eastAsia="en-US" w:bidi="ar-SA"/>
        </w:rPr>
        <w:t>Exhibit G</w:t>
      </w:r>
      <w:r w:rsidRPr="00AE3C59">
        <w:rPr>
          <w:rFonts w:ascii="Times New Roman" w:eastAsia="Times New Roman" w:hAnsi="Times New Roman" w:cs="Times New Roman"/>
          <w:sz w:val="20"/>
          <w:szCs w:val="20"/>
          <w:lang w:val="en-US" w:eastAsia="en-US" w:bidi="ar-SA"/>
        </w:rPr>
        <w:t xml:space="preserve"> attached hereto.</w:t>
      </w:r>
    </w:p>
    <w:p w14:paraId="7EB13E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0AFE77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 Purchase Price</w:t>
      </w:r>
      <w:r w:rsidRPr="00AE3C59">
        <w:rPr>
          <w:rFonts w:ascii="Times New Roman" w:eastAsia="Times New Roman" w:hAnsi="Times New Roman" w:cs="Times New Roman"/>
          <w:sz w:val="20"/>
          <w:szCs w:val="20"/>
          <w:lang w:val="en-US" w:eastAsia="en-US" w:bidi="ar-SA"/>
        </w:rPr>
        <w:t xml:space="preserve">” shall have the meaning ascribed to such term in </w:t>
      </w:r>
      <w:r w:rsidRPr="00AE3C59">
        <w:rPr>
          <w:rFonts w:ascii="Times New Roman" w:eastAsia="Times New Roman" w:hAnsi="Times New Roman" w:cs="Times New Roman"/>
          <w:sz w:val="20"/>
          <w:szCs w:val="20"/>
          <w:u w:val="single"/>
          <w:lang w:val="en-US" w:eastAsia="en-US" w:bidi="ar-SA"/>
        </w:rPr>
        <w:t>Section 2.1(b)</w:t>
      </w:r>
      <w:r w:rsidRPr="00AE3C59">
        <w:rPr>
          <w:rFonts w:ascii="Times New Roman" w:eastAsia="Times New Roman" w:hAnsi="Times New Roman" w:cs="Times New Roman"/>
          <w:sz w:val="20"/>
          <w:szCs w:val="20"/>
          <w:lang w:val="en-US" w:eastAsia="en-US" w:bidi="ar-SA"/>
        </w:rPr>
        <w:t>.</w:t>
      </w:r>
    </w:p>
    <w:p w14:paraId="2750863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73ADEA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 Shares</w:t>
      </w:r>
      <w:r w:rsidRPr="00AE3C59">
        <w:rPr>
          <w:rFonts w:ascii="Times New Roman" w:eastAsia="Times New Roman" w:hAnsi="Times New Roman" w:cs="Times New Roman"/>
          <w:sz w:val="20"/>
          <w:szCs w:val="20"/>
          <w:lang w:val="en-US" w:eastAsia="en-US" w:bidi="ar-SA"/>
        </w:rPr>
        <w:t>” means the shares of Common Stock issuable upon exercise of the Warrants.</w:t>
      </w:r>
    </w:p>
    <w:p w14:paraId="087C764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D136F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Warrants</w:t>
      </w:r>
      <w:r w:rsidRPr="00AE3C59">
        <w:rPr>
          <w:rFonts w:ascii="Times New Roman" w:eastAsia="Times New Roman" w:hAnsi="Times New Roman" w:cs="Times New Roman"/>
          <w:sz w:val="20"/>
          <w:szCs w:val="20"/>
          <w:lang w:val="en-US" w:eastAsia="en-US" w:bidi="ar-SA"/>
        </w:rPr>
        <w:t xml:space="preserve">” means, collectively, the Common Stock purchase warrants delivered to the Underwriters in accordance with </w:t>
      </w:r>
      <w:r w:rsidRPr="00AE3C59">
        <w:rPr>
          <w:rFonts w:ascii="Times New Roman" w:eastAsia="Times New Roman" w:hAnsi="Times New Roman" w:cs="Times New Roman"/>
          <w:sz w:val="20"/>
          <w:szCs w:val="20"/>
          <w:u w:val="single"/>
          <w:lang w:val="en-US" w:eastAsia="en-US" w:bidi="ar-SA"/>
        </w:rPr>
        <w:t xml:space="preserve">Section 2.1(a)(iii) </w:t>
      </w:r>
      <w:r w:rsidRPr="00AE3C59">
        <w:rPr>
          <w:rFonts w:ascii="Times New Roman" w:eastAsia="Times New Roman" w:hAnsi="Times New Roman" w:cs="Times New Roman"/>
          <w:sz w:val="20"/>
          <w:szCs w:val="20"/>
          <w:lang w:val="en-US" w:eastAsia="en-US" w:bidi="ar-SA"/>
        </w:rPr>
        <w:t xml:space="preserve">and </w:t>
      </w:r>
      <w:r w:rsidRPr="00AE3C59">
        <w:rPr>
          <w:rFonts w:ascii="Times New Roman" w:eastAsia="Times New Roman" w:hAnsi="Times New Roman" w:cs="Times New Roman"/>
          <w:sz w:val="20"/>
          <w:szCs w:val="20"/>
          <w:u w:val="single"/>
          <w:lang w:val="en-US" w:eastAsia="en-US" w:bidi="ar-SA"/>
        </w:rPr>
        <w:t>Section 2.2</w:t>
      </w:r>
      <w:r w:rsidRPr="00AE3C59">
        <w:rPr>
          <w:rFonts w:ascii="Times New Roman" w:eastAsia="Times New Roman" w:hAnsi="Times New Roman" w:cs="Times New Roman"/>
          <w:sz w:val="20"/>
          <w:szCs w:val="20"/>
          <w:lang w:val="en-US" w:eastAsia="en-US" w:bidi="ar-SA"/>
        </w:rPr>
        <w:t xml:space="preserve">, which Warrants shall be exercisable immediately and have a term of exercise equal to five (5) years, in the form of </w:t>
      </w:r>
      <w:r w:rsidRPr="00AE3C59">
        <w:rPr>
          <w:rFonts w:ascii="Times New Roman" w:eastAsia="Times New Roman" w:hAnsi="Times New Roman" w:cs="Times New Roman"/>
          <w:sz w:val="20"/>
          <w:szCs w:val="20"/>
          <w:u w:val="single"/>
          <w:lang w:val="en-US" w:eastAsia="en-US" w:bidi="ar-SA"/>
        </w:rPr>
        <w:t>Exhibit E</w:t>
      </w:r>
      <w:r w:rsidRPr="00AE3C59">
        <w:rPr>
          <w:rFonts w:ascii="Times New Roman" w:eastAsia="Times New Roman" w:hAnsi="Times New Roman" w:cs="Times New Roman"/>
          <w:sz w:val="20"/>
          <w:szCs w:val="20"/>
          <w:lang w:val="en-US" w:eastAsia="en-US" w:bidi="ar-SA"/>
        </w:rPr>
        <w:t xml:space="preserve"> attached hereto.</w:t>
      </w:r>
    </w:p>
    <w:p w14:paraId="5A3660A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327702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II. </w:t>
      </w:r>
    </w:p>
    <w:p w14:paraId="4B05DDC2"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lastRenderedPageBreak/>
        <w:t>PURCHASE AND SALE</w:t>
      </w:r>
    </w:p>
    <w:p w14:paraId="3B193CC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23EA92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2.1  </w:t>
      </w:r>
      <w:r w:rsidRPr="00AE3C59">
        <w:rPr>
          <w:rFonts w:ascii="Times New Roman" w:eastAsia="Times New Roman" w:hAnsi="Times New Roman" w:cs="Times New Roman"/>
          <w:sz w:val="20"/>
          <w:szCs w:val="20"/>
          <w:u w:val="single"/>
          <w:lang w:val="en-US" w:eastAsia="en-US" w:bidi="ar-SA"/>
        </w:rPr>
        <w:t>Closing</w:t>
      </w:r>
      <w:r w:rsidRPr="00AE3C59">
        <w:rPr>
          <w:rFonts w:ascii="Times New Roman" w:eastAsia="Times New Roman" w:hAnsi="Times New Roman" w:cs="Times New Roman"/>
          <w:sz w:val="20"/>
          <w:szCs w:val="20"/>
          <w:lang w:val="en-US" w:eastAsia="en-US" w:bidi="ar-SA"/>
        </w:rPr>
        <w:t>.</w:t>
      </w:r>
    </w:p>
    <w:p w14:paraId="48EC938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6E4E27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  Upon the terms and subject to the conditions set forth herein, the Company agrees to sell in the aggregate </w:t>
      </w:r>
      <w:r w:rsidRPr="00AE3C59">
        <w:rPr>
          <w:rFonts w:ascii="Times New Roman" w:eastAsia="Times New Roman" w:hAnsi="Times New Roman" w:cs="Times New Roman"/>
          <w:sz w:val="20"/>
          <w:szCs w:val="20"/>
          <w:lang w:eastAsia="en-US" w:bidi="ar-SA"/>
        </w:rPr>
        <w:t>2,560,000</w:t>
      </w:r>
      <w:r w:rsidRPr="00AE3C59">
        <w:rPr>
          <w:rFonts w:ascii="Times New Roman" w:eastAsia="Times New Roman" w:hAnsi="Times New Roman" w:cs="Times New Roman"/>
          <w:b/>
          <w:bCs/>
          <w:sz w:val="20"/>
          <w:szCs w:val="20"/>
          <w:lang w:val="en-US" w:eastAsia="en-US" w:bidi="ar-SA"/>
        </w:rPr>
        <w:t xml:space="preserve"> </w:t>
      </w:r>
      <w:r w:rsidRPr="00AE3C59">
        <w:rPr>
          <w:rFonts w:ascii="Times New Roman" w:eastAsia="Times New Roman" w:hAnsi="Times New Roman" w:cs="Times New Roman"/>
          <w:sz w:val="20"/>
          <w:szCs w:val="20"/>
          <w:lang w:val="en-US" w:eastAsia="en-US" w:bidi="ar-SA"/>
        </w:rPr>
        <w:t>units (the “</w:t>
      </w:r>
      <w:r w:rsidRPr="00AE3C59">
        <w:rPr>
          <w:rFonts w:ascii="Times New Roman" w:eastAsia="Times New Roman" w:hAnsi="Times New Roman" w:cs="Times New Roman"/>
          <w:sz w:val="20"/>
          <w:szCs w:val="20"/>
          <w:u w:val="single"/>
          <w:lang w:val="en-US" w:eastAsia="en-US" w:bidi="ar-SA"/>
        </w:rPr>
        <w:t>Units</w:t>
      </w:r>
      <w:r w:rsidRPr="00AE3C59">
        <w:rPr>
          <w:rFonts w:ascii="Times New Roman" w:eastAsia="Times New Roman" w:hAnsi="Times New Roman" w:cs="Times New Roman"/>
          <w:sz w:val="20"/>
          <w:szCs w:val="20"/>
          <w:lang w:val="en-US" w:eastAsia="en-US" w:bidi="ar-SA"/>
        </w:rPr>
        <w:t>”), with each Unit consisting of (a) one share of Common Stock or one Pre-Funded Warrant to purchase one share of Common Stock, and (b) one Warrant to purchase one share of Common Stock, subject to the terms and conditions stated herein, and each Underwriter agrees to purchase, severally and not jointly, at the Closing, the following securities of the Company:</w:t>
      </w:r>
    </w:p>
    <w:p w14:paraId="05D08DB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CD9EFA3"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number of Units (the “</w:t>
      </w:r>
      <w:r w:rsidRPr="00AE3C59">
        <w:rPr>
          <w:rFonts w:ascii="Times New Roman" w:eastAsia="Times New Roman" w:hAnsi="Times New Roman" w:cs="Times New Roman"/>
          <w:sz w:val="20"/>
          <w:szCs w:val="20"/>
          <w:u w:val="single"/>
          <w:lang w:val="en-US" w:eastAsia="en-US" w:bidi="ar-SA"/>
        </w:rPr>
        <w:t>Closing Units</w:t>
      </w:r>
      <w:r w:rsidRPr="00AE3C59">
        <w:rPr>
          <w:rFonts w:ascii="Times New Roman" w:eastAsia="Times New Roman" w:hAnsi="Times New Roman" w:cs="Times New Roman"/>
          <w:sz w:val="20"/>
          <w:szCs w:val="20"/>
          <w:lang w:val="en-US" w:eastAsia="en-US" w:bidi="ar-SA"/>
        </w:rPr>
        <w:t xml:space="preserve">”) set forth opposite the name of such Underwriter on </w:t>
      </w:r>
      <w:r w:rsidRPr="00AE3C59">
        <w:rPr>
          <w:rFonts w:ascii="Times New Roman" w:eastAsia="Times New Roman" w:hAnsi="Times New Roman" w:cs="Times New Roman"/>
          <w:sz w:val="20"/>
          <w:szCs w:val="20"/>
          <w:u w:val="single"/>
          <w:lang w:val="en-US" w:eastAsia="en-US" w:bidi="ar-SA"/>
        </w:rPr>
        <w:t xml:space="preserve">Schedule I </w:t>
      </w:r>
      <w:r w:rsidRPr="00AE3C59">
        <w:rPr>
          <w:rFonts w:ascii="Times New Roman" w:eastAsia="Times New Roman" w:hAnsi="Times New Roman" w:cs="Times New Roman"/>
          <w:sz w:val="20"/>
          <w:szCs w:val="20"/>
          <w:lang w:val="en-US" w:eastAsia="en-US" w:bidi="ar-SA"/>
        </w:rPr>
        <w:t>hereof; and</w:t>
      </w:r>
    </w:p>
    <w:p w14:paraId="3FCB1C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E15185C"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 the number of shares of Common Stock (the “</w:t>
      </w:r>
      <w:r w:rsidRPr="00AE3C59">
        <w:rPr>
          <w:rFonts w:ascii="Times New Roman" w:eastAsia="Times New Roman" w:hAnsi="Times New Roman" w:cs="Times New Roman"/>
          <w:sz w:val="20"/>
          <w:szCs w:val="20"/>
          <w:u w:val="single"/>
          <w:lang w:val="en-US" w:eastAsia="en-US" w:bidi="ar-SA"/>
        </w:rPr>
        <w:t>Closing Shares</w:t>
      </w:r>
      <w:r w:rsidRPr="00AE3C59">
        <w:rPr>
          <w:rFonts w:ascii="Times New Roman" w:eastAsia="Times New Roman" w:hAnsi="Times New Roman" w:cs="Times New Roman"/>
          <w:sz w:val="20"/>
          <w:szCs w:val="20"/>
          <w:lang w:val="en-US" w:eastAsia="en-US" w:bidi="ar-SA"/>
        </w:rPr>
        <w:t>”) and/or Pre-Funded Warrants (the “</w:t>
      </w:r>
      <w:r w:rsidRPr="00AE3C59">
        <w:rPr>
          <w:rFonts w:ascii="Times New Roman" w:eastAsia="Times New Roman" w:hAnsi="Times New Roman" w:cs="Times New Roman"/>
          <w:sz w:val="20"/>
          <w:szCs w:val="20"/>
          <w:u w:val="single"/>
          <w:lang w:val="en-US" w:eastAsia="en-US" w:bidi="ar-SA"/>
        </w:rPr>
        <w:t>Closing Pre-Funded Warrants</w:t>
      </w:r>
      <w:r w:rsidRPr="00AE3C59">
        <w:rPr>
          <w:rFonts w:ascii="Times New Roman" w:eastAsia="Times New Roman" w:hAnsi="Times New Roman" w:cs="Times New Roman"/>
          <w:sz w:val="20"/>
          <w:szCs w:val="20"/>
          <w:lang w:val="en-US" w:eastAsia="en-US" w:bidi="ar-SA"/>
        </w:rPr>
        <w:t xml:space="preserve">”) set forth opposite the name of such Underwriter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hereof included in the Closing Units; and</w:t>
      </w:r>
    </w:p>
    <w:p w14:paraId="3A54682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2C54D7"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(iii)  the number of Warrants (“</w:t>
      </w:r>
      <w:r w:rsidRPr="00AE3C59">
        <w:rPr>
          <w:rFonts w:ascii="Times New Roman" w:eastAsia="Times New Roman" w:hAnsi="Times New Roman" w:cs="Times New Roman"/>
          <w:sz w:val="20"/>
          <w:szCs w:val="20"/>
          <w:u w:val="single"/>
          <w:lang w:val="en-US" w:eastAsia="en-US" w:bidi="ar-SA"/>
        </w:rPr>
        <w:t>Closing Warrants</w:t>
      </w:r>
      <w:r w:rsidRPr="00AE3C59">
        <w:rPr>
          <w:rFonts w:ascii="Times New Roman" w:eastAsia="Times New Roman" w:hAnsi="Times New Roman" w:cs="Times New Roman"/>
          <w:sz w:val="20"/>
          <w:szCs w:val="20"/>
          <w:lang w:val="en-US" w:eastAsia="en-US" w:bidi="ar-SA"/>
        </w:rPr>
        <w:t xml:space="preserve">”) to purchase shares of Common Stock set forth opposite the name of such Underwriter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hereof included in the Closing Units, which shall have an exercise price of $</w:t>
      </w:r>
      <w:r w:rsidRPr="00AE3C59">
        <w:rPr>
          <w:rFonts w:ascii="Times New Roman" w:eastAsia="Times New Roman" w:hAnsi="Times New Roman" w:cs="Times New Roman"/>
          <w:sz w:val="20"/>
          <w:szCs w:val="20"/>
          <w:lang w:eastAsia="en-US" w:bidi="ar-SA"/>
        </w:rPr>
        <w:t>5.00</w:t>
      </w:r>
      <w:r w:rsidRPr="00AE3C59">
        <w:rPr>
          <w:rFonts w:ascii="Times New Roman" w:eastAsia="Times New Roman" w:hAnsi="Times New Roman" w:cs="Times New Roman"/>
          <w:b/>
          <w:bCs/>
          <w:sz w:val="20"/>
          <w:szCs w:val="20"/>
          <w:lang w:val="en-US" w:eastAsia="en-US" w:bidi="ar-SA"/>
        </w:rPr>
        <w:t xml:space="preserve"> </w:t>
      </w:r>
      <w:r w:rsidRPr="00AE3C59">
        <w:rPr>
          <w:rFonts w:ascii="Times New Roman" w:eastAsia="Times New Roman" w:hAnsi="Times New Roman" w:cs="Times New Roman"/>
          <w:sz w:val="20"/>
          <w:szCs w:val="20"/>
          <w:lang w:val="en-US" w:eastAsia="en-US" w:bidi="ar-SA"/>
        </w:rPr>
        <w:t>(subject to adjustment as provided therein) (collectively with the Closing Units, the Closing Shares, and the Closing Pre-Funded Warrants, the “</w:t>
      </w:r>
      <w:r w:rsidRPr="00AE3C59">
        <w:rPr>
          <w:rFonts w:ascii="Times New Roman" w:eastAsia="Times New Roman" w:hAnsi="Times New Roman" w:cs="Times New Roman"/>
          <w:sz w:val="20"/>
          <w:szCs w:val="20"/>
          <w:u w:val="single"/>
          <w:lang w:val="en-US" w:eastAsia="en-US" w:bidi="ar-SA"/>
        </w:rPr>
        <w:t>Closing Securities</w:t>
      </w:r>
      <w:r w:rsidRPr="00AE3C59">
        <w:rPr>
          <w:rFonts w:ascii="Times New Roman" w:eastAsia="Times New Roman" w:hAnsi="Times New Roman" w:cs="Times New Roman"/>
          <w:sz w:val="20"/>
          <w:szCs w:val="20"/>
          <w:lang w:val="en-US" w:eastAsia="en-US" w:bidi="ar-SA"/>
        </w:rPr>
        <w:t>”).</w:t>
      </w:r>
    </w:p>
    <w:p w14:paraId="66BFB08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2E4A8A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Units have no stand-alone rights or obligations and will not be certificated or issued as stand-alone securities. The shares of Common Stock, the Pre-Funded Warrants and the Warrants comprising the Units are immediately separable and will be issued separately at the Closing.</w:t>
      </w:r>
    </w:p>
    <w:p w14:paraId="7927C91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59715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The Underwriters, severally and not jointly, agree to purchase from the Company the number of Closing Units set forth opposite their respective names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attached hereto and made a part hereof at a purchase price of (1) $</w:t>
      </w:r>
      <w:r w:rsidRPr="00AE3C59">
        <w:rPr>
          <w:rFonts w:ascii="Times New Roman" w:eastAsia="Times New Roman" w:hAnsi="Times New Roman" w:cs="Times New Roman"/>
          <w:sz w:val="20"/>
          <w:szCs w:val="20"/>
          <w:lang w:eastAsia="en-US" w:bidi="ar-SA"/>
        </w:rPr>
        <w:t>4.60</w:t>
      </w:r>
      <w:r w:rsidRPr="00AE3C59">
        <w:rPr>
          <w:rFonts w:ascii="Times New Roman" w:eastAsia="Times New Roman" w:hAnsi="Times New Roman" w:cs="Times New Roman"/>
          <w:sz w:val="20"/>
          <w:szCs w:val="20"/>
          <w:lang w:val="en-US" w:eastAsia="en-US" w:bidi="ar-SA"/>
        </w:rPr>
        <w:t xml:space="preserve"> per Closing Unit consisting of one Closing Share and one Closing Warrant (92% of the public offering price per Closing Unit) or (2) $</w:t>
      </w:r>
      <w:r w:rsidRPr="00AE3C59">
        <w:rPr>
          <w:rFonts w:ascii="Times New Roman" w:eastAsia="Times New Roman" w:hAnsi="Times New Roman" w:cs="Times New Roman"/>
          <w:sz w:val="20"/>
          <w:szCs w:val="20"/>
          <w:lang w:eastAsia="en-US" w:bidi="ar-SA"/>
        </w:rPr>
        <w:t>4.59</w:t>
      </w:r>
      <w:r w:rsidRPr="00AE3C59">
        <w:rPr>
          <w:rFonts w:ascii="Times New Roman" w:eastAsia="Times New Roman" w:hAnsi="Times New Roman" w:cs="Times New Roman"/>
          <w:sz w:val="20"/>
          <w:szCs w:val="20"/>
          <w:lang w:val="en-US" w:eastAsia="en-US" w:bidi="ar-SA"/>
        </w:rPr>
        <w:t xml:space="preserve"> per Closing Unit consisting of one Closing Pre-Funded Warrant and one Closing Warrant (92% of the public offering price per Closing Unit less one penny) (the “</w:t>
      </w:r>
      <w:r w:rsidRPr="00AE3C59">
        <w:rPr>
          <w:rFonts w:ascii="Times New Roman" w:eastAsia="Times New Roman" w:hAnsi="Times New Roman" w:cs="Times New Roman"/>
          <w:sz w:val="20"/>
          <w:szCs w:val="20"/>
          <w:u w:val="single"/>
          <w:lang w:val="en-US" w:eastAsia="en-US" w:bidi="ar-SA"/>
        </w:rPr>
        <w:t>Closing Purchase Price</w:t>
      </w:r>
      <w:r w:rsidRPr="00AE3C59">
        <w:rPr>
          <w:rFonts w:ascii="Times New Roman" w:eastAsia="Times New Roman" w:hAnsi="Times New Roman" w:cs="Times New Roman"/>
          <w:sz w:val="20"/>
          <w:szCs w:val="20"/>
          <w:lang w:val="en-US" w:eastAsia="en-US" w:bidi="ar-SA"/>
        </w:rPr>
        <w:t>”), and the purchase price of each Closing Unit shall be allocated as follows: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4.59</w:t>
      </w:r>
      <w:r w:rsidRPr="00AE3C59">
        <w:rPr>
          <w:rFonts w:ascii="Times New Roman" w:eastAsia="Times New Roman" w:hAnsi="Times New Roman" w:cs="Times New Roman"/>
          <w:sz w:val="20"/>
          <w:szCs w:val="20"/>
          <w:lang w:val="en-US" w:eastAsia="en-US" w:bidi="ar-SA"/>
        </w:rPr>
        <w:t xml:space="preserve"> per Closing Share (the “</w:t>
      </w:r>
      <w:r w:rsidRPr="00AE3C59">
        <w:rPr>
          <w:rFonts w:ascii="Times New Roman" w:eastAsia="Times New Roman" w:hAnsi="Times New Roman" w:cs="Times New Roman"/>
          <w:sz w:val="20"/>
          <w:szCs w:val="20"/>
          <w:u w:val="single"/>
          <w:lang w:val="en-US" w:eastAsia="en-US" w:bidi="ar-SA"/>
        </w:rPr>
        <w:t>Share Purchase Price</w:t>
      </w:r>
      <w:r w:rsidRPr="00AE3C59">
        <w:rPr>
          <w:rFonts w:ascii="Times New Roman" w:eastAsia="Times New Roman" w:hAnsi="Times New Roman" w:cs="Times New Roman"/>
          <w:sz w:val="20"/>
          <w:szCs w:val="20"/>
          <w:lang w:val="en-US" w:eastAsia="en-US" w:bidi="ar-SA"/>
        </w:rPr>
        <w:t>”) or $</w:t>
      </w:r>
      <w:r w:rsidRPr="00AE3C59">
        <w:rPr>
          <w:rFonts w:ascii="Times New Roman" w:eastAsia="Times New Roman" w:hAnsi="Times New Roman" w:cs="Times New Roman"/>
          <w:sz w:val="20"/>
          <w:szCs w:val="20"/>
          <w:lang w:eastAsia="en-US" w:bidi="ar-SA"/>
        </w:rPr>
        <w:t>4.58</w:t>
      </w:r>
      <w:r w:rsidRPr="00AE3C59">
        <w:rPr>
          <w:rFonts w:ascii="Times New Roman" w:eastAsia="Times New Roman" w:hAnsi="Times New Roman" w:cs="Times New Roman"/>
          <w:sz w:val="20"/>
          <w:szCs w:val="20"/>
          <w:lang w:val="en-US" w:eastAsia="en-US" w:bidi="ar-SA"/>
        </w:rPr>
        <w:t xml:space="preserve"> per Closing Pre-Funded Warrant (the “</w:t>
      </w:r>
      <w:r w:rsidRPr="00AE3C59">
        <w:rPr>
          <w:rFonts w:ascii="Times New Roman" w:eastAsia="Times New Roman" w:hAnsi="Times New Roman" w:cs="Times New Roman"/>
          <w:sz w:val="20"/>
          <w:szCs w:val="20"/>
          <w:u w:val="single"/>
          <w:lang w:val="en-US" w:eastAsia="en-US" w:bidi="ar-SA"/>
        </w:rPr>
        <w:t>Pre-Funded Warrant Purchase Price</w:t>
      </w:r>
      <w:r w:rsidRPr="00AE3C59">
        <w:rPr>
          <w:rFonts w:ascii="Times New Roman" w:eastAsia="Times New Roman" w:hAnsi="Times New Roman" w:cs="Times New Roman"/>
          <w:sz w:val="20"/>
          <w:szCs w:val="20"/>
          <w:lang w:val="en-US" w:eastAsia="en-US" w:bidi="ar-SA"/>
        </w:rPr>
        <w:t>”) and (ii) $0.01 per Closing Warrant (the “</w:t>
      </w:r>
      <w:r w:rsidRPr="00AE3C59">
        <w:rPr>
          <w:rFonts w:ascii="Times New Roman" w:eastAsia="Times New Roman" w:hAnsi="Times New Roman" w:cs="Times New Roman"/>
          <w:sz w:val="20"/>
          <w:szCs w:val="20"/>
          <w:u w:val="single"/>
          <w:lang w:val="en-US" w:eastAsia="en-US" w:bidi="ar-SA"/>
        </w:rPr>
        <w:t>Warrant Purchase Price</w:t>
      </w:r>
      <w:r w:rsidRPr="00AE3C59">
        <w:rPr>
          <w:rFonts w:ascii="Times New Roman" w:eastAsia="Times New Roman" w:hAnsi="Times New Roman" w:cs="Times New Roman"/>
          <w:sz w:val="20"/>
          <w:szCs w:val="20"/>
          <w:lang w:val="en-US" w:eastAsia="en-US" w:bidi="ar-SA"/>
        </w:rPr>
        <w:t>”). The Closing Units are to be offered initially to the public at the offering price set forth on the cover page of the Prospectus (as defined in Section 3.1(f) hereof).</w:t>
      </w:r>
    </w:p>
    <w:p w14:paraId="305CBF5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2525B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On the Closing Date, each Underwriter shall deliver or cause to be delivered to the Company, via wire transfer, immediately available funds equal to such Underwriter’s Closing Purchase Price and the Company shall deliver to, or as directed by, such Underwriter its respective Closing Securities and the Company shall deliver the other items required pursuant to </w:t>
      </w:r>
      <w:r w:rsidRPr="00AE3C59">
        <w:rPr>
          <w:rFonts w:ascii="Times New Roman" w:eastAsia="Times New Roman" w:hAnsi="Times New Roman" w:cs="Times New Roman"/>
          <w:sz w:val="20"/>
          <w:szCs w:val="20"/>
          <w:u w:val="single"/>
          <w:lang w:val="en-US" w:eastAsia="en-US" w:bidi="ar-SA"/>
        </w:rPr>
        <w:t>Section 2.3</w:t>
      </w:r>
      <w:r w:rsidRPr="00AE3C59">
        <w:rPr>
          <w:rFonts w:ascii="Times New Roman" w:eastAsia="Times New Roman" w:hAnsi="Times New Roman" w:cs="Times New Roman"/>
          <w:sz w:val="20"/>
          <w:szCs w:val="20"/>
          <w:lang w:val="en-US" w:eastAsia="en-US" w:bidi="ar-SA"/>
        </w:rPr>
        <w:t xml:space="preserve"> deliverable at the Closing. Upon satisfaction of the covenants and conditions set forth in </w:t>
      </w:r>
      <w:r w:rsidRPr="00AE3C59">
        <w:rPr>
          <w:rFonts w:ascii="Times New Roman" w:eastAsia="Times New Roman" w:hAnsi="Times New Roman" w:cs="Times New Roman"/>
          <w:sz w:val="20"/>
          <w:szCs w:val="20"/>
          <w:u w:val="single"/>
          <w:lang w:val="en-US" w:eastAsia="en-US" w:bidi="ar-SA"/>
        </w:rPr>
        <w:t>Sections 2.3</w:t>
      </w:r>
      <w:r w:rsidRPr="00AE3C59">
        <w:rPr>
          <w:rFonts w:ascii="Times New Roman" w:eastAsia="Times New Roman" w:hAnsi="Times New Roman" w:cs="Times New Roman"/>
          <w:sz w:val="20"/>
          <w:szCs w:val="20"/>
          <w:lang w:val="en-US" w:eastAsia="en-US" w:bidi="ar-SA"/>
        </w:rPr>
        <w:t xml:space="preserve"> and </w:t>
      </w:r>
      <w:r w:rsidRPr="00AE3C59">
        <w:rPr>
          <w:rFonts w:ascii="Times New Roman" w:eastAsia="Times New Roman" w:hAnsi="Times New Roman" w:cs="Times New Roman"/>
          <w:sz w:val="20"/>
          <w:szCs w:val="20"/>
          <w:u w:val="single"/>
          <w:lang w:val="en-US" w:eastAsia="en-US" w:bidi="ar-SA"/>
        </w:rPr>
        <w:t>2.4</w:t>
      </w:r>
      <w:r w:rsidRPr="00AE3C59">
        <w:rPr>
          <w:rFonts w:ascii="Times New Roman" w:eastAsia="Times New Roman" w:hAnsi="Times New Roman" w:cs="Times New Roman"/>
          <w:sz w:val="20"/>
          <w:szCs w:val="20"/>
          <w:lang w:val="en-US" w:eastAsia="en-US" w:bidi="ar-SA"/>
        </w:rPr>
        <w:t xml:space="preserve">, the Closing shall occur at the offices of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or such other location (including remotely by facsimile or other electronic transmission) as the Company and Representative shall mutually agree. The Public Securities are to be offered initially to the public at the offering price set forth on the cover page of the Prospectus (the “</w:t>
      </w:r>
      <w:r w:rsidRPr="00AE3C59">
        <w:rPr>
          <w:rFonts w:ascii="Times New Roman" w:eastAsia="Times New Roman" w:hAnsi="Times New Roman" w:cs="Times New Roman"/>
          <w:sz w:val="20"/>
          <w:szCs w:val="20"/>
          <w:u w:val="single"/>
          <w:lang w:val="en-US" w:eastAsia="en-US" w:bidi="ar-SA"/>
        </w:rPr>
        <w:t>Offering</w:t>
      </w:r>
      <w:r w:rsidRPr="00AE3C59">
        <w:rPr>
          <w:rFonts w:ascii="Times New Roman" w:eastAsia="Times New Roman" w:hAnsi="Times New Roman" w:cs="Times New Roman"/>
          <w:sz w:val="20"/>
          <w:szCs w:val="20"/>
          <w:lang w:val="en-US" w:eastAsia="en-US" w:bidi="ar-SA"/>
        </w:rPr>
        <w:t>”).</w:t>
      </w:r>
    </w:p>
    <w:p w14:paraId="39242D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F6443D"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2.2  </w:t>
      </w:r>
      <w:r w:rsidRPr="00AE3C59">
        <w:rPr>
          <w:rFonts w:ascii="Times New Roman" w:eastAsia="Times New Roman" w:hAnsi="Times New Roman" w:cs="Times New Roman"/>
          <w:sz w:val="20"/>
          <w:szCs w:val="20"/>
          <w:u w:val="single"/>
          <w:lang w:val="en-US" w:eastAsia="en-US" w:bidi="ar-SA"/>
        </w:rPr>
        <w:t>Over-Allotment Option</w:t>
      </w:r>
      <w:r w:rsidRPr="00AE3C59">
        <w:rPr>
          <w:rFonts w:ascii="Times New Roman" w:eastAsia="Times New Roman" w:hAnsi="Times New Roman" w:cs="Times New Roman"/>
          <w:sz w:val="20"/>
          <w:szCs w:val="20"/>
          <w:lang w:val="en-US" w:eastAsia="en-US" w:bidi="ar-SA"/>
        </w:rPr>
        <w:t>.</w:t>
      </w:r>
    </w:p>
    <w:p w14:paraId="71A4A31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411756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For the purposes of covering any over-allotments in connection with the distribution and sale of the Closing Securities, the Representative is hereby granted an option (the “</w:t>
      </w:r>
      <w:r w:rsidRPr="00AE3C59">
        <w:rPr>
          <w:rFonts w:ascii="Times New Roman" w:eastAsia="Times New Roman" w:hAnsi="Times New Roman" w:cs="Times New Roman"/>
          <w:sz w:val="20"/>
          <w:szCs w:val="20"/>
          <w:u w:val="single"/>
          <w:lang w:val="en-US" w:eastAsia="en-US" w:bidi="ar-SA"/>
        </w:rPr>
        <w:t>Over-Allotment Option</w:t>
      </w:r>
      <w:r w:rsidRPr="00AE3C59">
        <w:rPr>
          <w:rFonts w:ascii="Times New Roman" w:eastAsia="Times New Roman" w:hAnsi="Times New Roman" w:cs="Times New Roman"/>
          <w:sz w:val="20"/>
          <w:szCs w:val="20"/>
          <w:lang w:val="en-US" w:eastAsia="en-US" w:bidi="ar-SA"/>
        </w:rPr>
        <w:t xml:space="preserve">”) to purchase up to </w:t>
      </w:r>
      <w:r w:rsidRPr="00AE3C59">
        <w:rPr>
          <w:rFonts w:ascii="Times New Roman" w:eastAsia="Times New Roman" w:hAnsi="Times New Roman" w:cs="Times New Roman"/>
          <w:sz w:val="20"/>
          <w:szCs w:val="20"/>
          <w:lang w:eastAsia="en-US" w:bidi="ar-SA"/>
        </w:rPr>
        <w:t>384,000</w:t>
      </w:r>
      <w:r w:rsidRPr="00AE3C59">
        <w:rPr>
          <w:rFonts w:ascii="Times New Roman" w:eastAsia="Times New Roman" w:hAnsi="Times New Roman" w:cs="Times New Roman"/>
          <w:sz w:val="20"/>
          <w:szCs w:val="20"/>
          <w:lang w:val="en-US" w:eastAsia="en-US" w:bidi="ar-SA"/>
        </w:rPr>
        <w:t xml:space="preserve"> shares of Common Stock, representing fifteen percent (15%) of the Closing Shares sold as part of the Closing Units sold in the Offering (the “</w:t>
      </w:r>
      <w:r w:rsidRPr="00AE3C59">
        <w:rPr>
          <w:rFonts w:ascii="Times New Roman" w:eastAsia="Times New Roman" w:hAnsi="Times New Roman" w:cs="Times New Roman"/>
          <w:sz w:val="20"/>
          <w:szCs w:val="20"/>
          <w:u w:val="single"/>
          <w:lang w:val="en-US" w:eastAsia="en-US" w:bidi="ar-SA"/>
        </w:rPr>
        <w:t>Option Shares</w:t>
      </w:r>
      <w:r w:rsidRPr="00AE3C59">
        <w:rPr>
          <w:rFonts w:ascii="Times New Roman" w:eastAsia="Times New Roman" w:hAnsi="Times New Roman" w:cs="Times New Roman"/>
          <w:sz w:val="20"/>
          <w:szCs w:val="20"/>
          <w:lang w:val="en-US" w:eastAsia="en-US" w:bidi="ar-SA"/>
        </w:rPr>
        <w:t xml:space="preserve">”) and/or Pre-Funded Warrants to purchase up to </w:t>
      </w:r>
      <w:r w:rsidRPr="00AE3C59">
        <w:rPr>
          <w:rFonts w:ascii="Times New Roman" w:eastAsia="Times New Roman" w:hAnsi="Times New Roman" w:cs="Times New Roman"/>
          <w:sz w:val="20"/>
          <w:szCs w:val="20"/>
          <w:lang w:eastAsia="en-US" w:bidi="ar-SA"/>
        </w:rPr>
        <w:t>384,000</w:t>
      </w:r>
      <w:r w:rsidRPr="00AE3C59">
        <w:rPr>
          <w:rFonts w:ascii="Times New Roman" w:eastAsia="Times New Roman" w:hAnsi="Times New Roman" w:cs="Times New Roman"/>
          <w:sz w:val="20"/>
          <w:szCs w:val="20"/>
          <w:lang w:val="en-US" w:eastAsia="en-US" w:bidi="ar-SA"/>
        </w:rPr>
        <w:t xml:space="preserve"> shares of Common Stock, representing fifteen percent (15%) of the Closing Pre-Funded Warrants (“</w:t>
      </w:r>
      <w:r w:rsidRPr="00AE3C59">
        <w:rPr>
          <w:rFonts w:ascii="Times New Roman" w:eastAsia="Times New Roman" w:hAnsi="Times New Roman" w:cs="Times New Roman"/>
          <w:sz w:val="20"/>
          <w:szCs w:val="20"/>
          <w:u w:val="single"/>
          <w:lang w:val="en-US" w:eastAsia="en-US" w:bidi="ar-SA"/>
        </w:rPr>
        <w:t>Option Pre-Funded Warrants</w:t>
      </w:r>
      <w:r w:rsidRPr="00AE3C59">
        <w:rPr>
          <w:rFonts w:ascii="Times New Roman" w:eastAsia="Times New Roman" w:hAnsi="Times New Roman" w:cs="Times New Roman"/>
          <w:sz w:val="20"/>
          <w:szCs w:val="20"/>
          <w:lang w:val="en-US" w:eastAsia="en-US" w:bidi="ar-SA"/>
        </w:rPr>
        <w:t xml:space="preserve">”), and/or Warrants to purchase up to </w:t>
      </w:r>
      <w:r w:rsidRPr="00AE3C59">
        <w:rPr>
          <w:rFonts w:ascii="Times New Roman" w:eastAsia="Times New Roman" w:hAnsi="Times New Roman" w:cs="Times New Roman"/>
          <w:sz w:val="20"/>
          <w:szCs w:val="20"/>
          <w:lang w:eastAsia="en-US" w:bidi="ar-SA"/>
        </w:rPr>
        <w:t>384,000</w:t>
      </w:r>
      <w:r w:rsidRPr="00AE3C59">
        <w:rPr>
          <w:rFonts w:ascii="Times New Roman" w:eastAsia="Times New Roman" w:hAnsi="Times New Roman" w:cs="Times New Roman"/>
          <w:sz w:val="20"/>
          <w:szCs w:val="20"/>
          <w:lang w:val="en-US" w:eastAsia="en-US" w:bidi="ar-SA"/>
        </w:rPr>
        <w:t xml:space="preserve"> shares of Common Stock, representing fifteen percent (15%) of the Closing Warrants sold as part of the Closing Units sold in the Offering (the “</w:t>
      </w:r>
      <w:r w:rsidRPr="00AE3C59">
        <w:rPr>
          <w:rFonts w:ascii="Times New Roman" w:eastAsia="Times New Roman" w:hAnsi="Times New Roman" w:cs="Times New Roman"/>
          <w:sz w:val="20"/>
          <w:szCs w:val="20"/>
          <w:u w:val="single"/>
          <w:lang w:val="en-US" w:eastAsia="en-US" w:bidi="ar-SA"/>
        </w:rPr>
        <w:t>Option Warrants</w:t>
      </w:r>
      <w:r w:rsidRPr="00AE3C59">
        <w:rPr>
          <w:rFonts w:ascii="Times New Roman" w:eastAsia="Times New Roman" w:hAnsi="Times New Roman" w:cs="Times New Roman"/>
          <w:sz w:val="20"/>
          <w:szCs w:val="20"/>
          <w:lang w:val="en-US" w:eastAsia="en-US" w:bidi="ar-SA"/>
        </w:rPr>
        <w:t>” and, collectively with the Option Shares, the “</w:t>
      </w:r>
      <w:r w:rsidRPr="00AE3C59">
        <w:rPr>
          <w:rFonts w:ascii="Times New Roman" w:eastAsia="Times New Roman" w:hAnsi="Times New Roman" w:cs="Times New Roman"/>
          <w:sz w:val="20"/>
          <w:szCs w:val="20"/>
          <w:u w:val="single"/>
          <w:lang w:val="en-US" w:eastAsia="en-US" w:bidi="ar-SA"/>
        </w:rPr>
        <w:t>Option Securities</w:t>
      </w:r>
      <w:r w:rsidRPr="00AE3C59">
        <w:rPr>
          <w:rFonts w:ascii="Times New Roman" w:eastAsia="Times New Roman" w:hAnsi="Times New Roman" w:cs="Times New Roman"/>
          <w:sz w:val="20"/>
          <w:szCs w:val="20"/>
          <w:lang w:val="en-US" w:eastAsia="en-US" w:bidi="ar-SA"/>
        </w:rPr>
        <w:t>”), which may be purchased in any combination of Option Shares, Option Pre-Funded Warrants and/or Option Warrants at the Share Purchase Price, Pre-Funded Warrant Purchase Price and/or Warrant Purchase Price, respectively. The Closing Warrants and the Option Warrants, if any, shall be issued pursuant to, and shall have the rights and privileges set forth in, the Warrant Agent Agreement.</w:t>
      </w:r>
    </w:p>
    <w:p w14:paraId="3CD1FE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5F253D1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In connection with an exercise of the Over-Allotment Option, (a) the purchase price to be paid for any Option Shares is equal to the product of the Share Purchase Price multiplied by the number of Option Shares to be purchased, (b) the purchase price to be paid for any Option Pre-Funded Warrants is equal to the product of the Pre-Funded Warrant Purchase Price multiplied by the number of Option Pre-Funded Warrants to be purchased, and (c) the purchase price to be paid for any Option Warrants is equal to the product of the Warrant Purchase Price multiplied by the number of Option Warrants to be purchased (the aggregate purchase price to be paid on an Option Closing Date, the “</w:t>
      </w:r>
      <w:r w:rsidRPr="00AE3C59">
        <w:rPr>
          <w:rFonts w:ascii="Times New Roman" w:eastAsia="Times New Roman" w:hAnsi="Times New Roman" w:cs="Times New Roman"/>
          <w:sz w:val="20"/>
          <w:szCs w:val="20"/>
          <w:u w:val="single"/>
          <w:lang w:val="en-US" w:eastAsia="en-US" w:bidi="ar-SA"/>
        </w:rPr>
        <w:t>Option Closing Purchase Price</w:t>
      </w:r>
      <w:r w:rsidRPr="00AE3C59">
        <w:rPr>
          <w:rFonts w:ascii="Times New Roman" w:eastAsia="Times New Roman" w:hAnsi="Times New Roman" w:cs="Times New Roman"/>
          <w:sz w:val="20"/>
          <w:szCs w:val="20"/>
          <w:lang w:val="en-US" w:eastAsia="en-US" w:bidi="ar-SA"/>
        </w:rPr>
        <w:t>”).</w:t>
      </w:r>
    </w:p>
    <w:p w14:paraId="32A6A02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D5B0CD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The Over-Allotment Option granted pursuant to this </w:t>
      </w:r>
      <w:r w:rsidRPr="00AE3C59">
        <w:rPr>
          <w:rFonts w:ascii="Times New Roman" w:eastAsia="Times New Roman" w:hAnsi="Times New Roman" w:cs="Times New Roman"/>
          <w:sz w:val="20"/>
          <w:szCs w:val="20"/>
          <w:u w:val="single"/>
          <w:lang w:val="en-US" w:eastAsia="en-US" w:bidi="ar-SA"/>
        </w:rPr>
        <w:t>Section 2.2</w:t>
      </w:r>
      <w:r w:rsidRPr="00AE3C59">
        <w:rPr>
          <w:rFonts w:ascii="Times New Roman" w:eastAsia="Times New Roman" w:hAnsi="Times New Roman" w:cs="Times New Roman"/>
          <w:sz w:val="20"/>
          <w:szCs w:val="20"/>
          <w:lang w:val="en-US" w:eastAsia="en-US" w:bidi="ar-SA"/>
        </w:rPr>
        <w:t xml:space="preserve"> may be exercised by the Representative as to all (at any time) or any part (from time to time) of the Option Shares, Option Pre-Funded Warrants and/or Option Warrants in any combination thereof within 45 days after the Execution Date. An Underwriter will not be under any obligation to purchase any Option Securities prior to the exercise of the Over-Allotment Option by the Representative. The Over-Allotment Option granted hereby may be exercised by the giving of oral notice to the Company from the Representative, which must be confirmed in writing by overnight mail or facsimile or other electronic transmission setting forth the number of Option Shares, Option Pre-Funded Warrants and/or Option Warrants to be purchased and the date and time for delivery of and payment for the Option Securities (each, an “</w:t>
      </w:r>
      <w:r w:rsidRPr="00AE3C59">
        <w:rPr>
          <w:rFonts w:ascii="Times New Roman" w:eastAsia="Times New Roman" w:hAnsi="Times New Roman" w:cs="Times New Roman"/>
          <w:sz w:val="20"/>
          <w:szCs w:val="20"/>
          <w:u w:val="single"/>
          <w:lang w:val="en-US" w:eastAsia="en-US" w:bidi="ar-SA"/>
        </w:rPr>
        <w:t>Option Closing Date</w:t>
      </w:r>
      <w:r w:rsidRPr="00AE3C59">
        <w:rPr>
          <w:rFonts w:ascii="Times New Roman" w:eastAsia="Times New Roman" w:hAnsi="Times New Roman" w:cs="Times New Roman"/>
          <w:sz w:val="20"/>
          <w:szCs w:val="20"/>
          <w:lang w:val="en-US" w:eastAsia="en-US" w:bidi="ar-SA"/>
        </w:rPr>
        <w:t>”), which will not be later than the earlier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45 days after the Execution Date and (ii) two (2) full Business Days after the date of the notice or such other time as shall be agreed upon by the Company and the Representative, at the offices of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or at such other place (including remotely by facsimile or other electronic transmission) as shall be agreed upon by the Company and the Representative. If such delivery and payment for the Option Securities does not occur on the Closing Date, each Option Closing Date will be as set forth in the notice. Upon exercise of the Over-Allotment Option, the Company will become obligated to convey to the Underwriters, and, subject to the terms and conditions set forth herein, the Underwriters will become obligated to purchase, the number of Option Shares, Option Pre-Funded Warrants and/or Option Warrants specified in such notice. The Representative may cancel the Over-Allotment Option at any time prior to the expiration of the Over-Allotment Option by written notice to the Company.</w:t>
      </w:r>
    </w:p>
    <w:p w14:paraId="6907E2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E979E9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49ACD4D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2.3  </w:t>
      </w:r>
      <w:r w:rsidRPr="00AE3C59">
        <w:rPr>
          <w:rFonts w:ascii="Times New Roman" w:eastAsia="Times New Roman" w:hAnsi="Times New Roman" w:cs="Times New Roman"/>
          <w:sz w:val="20"/>
          <w:szCs w:val="20"/>
          <w:u w:val="single"/>
          <w:lang w:val="en-US" w:eastAsia="en-US" w:bidi="ar-SA"/>
        </w:rPr>
        <w:t>Deliveries</w:t>
      </w:r>
      <w:r w:rsidRPr="00AE3C59">
        <w:rPr>
          <w:rFonts w:ascii="Times New Roman" w:eastAsia="Times New Roman" w:hAnsi="Times New Roman" w:cs="Times New Roman"/>
          <w:sz w:val="20"/>
          <w:szCs w:val="20"/>
          <w:lang w:val="en-US" w:eastAsia="en-US" w:bidi="ar-SA"/>
        </w:rPr>
        <w:t>. The Company shall deliver or cause to be delivered to each Underwriter (if applicable) the following:</w:t>
      </w:r>
    </w:p>
    <w:p w14:paraId="066CF91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D9BE249"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At the Closing Date,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Closing Shares included in the Closing Units and, as to each Option Closing Date, if any, the applicable Option Shares, which shares shall be delivered via The Depository Trust Company Deposit or Withdrawal at Custodian system for the accounts of the several Underwriters and (ii) the Closing Pre-Funded Warrants included in the Closing Units and, as to each Option Closing Date, if any, the applicable Option Pre-Funded Warrants, which Pre-Funded Warrants shall be delivered by the Company to the several Underwriters;</w:t>
      </w:r>
    </w:p>
    <w:p w14:paraId="0044CD9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A8F966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At the Closing Date, the Closing Warrants included in the Closing Units and, as to each Option Closing Date, if any, the applicable Option Warrants, which Warrants shall be delivered via The Depository Trust Company Deposit or Withdrawal at Custodian system for the accounts of the several Underwriters;</w:t>
      </w:r>
    </w:p>
    <w:p w14:paraId="218A065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722622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  At the Closing Date, the executed Representative’s Warrant Agreement(s) shall be issued in the name or names and in such authorized denominations as the Representative may request;</w:t>
      </w:r>
    </w:p>
    <w:p w14:paraId="0D1BE8C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BEE5A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 At the Closing Date and at each Option Closing Date, if any, the duly executed and delivered legal opinion and negative assurance letter of Company Counsel addressed to the Underwriters, dated as of the Closing Date and each Option Closing Date, if any, in form and substance satisfactory to counsel to the Underwriters;</w:t>
      </w:r>
    </w:p>
    <w:p w14:paraId="707C0D3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2137B2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  At the Closing Date and at each Option Closing Date, if any, the duly executed and delivered opinion and negative assurance letter of Special Intellectual Property Counsel for the Company, with respect to certain intellectual property matters, addressed to the Underwriters, dated as of the Closing Date and each Option Closing Date, if any, in form and substance satisfactory to counsel to the Underwriters;</w:t>
      </w:r>
    </w:p>
    <w:p w14:paraId="206964D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4F1AE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 Contemporaneously herewith, a cold comfort letter, addressed to the Underwriters and in form and substance satisfactory in all respects to the Representative from the Company Auditor dated, respectively, as of the date of this Agreement and a bring-down letter dated as of the Closing Date and each Option Closing Date, if any;</w:t>
      </w:r>
    </w:p>
    <w:p w14:paraId="23C7AE4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E752FD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xml:space="preserve">(g)  On the Closing Date and on each Option Closing Date, if any, the duly executed and delivered Officers’ Certificate, substantially in the form required by </w:t>
      </w:r>
      <w:r w:rsidRPr="00AE3C59">
        <w:rPr>
          <w:rFonts w:ascii="Times New Roman" w:eastAsia="Times New Roman" w:hAnsi="Times New Roman" w:cs="Times New Roman"/>
          <w:sz w:val="20"/>
          <w:szCs w:val="20"/>
          <w:u w:val="single"/>
          <w:lang w:val="en-US" w:eastAsia="en-US" w:bidi="ar-SA"/>
        </w:rPr>
        <w:t>Exhibit B</w:t>
      </w:r>
      <w:r w:rsidRPr="00AE3C59">
        <w:rPr>
          <w:rFonts w:ascii="Times New Roman" w:eastAsia="Times New Roman" w:hAnsi="Times New Roman" w:cs="Times New Roman"/>
          <w:sz w:val="20"/>
          <w:szCs w:val="20"/>
          <w:lang w:val="en-US" w:eastAsia="en-US" w:bidi="ar-SA"/>
        </w:rPr>
        <w:t xml:space="preserve"> attached hereto;</w:t>
      </w:r>
    </w:p>
    <w:p w14:paraId="30B8E30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E99B6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(h)  On the Closing Date and on each Option Closing Date, if any, the duly executed and delivered Secretary’s Certificate, substantially in the form required by </w:t>
      </w:r>
      <w:r w:rsidRPr="00AE3C59">
        <w:rPr>
          <w:rFonts w:ascii="Times New Roman" w:eastAsia="Times New Roman" w:hAnsi="Times New Roman" w:cs="Times New Roman"/>
          <w:sz w:val="20"/>
          <w:szCs w:val="20"/>
          <w:u w:val="single"/>
          <w:lang w:val="en-US" w:eastAsia="en-US" w:bidi="ar-SA"/>
        </w:rPr>
        <w:t>Exhibit C</w:t>
      </w:r>
      <w:r w:rsidRPr="00AE3C59">
        <w:rPr>
          <w:rFonts w:ascii="Times New Roman" w:eastAsia="Times New Roman" w:hAnsi="Times New Roman" w:cs="Times New Roman"/>
          <w:sz w:val="20"/>
          <w:szCs w:val="20"/>
          <w:lang w:val="en-US" w:eastAsia="en-US" w:bidi="ar-SA"/>
        </w:rPr>
        <w:t xml:space="preserve"> attached hereto;</w:t>
      </w:r>
    </w:p>
    <w:p w14:paraId="7FFB391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3CA51E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On the Closing Date and on each Option Closing Date, if any, a duly executed and delivered Chief Financial Officer’s Certificate, substantially in the form required by </w:t>
      </w:r>
      <w:r w:rsidRPr="00AE3C59">
        <w:rPr>
          <w:rFonts w:ascii="Times New Roman" w:eastAsia="Times New Roman" w:hAnsi="Times New Roman" w:cs="Times New Roman"/>
          <w:sz w:val="20"/>
          <w:szCs w:val="20"/>
          <w:u w:val="single"/>
          <w:lang w:val="en-US" w:eastAsia="en-US" w:bidi="ar-SA"/>
        </w:rPr>
        <w:t>Exhibit D</w:t>
      </w:r>
      <w:r w:rsidRPr="00AE3C59">
        <w:rPr>
          <w:rFonts w:ascii="Times New Roman" w:eastAsia="Times New Roman" w:hAnsi="Times New Roman" w:cs="Times New Roman"/>
          <w:sz w:val="20"/>
          <w:szCs w:val="20"/>
          <w:lang w:val="en-US" w:eastAsia="en-US" w:bidi="ar-SA"/>
        </w:rPr>
        <w:t xml:space="preserve"> attached hereto, addressed to the Underwriters; and</w:t>
      </w:r>
    </w:p>
    <w:p w14:paraId="63B4818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EDAE36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(j)  Such other customary certificates or documents as the Underwriters and Underwriters’ Counsel may have reasonably requested.</w:t>
      </w:r>
    </w:p>
    <w:p w14:paraId="4E51BBF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A476ED"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2.4  </w:t>
      </w:r>
      <w:r w:rsidRPr="00AE3C59">
        <w:rPr>
          <w:rFonts w:ascii="Times New Roman" w:eastAsia="Times New Roman" w:hAnsi="Times New Roman" w:cs="Times New Roman"/>
          <w:sz w:val="20"/>
          <w:szCs w:val="20"/>
          <w:u w:val="single"/>
          <w:lang w:val="en-US" w:eastAsia="en-US" w:bidi="ar-SA"/>
        </w:rPr>
        <w:t>Closing Conditions</w:t>
      </w:r>
      <w:r w:rsidRPr="00AE3C59">
        <w:rPr>
          <w:rFonts w:ascii="Times New Roman" w:eastAsia="Times New Roman" w:hAnsi="Times New Roman" w:cs="Times New Roman"/>
          <w:sz w:val="20"/>
          <w:szCs w:val="20"/>
          <w:lang w:val="en-US" w:eastAsia="en-US" w:bidi="ar-SA"/>
        </w:rPr>
        <w:t>. The respective obligations of each Underwriter hereunder in connection with the Closing and each Option Closing Date are subject to the following conditions being met:</w:t>
      </w:r>
    </w:p>
    <w:p w14:paraId="3073428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0CC2C7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the accuracy in all material respects when made and on the date in question (other than representations and warranties of the Company already qualified by materiality, which shall be true and correct in all respects) of the representations and warranties of the Company contained herein (unless as of a specific date therein);</w:t>
      </w:r>
    </w:p>
    <w:p w14:paraId="43D332B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84C792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all obligations, covenants and agreements of the Company required to be performed at or prior to the date in question shall have been performed or such performance shall have been waived by the Representative;</w:t>
      </w:r>
    </w:p>
    <w:p w14:paraId="48CFD61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855B1F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the delivery by the Company of the items set forth in </w:t>
      </w:r>
      <w:r w:rsidRPr="00AE3C59">
        <w:rPr>
          <w:rFonts w:ascii="Times New Roman" w:eastAsia="Times New Roman" w:hAnsi="Times New Roman" w:cs="Times New Roman"/>
          <w:sz w:val="20"/>
          <w:szCs w:val="20"/>
          <w:u w:val="single"/>
          <w:lang w:val="en-US" w:eastAsia="en-US" w:bidi="ar-SA"/>
        </w:rPr>
        <w:t>Section 2.3</w:t>
      </w:r>
      <w:r w:rsidRPr="00AE3C59">
        <w:rPr>
          <w:rFonts w:ascii="Times New Roman" w:eastAsia="Times New Roman" w:hAnsi="Times New Roman" w:cs="Times New Roman"/>
          <w:sz w:val="20"/>
          <w:szCs w:val="20"/>
          <w:lang w:val="en-US" w:eastAsia="en-US" w:bidi="ar-SA"/>
        </w:rPr>
        <w:t xml:space="preserve"> of this Agreement;</w:t>
      </w:r>
    </w:p>
    <w:p w14:paraId="3A98F04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846995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  the Registration Statement shall be effective on the date of this Agreement and at each of the Closing Date and each Option Closing Date, if any, no stop order suspending the effectiveness of the Registration Statement shall have been issued and no proceedings for that purpose shall have been instituted or shall be pending or contemplated by the Commission and any request on the part of the Commission for additional information shall have been complied with to the reasonable satisfaction of the Representative;</w:t>
      </w:r>
    </w:p>
    <w:p w14:paraId="6774F49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CD762B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  by the Execution Date, if required by FINRA, the Underwriters shall have received a notice of no objections from FINRA as to the amount of compensation allowable or payable to and the terms and arrangements for acting as the Underwriters as described in the Registration Statement;</w:t>
      </w:r>
    </w:p>
    <w:p w14:paraId="3DF248D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2E040F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  the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shares of Common Stock, including the Closing Shares, the Option Shares, the Warrant Shares, the Pre-Funded Warrant Shares, and the Representative’s Warrant Shares, and (ii) Warrants have been approved for listing on the Nasdaq Capital Market;</w:t>
      </w:r>
    </w:p>
    <w:p w14:paraId="4028D85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00333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(g) the Company has filed with the Commission a Form 8-A (Accession No. 0001437749-20-020182) providing for the registration pursuant to Section 12(b) under the Exchange Act of the shares of Common Stock and the Warrants; and such Form 8-A has become effective under the Exchange Act. The Company has taken no action designed to, or likely to have the effect of, terminating the registration of the shares of Common Stock or the Warrants under the Exchange Act, nor has the Company received any notification that the Commission is contemplating terminating such registration; and</w:t>
      </w:r>
    </w:p>
    <w:p w14:paraId="74B95B8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05F9642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(h)  prior to and on each of the Closing Date and each Option Closing Date, if any: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there shall have been no material adverse change or development involving a prospective material adverse change in the condition or prospects or the business activities, financial or otherwise, of the Company from the latest dates as of which such condition is set forth in the Registration Statement, the General Disclosure Package and Prospectus; (ii) no action suit or proceeding, at law or in equity, shall have been pending or threatened against the Company or any Affiliate of the Company before or by any court or federal or state commission, board or other administrative agency wherein an unfavorable decision, ruling or finding may materially adversely affect the business, operations, prospects or financial condition or income of the Company, except as set forth in the Registration Statement, the General Disclosure Package and Prospectus; (iii) no stop order applicable to the Company shall have been issued under the Securities Act and no proceedings therefor shall have been initiated or threatened by the Commission; (iv) since the date of the latest balance sheet included in the Registration Statement, the General Disclosure Package or the Prospectus, the Company has not incurred any material liabilities or obligations, direct or contingent, nor has it </w:t>
      </w:r>
      <w:r w:rsidRPr="00AE3C59">
        <w:rPr>
          <w:rFonts w:ascii="Times New Roman" w:eastAsia="Times New Roman" w:hAnsi="Times New Roman" w:cs="Times New Roman"/>
          <w:sz w:val="20"/>
          <w:szCs w:val="20"/>
          <w:lang w:val="en-US" w:eastAsia="en-US" w:bidi="ar-SA"/>
        </w:rPr>
        <w:lastRenderedPageBreak/>
        <w:t>entered into any material transactions not in the ordinary course of business, other than pursuant to this Agreement and the transactions referred to herein or those liabilities, obligations and transactions which are disclosed in the Registration Statement, the General Disclosure Package and the Prospectus; (v) the Company has not paid or declared any dividends or other distributions of any kind on any class of its capital stock; (vi) the Company has not altered its method of accounting; and (vii) the Registration Statement, the General Disclosure Package and the Prospectus and any amendments or supplements thereto shall contain all material statements which are required to be stated therein in accordance with the Securities Act and the rules and regulations thereunder and shall conform in all material respects to the requirements of the Securities Act and the rules and regulations thereunder, and neither the Registration Statement, the General Disclosure Package nor the Prospectus nor any amendment or supplement thereto shall contain any untrue statement of a material fact or omit to state any material fact required to be stated therein or necessary to make the statements therein, in light of the circumstances under which they were made, not misleading.</w:t>
      </w:r>
    </w:p>
    <w:p w14:paraId="4B84B7E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D8F596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If any of the conditions specified in this </w:t>
      </w:r>
      <w:r w:rsidRPr="00AE3C59">
        <w:rPr>
          <w:rFonts w:ascii="Times New Roman" w:eastAsia="Times New Roman" w:hAnsi="Times New Roman" w:cs="Times New Roman"/>
          <w:sz w:val="20"/>
          <w:szCs w:val="20"/>
          <w:u w:val="single"/>
          <w:lang w:val="en-US" w:eastAsia="en-US" w:bidi="ar-SA"/>
        </w:rPr>
        <w:t>Section 2.4</w:t>
      </w:r>
      <w:r w:rsidRPr="00AE3C59">
        <w:rPr>
          <w:rFonts w:ascii="Times New Roman" w:eastAsia="Times New Roman" w:hAnsi="Times New Roman" w:cs="Times New Roman"/>
          <w:sz w:val="20"/>
          <w:szCs w:val="20"/>
          <w:lang w:val="en-US" w:eastAsia="en-US" w:bidi="ar-SA"/>
        </w:rPr>
        <w:t xml:space="preserve"> shall not have been fulfilled when and as required by this Agreement, or if any of the certificates, opinions, written statements or letters furnished to the Representative or to Representative’s counsel pursuant to this </w:t>
      </w:r>
      <w:r w:rsidRPr="00AE3C59">
        <w:rPr>
          <w:rFonts w:ascii="Times New Roman" w:eastAsia="Times New Roman" w:hAnsi="Times New Roman" w:cs="Times New Roman"/>
          <w:sz w:val="20"/>
          <w:szCs w:val="20"/>
          <w:u w:val="single"/>
          <w:lang w:val="en-US" w:eastAsia="en-US" w:bidi="ar-SA"/>
        </w:rPr>
        <w:t>Section 2.4</w:t>
      </w:r>
      <w:r w:rsidRPr="00AE3C59">
        <w:rPr>
          <w:rFonts w:ascii="Times New Roman" w:eastAsia="Times New Roman" w:hAnsi="Times New Roman" w:cs="Times New Roman"/>
          <w:sz w:val="20"/>
          <w:szCs w:val="20"/>
          <w:lang w:val="en-US" w:eastAsia="en-US" w:bidi="ar-SA"/>
        </w:rPr>
        <w:t xml:space="preserve"> shall not be reasonably satisfactory in form and substance to the Representative and to Representative’s counsel, all obligations of the Underwriters hereunder may be cancelled by the Representative at, or at any time prior to, the consummation of the Closing. Notice of such cancellation shall be given to the Company in writing or orally. Any such oral notice shall be confirmed promptly thereafter in writing.</w:t>
      </w:r>
    </w:p>
    <w:p w14:paraId="3F64B6E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5C8AB0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2.5       </w:t>
      </w:r>
      <w:r w:rsidRPr="00AE3C59">
        <w:rPr>
          <w:rFonts w:ascii="Times New Roman" w:eastAsia="Times New Roman" w:hAnsi="Times New Roman" w:cs="Times New Roman"/>
          <w:sz w:val="20"/>
          <w:szCs w:val="20"/>
          <w:u w:val="single"/>
          <w:lang w:val="en-US" w:eastAsia="en-US" w:bidi="ar-SA"/>
        </w:rPr>
        <w:t>Representative’s Warrants</w:t>
      </w:r>
      <w:r w:rsidRPr="00AE3C59">
        <w:rPr>
          <w:rFonts w:ascii="Times New Roman" w:eastAsia="Times New Roman" w:hAnsi="Times New Roman" w:cs="Times New Roman"/>
          <w:sz w:val="20"/>
          <w:szCs w:val="20"/>
          <w:lang w:val="en-US" w:eastAsia="en-US" w:bidi="ar-SA"/>
        </w:rPr>
        <w:t>.</w:t>
      </w:r>
    </w:p>
    <w:p w14:paraId="4E553A5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6AB70BF" w14:textId="77777777" w:rsidR="00AE3C59" w:rsidRPr="00AE3C59" w:rsidRDefault="00AE3C59" w:rsidP="00AE3C59">
      <w:pPr>
        <w:spacing w:after="0" w:line="240" w:lineRule="auto"/>
        <w:ind w:firstLine="12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Warrant Amount; Term</w:t>
      </w:r>
      <w:r w:rsidRPr="00AE3C59">
        <w:rPr>
          <w:rFonts w:ascii="Times New Roman" w:eastAsia="Times New Roman" w:hAnsi="Times New Roman" w:cs="Times New Roman"/>
          <w:sz w:val="20"/>
          <w:szCs w:val="20"/>
          <w:lang w:val="en-US" w:eastAsia="en-US" w:bidi="ar-SA"/>
        </w:rPr>
        <w:t>. The Company hereby agrees to issue and sell to the Representative (and/or its designees) on the Closing Date for an aggregate purchase price of $100.00, warrants (the “</w:t>
      </w:r>
      <w:r w:rsidRPr="00AE3C59">
        <w:rPr>
          <w:rFonts w:ascii="Times New Roman" w:eastAsia="Times New Roman" w:hAnsi="Times New Roman" w:cs="Times New Roman"/>
          <w:sz w:val="20"/>
          <w:szCs w:val="20"/>
          <w:u w:val="single"/>
          <w:lang w:val="en-US" w:eastAsia="en-US" w:bidi="ar-SA"/>
        </w:rPr>
        <w:t>Representative’s Warrants</w:t>
      </w:r>
      <w:r w:rsidRPr="00AE3C59">
        <w:rPr>
          <w:rFonts w:ascii="Times New Roman" w:eastAsia="Times New Roman" w:hAnsi="Times New Roman" w:cs="Times New Roman"/>
          <w:sz w:val="20"/>
          <w:szCs w:val="20"/>
          <w:lang w:val="en-US" w:eastAsia="en-US" w:bidi="ar-SA"/>
        </w:rPr>
        <w:t xml:space="preserve">”) for the purchase of an aggregate of </w:t>
      </w:r>
      <w:r w:rsidRPr="00AE3C59">
        <w:rPr>
          <w:rFonts w:ascii="Times New Roman" w:eastAsia="Times New Roman" w:hAnsi="Times New Roman" w:cs="Times New Roman"/>
          <w:sz w:val="20"/>
          <w:szCs w:val="20"/>
          <w:lang w:eastAsia="en-US" w:bidi="ar-SA"/>
        </w:rPr>
        <w:t>128,000</w:t>
      </w:r>
      <w:r w:rsidRPr="00AE3C59">
        <w:rPr>
          <w:rFonts w:ascii="Times New Roman" w:eastAsia="Times New Roman" w:hAnsi="Times New Roman" w:cs="Times New Roman"/>
          <w:sz w:val="20"/>
          <w:szCs w:val="20"/>
          <w:lang w:val="en-US" w:eastAsia="en-US" w:bidi="ar-SA"/>
        </w:rPr>
        <w:t xml:space="preserve"> shares of Common Stock (which is equal to an aggregate of </w:t>
      </w:r>
      <w:r w:rsidRPr="00AE3C59">
        <w:rPr>
          <w:rFonts w:ascii="Times New Roman" w:eastAsia="Times New Roman" w:hAnsi="Times New Roman" w:cs="Times New Roman"/>
          <w:sz w:val="20"/>
          <w:szCs w:val="20"/>
          <w:lang w:eastAsia="en-US" w:bidi="ar-SA"/>
        </w:rPr>
        <w:t>5</w:t>
      </w:r>
      <w:r w:rsidRPr="00AE3C59">
        <w:rPr>
          <w:rFonts w:ascii="Times New Roman" w:eastAsia="Times New Roman" w:hAnsi="Times New Roman" w:cs="Times New Roman"/>
          <w:sz w:val="20"/>
          <w:szCs w:val="20"/>
          <w:lang w:val="en-US" w:eastAsia="en-US" w:bidi="ar-SA"/>
        </w:rPr>
        <w:t xml:space="preserve">.0% of the Closing Shares and Closing Pre-Funded Warrants included in the Closing Units sold in the Offering, excluding Closing Warrants (and shares issuable upon exercise thereof) and any Option Shares and Option Warrants (and shares issuable upon exercise thereof) sold in the Over-Allotment Option, if any). The Representative’s Warrants shall be issuable pursuant to the Representative’s Warrant Agreement in the form attached hereto as </w:t>
      </w:r>
      <w:r w:rsidRPr="00AE3C59">
        <w:rPr>
          <w:rFonts w:ascii="Times New Roman" w:eastAsia="Times New Roman" w:hAnsi="Times New Roman" w:cs="Times New Roman"/>
          <w:sz w:val="20"/>
          <w:szCs w:val="20"/>
          <w:u w:val="single"/>
          <w:lang w:val="en-US" w:eastAsia="en-US" w:bidi="ar-SA"/>
        </w:rPr>
        <w:t>Exhibit F</w:t>
      </w:r>
      <w:r w:rsidRPr="00AE3C59">
        <w:rPr>
          <w:rFonts w:ascii="Times New Roman" w:eastAsia="Times New Roman" w:hAnsi="Times New Roman" w:cs="Times New Roman"/>
          <w:sz w:val="20"/>
          <w:szCs w:val="20"/>
          <w:lang w:val="en-US" w:eastAsia="en-US" w:bidi="ar-SA"/>
        </w:rPr>
        <w:t xml:space="preserve"> (the “</w:t>
      </w:r>
      <w:r w:rsidRPr="00AE3C59">
        <w:rPr>
          <w:rFonts w:ascii="Times New Roman" w:eastAsia="Times New Roman" w:hAnsi="Times New Roman" w:cs="Times New Roman"/>
          <w:sz w:val="20"/>
          <w:szCs w:val="20"/>
          <w:u w:val="single"/>
          <w:lang w:val="en-US" w:eastAsia="en-US" w:bidi="ar-SA"/>
        </w:rPr>
        <w:t>Representative’s Warrant Agreement</w:t>
      </w:r>
      <w:r w:rsidRPr="00AE3C59">
        <w:rPr>
          <w:rFonts w:ascii="Times New Roman" w:eastAsia="Times New Roman" w:hAnsi="Times New Roman" w:cs="Times New Roman"/>
          <w:sz w:val="20"/>
          <w:szCs w:val="20"/>
          <w:lang w:val="en-US" w:eastAsia="en-US" w:bidi="ar-SA"/>
        </w:rPr>
        <w:t>”) and exercisable, in whole or in part, commencing on a date which is one hundred eighty (180) days after the Effective Date of the Registration Statement (the “</w:t>
      </w:r>
      <w:r w:rsidRPr="00AE3C59">
        <w:rPr>
          <w:rFonts w:ascii="Times New Roman" w:eastAsia="Times New Roman" w:hAnsi="Times New Roman" w:cs="Times New Roman"/>
          <w:sz w:val="20"/>
          <w:szCs w:val="20"/>
          <w:u w:val="single"/>
          <w:lang w:val="en-US" w:eastAsia="en-US" w:bidi="ar-SA"/>
        </w:rPr>
        <w:t>Initial Exercise Date</w:t>
      </w:r>
      <w:r w:rsidRPr="00AE3C59">
        <w:rPr>
          <w:rFonts w:ascii="Times New Roman" w:eastAsia="Times New Roman" w:hAnsi="Times New Roman" w:cs="Times New Roman"/>
          <w:sz w:val="20"/>
          <w:szCs w:val="20"/>
          <w:lang w:val="en-US" w:eastAsia="en-US" w:bidi="ar-SA"/>
        </w:rPr>
        <w:t>”) and expiring on the three-year anniversary of the Initial Exercise Date at an initial exercise price per share of Common Stock of $</w:t>
      </w:r>
      <w:r w:rsidRPr="00AE3C59">
        <w:rPr>
          <w:rFonts w:ascii="Times New Roman" w:eastAsia="Times New Roman" w:hAnsi="Times New Roman" w:cs="Times New Roman"/>
          <w:sz w:val="20"/>
          <w:szCs w:val="20"/>
          <w:lang w:eastAsia="en-US" w:bidi="ar-SA"/>
        </w:rPr>
        <w:t>5.50</w:t>
      </w:r>
      <w:r w:rsidRPr="00AE3C59">
        <w:rPr>
          <w:rFonts w:ascii="Times New Roman" w:eastAsia="Times New Roman" w:hAnsi="Times New Roman" w:cs="Times New Roman"/>
          <w:sz w:val="20"/>
          <w:szCs w:val="20"/>
          <w:lang w:val="en-US" w:eastAsia="en-US" w:bidi="ar-SA"/>
        </w:rPr>
        <w:t>, which is equal to 110% of the public offering price of each Unit. The Representative’s Warrant Agreement and the shares of Common Stock issuable upon exercise of the Representative’s Warrant Agreement (the “</w:t>
      </w:r>
      <w:r w:rsidRPr="00AE3C59">
        <w:rPr>
          <w:rFonts w:ascii="Times New Roman" w:eastAsia="Times New Roman" w:hAnsi="Times New Roman" w:cs="Times New Roman"/>
          <w:sz w:val="20"/>
          <w:szCs w:val="20"/>
          <w:u w:val="single"/>
          <w:lang w:val="en-US" w:eastAsia="en-US" w:bidi="ar-SA"/>
        </w:rPr>
        <w:t>Representative’s Warrant Shares</w:t>
      </w:r>
      <w:r w:rsidRPr="00AE3C59">
        <w:rPr>
          <w:rFonts w:ascii="Times New Roman" w:eastAsia="Times New Roman" w:hAnsi="Times New Roman" w:cs="Times New Roman"/>
          <w:sz w:val="20"/>
          <w:szCs w:val="20"/>
          <w:lang w:val="en-US" w:eastAsia="en-US" w:bidi="ar-SA"/>
        </w:rPr>
        <w:t>”) are sometimes hereinafter referred to together as the “</w:t>
      </w:r>
      <w:r w:rsidRPr="00AE3C59">
        <w:rPr>
          <w:rFonts w:ascii="Times New Roman" w:eastAsia="Times New Roman" w:hAnsi="Times New Roman" w:cs="Times New Roman"/>
          <w:sz w:val="20"/>
          <w:szCs w:val="20"/>
          <w:u w:val="single"/>
          <w:lang w:val="en-US" w:eastAsia="en-US" w:bidi="ar-SA"/>
        </w:rPr>
        <w:t>Representative’s Securities</w:t>
      </w:r>
      <w:r w:rsidRPr="00AE3C59">
        <w:rPr>
          <w:rFonts w:ascii="Times New Roman" w:eastAsia="Times New Roman" w:hAnsi="Times New Roman" w:cs="Times New Roman"/>
          <w:sz w:val="20"/>
          <w:szCs w:val="20"/>
          <w:lang w:val="en-US" w:eastAsia="en-US" w:bidi="ar-SA"/>
        </w:rPr>
        <w:t>.” The Representative understands and agrees that there are significant restrictions pursuant to FINRA Rule 5110 against transferring the Representative’s Warrant and the Representative’s Warrant Shares during the one hundred eighty (180) days after the Effective Date and by its acceptance thereof each shall agree that it will not sell, transfer, assign, pledge or hypothecate the Representative’s Warrant Agreement, or any portion thereof, the Representative’s Warrant Shares, or any portion thereof, or be the subject of any hedging, short sale, derivative, put or call transaction that would result in the effective economic disposition of such securities for a period of one hundred eighty (180) days following the Effective Date to anyone other than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an Underwriter or a selected dealer in connection with the Offering, or (ii) a bona fide officer or partner of the Representative or of any such Underwriter or selected dealer; and only if any such transferee agrees to the foregoing lock-up restrictions.</w:t>
      </w:r>
    </w:p>
    <w:p w14:paraId="6A112D1F"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FCE105" w14:textId="77777777" w:rsidR="00AE3C59" w:rsidRPr="00AE3C59" w:rsidRDefault="00AE3C59" w:rsidP="00AE3C59">
      <w:pPr>
        <w:spacing w:after="0" w:line="240" w:lineRule="auto"/>
        <w:ind w:firstLine="12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(ii) </w:t>
      </w:r>
      <w:r w:rsidRPr="00AE3C59">
        <w:rPr>
          <w:rFonts w:ascii="Times New Roman" w:eastAsia="Times New Roman" w:hAnsi="Times New Roman" w:cs="Times New Roman"/>
          <w:sz w:val="20"/>
          <w:szCs w:val="20"/>
          <w:u w:val="single"/>
          <w:lang w:val="en-US" w:eastAsia="en-US" w:bidi="ar-SA"/>
        </w:rPr>
        <w:t>Delivery</w:t>
      </w:r>
      <w:r w:rsidRPr="00AE3C59">
        <w:rPr>
          <w:rFonts w:ascii="Times New Roman" w:eastAsia="Times New Roman" w:hAnsi="Times New Roman" w:cs="Times New Roman"/>
          <w:sz w:val="20"/>
          <w:szCs w:val="20"/>
          <w:lang w:val="en-US" w:eastAsia="en-US" w:bidi="ar-SA"/>
        </w:rPr>
        <w:t>. Delivery of the Representative’s Warrant Agreement shall be made on the Closing Date and shall be issued in the name or names and in such authorized denominations as the Representative may request.</w:t>
      </w:r>
    </w:p>
    <w:p w14:paraId="13513FB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06A44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III. </w:t>
      </w:r>
    </w:p>
    <w:p w14:paraId="2CD90C3D"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REPRESENTATIONS AND WARRANTIES</w:t>
      </w:r>
    </w:p>
    <w:p w14:paraId="1DB74ED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5836F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3.1  </w:t>
      </w:r>
      <w:r w:rsidRPr="00AE3C59">
        <w:rPr>
          <w:rFonts w:ascii="Times New Roman" w:eastAsia="Times New Roman" w:hAnsi="Times New Roman" w:cs="Times New Roman"/>
          <w:sz w:val="20"/>
          <w:szCs w:val="20"/>
          <w:u w:val="single"/>
          <w:lang w:val="en-US" w:eastAsia="en-US" w:bidi="ar-SA"/>
        </w:rPr>
        <w:t>Representations and Warranties of the Company</w:t>
      </w:r>
      <w:r w:rsidRPr="00AE3C59">
        <w:rPr>
          <w:rFonts w:ascii="Times New Roman" w:eastAsia="Times New Roman" w:hAnsi="Times New Roman" w:cs="Times New Roman"/>
          <w:sz w:val="20"/>
          <w:szCs w:val="20"/>
          <w:lang w:val="en-US" w:eastAsia="en-US" w:bidi="ar-SA"/>
        </w:rPr>
        <w:t>. Except as set forth in the Disclosure Schedules, which Disclosure Schedules shall be deemed a part hereof and shall qualify any representation or otherwise made herein to the extent of the disclosure contained in the Disclosure Schedules, the Company represents and warrants to the Underwriters as of the Execution Date, as of the Closing Date and as of each Option Closing Date, if any, as follows:</w:t>
      </w:r>
    </w:p>
    <w:p w14:paraId="7F40952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BA74F6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  </w:t>
      </w:r>
      <w:r w:rsidRPr="00AE3C59">
        <w:rPr>
          <w:rFonts w:ascii="Times New Roman" w:eastAsia="Times New Roman" w:hAnsi="Times New Roman" w:cs="Times New Roman"/>
          <w:sz w:val="20"/>
          <w:szCs w:val="20"/>
          <w:u w:val="single"/>
          <w:lang w:val="en-US" w:eastAsia="en-US" w:bidi="ar-SA"/>
        </w:rPr>
        <w:t>Subsidiaries</w:t>
      </w:r>
      <w:r w:rsidRPr="00AE3C59">
        <w:rPr>
          <w:rFonts w:ascii="Times New Roman" w:eastAsia="Times New Roman" w:hAnsi="Times New Roman" w:cs="Times New Roman"/>
          <w:sz w:val="20"/>
          <w:szCs w:val="20"/>
          <w:lang w:val="en-US" w:eastAsia="en-US" w:bidi="ar-SA"/>
        </w:rPr>
        <w:t xml:space="preserve">. All of the Subsidiaries of the Company are set forth on </w:t>
      </w:r>
      <w:r w:rsidRPr="00AE3C59">
        <w:rPr>
          <w:rFonts w:ascii="Times New Roman" w:eastAsia="Times New Roman" w:hAnsi="Times New Roman" w:cs="Times New Roman"/>
          <w:sz w:val="20"/>
          <w:szCs w:val="20"/>
          <w:u w:val="single"/>
          <w:lang w:val="en-US" w:eastAsia="en-US" w:bidi="ar-SA"/>
        </w:rPr>
        <w:t>Schedule 3.1(a)</w:t>
      </w:r>
      <w:r w:rsidRPr="00AE3C59">
        <w:rPr>
          <w:rFonts w:ascii="Times New Roman" w:eastAsia="Times New Roman" w:hAnsi="Times New Roman" w:cs="Times New Roman"/>
          <w:sz w:val="20"/>
          <w:szCs w:val="20"/>
          <w:lang w:val="en-US" w:eastAsia="en-US" w:bidi="ar-SA"/>
        </w:rPr>
        <w:t xml:space="preserve">. Except as indicated on </w:t>
      </w:r>
      <w:r w:rsidRPr="00AE3C59">
        <w:rPr>
          <w:rFonts w:ascii="Times New Roman" w:eastAsia="Times New Roman" w:hAnsi="Times New Roman" w:cs="Times New Roman"/>
          <w:sz w:val="20"/>
          <w:szCs w:val="20"/>
          <w:u w:val="single"/>
          <w:lang w:val="en-US" w:eastAsia="en-US" w:bidi="ar-SA"/>
        </w:rPr>
        <w:t>Schedule 3.1(a),</w:t>
      </w:r>
      <w:r w:rsidRPr="00AE3C59">
        <w:rPr>
          <w:rFonts w:ascii="Times New Roman" w:eastAsia="Times New Roman" w:hAnsi="Times New Roman" w:cs="Times New Roman"/>
          <w:sz w:val="20"/>
          <w:szCs w:val="20"/>
          <w:lang w:val="en-US" w:eastAsia="en-US" w:bidi="ar-SA"/>
        </w:rPr>
        <w:t xml:space="preserve"> the Company owns, directly or indirectly, all of the capital stock or other equity interests of each Subsidiary free and clear of any Liens, and all of the issued and outstanding shares of capital stock of each Subsidiary </w:t>
      </w:r>
      <w:r w:rsidRPr="00AE3C59">
        <w:rPr>
          <w:rFonts w:ascii="Times New Roman" w:eastAsia="Times New Roman" w:hAnsi="Times New Roman" w:cs="Times New Roman"/>
          <w:sz w:val="20"/>
          <w:szCs w:val="20"/>
          <w:lang w:val="en-US" w:eastAsia="en-US" w:bidi="ar-SA"/>
        </w:rPr>
        <w:lastRenderedPageBreak/>
        <w:t>are validly issued and are fully paid, non-assessable and free of preemptive and similar rights to subscribe for or purchase securities. If the Company has no subsidiaries, all other references to the Subsidiaries or any of them in the Transaction Documents shall be disregarded.</w:t>
      </w:r>
    </w:p>
    <w:p w14:paraId="0C9D6EC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B035E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w:t>
      </w:r>
      <w:r w:rsidRPr="00AE3C59">
        <w:rPr>
          <w:rFonts w:ascii="Times New Roman" w:eastAsia="Times New Roman" w:hAnsi="Times New Roman" w:cs="Times New Roman"/>
          <w:sz w:val="20"/>
          <w:szCs w:val="20"/>
          <w:u w:val="single"/>
          <w:lang w:val="en-US" w:eastAsia="en-US" w:bidi="ar-SA"/>
        </w:rPr>
        <w:t>Organization and Qualification</w:t>
      </w:r>
      <w:r w:rsidRPr="00AE3C59">
        <w:rPr>
          <w:rFonts w:ascii="Times New Roman" w:eastAsia="Times New Roman" w:hAnsi="Times New Roman" w:cs="Times New Roman"/>
          <w:sz w:val="20"/>
          <w:szCs w:val="20"/>
          <w:lang w:val="en-US" w:eastAsia="en-US" w:bidi="ar-SA"/>
        </w:rPr>
        <w:t>. The Company and each of the Subsidiaries is an entity duly incorporated or otherwise organized, validly existing and in good standing under the laws of the jurisdiction of its incorporation or organization, with the requisite power and authority to own and use its properties and assets and to carry on its business as currently conducted. Neither the Company nor any Subsidiary is in violation nor default of any of the provisions of its respective certificate or articles of incorporation, bylaws or other organizational or charter documents. Each of the Company and the Subsidiaries is duly qualified to conduct business and is in good standing as a foreign corporation or other entity in each jurisdiction in which the nature of the business conducted or property owned by it makes such qualification necessary, except where the failure to be so qualified or in good standing, as the case may be, could not have or reasonably be expected to result in: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 material adverse effect on the legality, validity or enforceability of any Transaction Document, (ii) a material adverse effect on the results of operations, assets, business, prospects or condition (financial or otherwise) of the Company and the Subsidiaries, taken as a whole, or (iii) a material adverse effect on the Company’s ability to perform in any material respect on a timely basis its obligations under any Transaction Document (any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(ii) or (iii), a “</w:t>
      </w:r>
      <w:r w:rsidRPr="00AE3C59">
        <w:rPr>
          <w:rFonts w:ascii="Times New Roman" w:eastAsia="Times New Roman" w:hAnsi="Times New Roman" w:cs="Times New Roman"/>
          <w:sz w:val="20"/>
          <w:szCs w:val="20"/>
          <w:u w:val="single"/>
          <w:lang w:val="en-US" w:eastAsia="en-US" w:bidi="ar-SA"/>
        </w:rPr>
        <w:t>Material Adverse Effect</w:t>
      </w:r>
      <w:r w:rsidRPr="00AE3C59">
        <w:rPr>
          <w:rFonts w:ascii="Times New Roman" w:eastAsia="Times New Roman" w:hAnsi="Times New Roman" w:cs="Times New Roman"/>
          <w:sz w:val="20"/>
          <w:szCs w:val="20"/>
          <w:lang w:val="en-US" w:eastAsia="en-US" w:bidi="ar-SA"/>
        </w:rPr>
        <w:t>”) and no Proceeding has been instituted in any such jurisdiction revoking, limiting or curtailing or seeking to revoke, limit or curtail such power and authority or qualification.</w:t>
      </w:r>
    </w:p>
    <w:p w14:paraId="191044F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33A3F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w:t>
      </w:r>
      <w:r w:rsidRPr="00AE3C59">
        <w:rPr>
          <w:rFonts w:ascii="Times New Roman" w:eastAsia="Times New Roman" w:hAnsi="Times New Roman" w:cs="Times New Roman"/>
          <w:sz w:val="20"/>
          <w:szCs w:val="20"/>
          <w:u w:val="single"/>
          <w:lang w:val="en-US" w:eastAsia="en-US" w:bidi="ar-SA"/>
        </w:rPr>
        <w:t>Authorization; Enforcement</w:t>
      </w:r>
      <w:r w:rsidRPr="00AE3C59">
        <w:rPr>
          <w:rFonts w:ascii="Times New Roman" w:eastAsia="Times New Roman" w:hAnsi="Times New Roman" w:cs="Times New Roman"/>
          <w:sz w:val="20"/>
          <w:szCs w:val="20"/>
          <w:lang w:val="en-US" w:eastAsia="en-US" w:bidi="ar-SA"/>
        </w:rPr>
        <w:t>. The Company has the requisite corporate power and authority to enter into and to consummate the transactions contemplated by this Agreement and each of the other Transaction Documents to which it is a party and otherwise to carry out its obligations hereunder and thereunder. The execution and delivery of this Agreement and each of the other Transaction Documents by the Company and the consummation by it of the transactions contemplated hereby and thereby have been duly authorized by all necessary action on the part of the Company and no further action is required by the Company, the Board of Directors or the Company’s stockholders in connection herewith or therewith other than in connection with the Required Approvals. This Agreement and each other Transaction Document to which the Company is a party has been (or upon delivery will have been) duly executed by the Company and, when delivered in accordance with the terms hereof and thereof, will constitute the valid and binding obligation of the Company enforceable against the Company in accordance with its terms, except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 When issued, the Pre-Funded Warrants, Warrants and Representative’s Warrants will constitute valid and binding obligations of the Company to issue and sell, upon exercise thereof and payment of the exercise price therefor, the number and type of securities of the Company called for thereby in accordance with the terms thereof and the Pre-Funded Warrants, Warrants and Representative’s Warrants are enforceable against the Company in accordance with their terms; provided, however, that the enforceability thereof may be limited by bankruptcy, insolvency, fraudulent transfer, reorganization, moratorium and similar laws relating to or affecting creditors’ rights generally and by general principles of equity (regardless of whether such enforceability is considered a proceeding in equity or at law).</w:t>
      </w:r>
    </w:p>
    <w:p w14:paraId="7825C61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C2E5E1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(d)  </w:t>
      </w:r>
      <w:r w:rsidRPr="00AE3C59">
        <w:rPr>
          <w:rFonts w:ascii="Times New Roman" w:eastAsia="Times New Roman" w:hAnsi="Times New Roman" w:cs="Times New Roman"/>
          <w:sz w:val="20"/>
          <w:szCs w:val="20"/>
          <w:u w:val="single"/>
          <w:lang w:val="en-US" w:eastAsia="en-US" w:bidi="ar-SA"/>
        </w:rPr>
        <w:t>No Conflicts</w:t>
      </w:r>
      <w:r w:rsidRPr="00AE3C59">
        <w:rPr>
          <w:rFonts w:ascii="Times New Roman" w:eastAsia="Times New Roman" w:hAnsi="Times New Roman" w:cs="Times New Roman"/>
          <w:sz w:val="20"/>
          <w:szCs w:val="20"/>
          <w:lang w:val="en-US" w:eastAsia="en-US" w:bidi="ar-SA"/>
        </w:rPr>
        <w:t>. The execution, delivery and performance by the Company of this Agreement and the other Transaction Documents to which it is a party, the issuance and sale of the Securities and the consummation by it of the transactions contemplated hereby and thereby do not and will not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conflict with or violate any provision of the Company’s or any Subsidiary’s certificate or articles of incorporation, bylaws or other organizational or charter documents, (ii) conflict with, or constitute a default (or an event that with notice or lapse of time or both would become a default) under, result in the creation of any Lien upon any of the properties or assets of the Company or any Subsidiary, or give to others any rights of termination, amendment, acceleration or cancellation (with or without notice, lapse of time or both) of, any agreement, credit facility, debt or other instrument (evidencing a Company or Subsidiary debt or otherwise) or other understanding to which the Company or any Subsidiary is a party or by which any property or asset of the Company or any Subsidiary is bound or affected, or (iii) subject to the Required Approvals, conflict with or result in a violation of any law, rule, regulation, order, judgment, injunction, decree or other restriction of any court or governmental authority to which the Company or a Subsidiary is subject (including federal and state securities laws and regulations), or by which any property or asset of the Company or a Subsidiary is bound or affected; except in the case of each of clauses (ii) and (iii), such as could not have or reasonably be expected to result in a Material Adverse Effect.</w:t>
      </w:r>
    </w:p>
    <w:p w14:paraId="79DD6A0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E3A8E0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xml:space="preserve">(e)  </w:t>
      </w:r>
      <w:r w:rsidRPr="00AE3C59">
        <w:rPr>
          <w:rFonts w:ascii="Times New Roman" w:eastAsia="Times New Roman" w:hAnsi="Times New Roman" w:cs="Times New Roman"/>
          <w:sz w:val="20"/>
          <w:szCs w:val="20"/>
          <w:u w:val="single"/>
          <w:lang w:val="en-US" w:eastAsia="en-US" w:bidi="ar-SA"/>
        </w:rPr>
        <w:t>Filings, Consents and Approvals</w:t>
      </w:r>
      <w:r w:rsidRPr="00AE3C59">
        <w:rPr>
          <w:rFonts w:ascii="Times New Roman" w:eastAsia="Times New Roman" w:hAnsi="Times New Roman" w:cs="Times New Roman"/>
          <w:sz w:val="20"/>
          <w:szCs w:val="20"/>
          <w:lang w:val="en-US" w:eastAsia="en-US" w:bidi="ar-SA"/>
        </w:rPr>
        <w:t>. The Company is not required to obtain any consent, waiver, authorization or order of, give any notice to, or make any filing or registration with, any court or other federal, state, local or other governmental authority or other Person in connection with the execution, delivery and performance by the Company of the Transaction Documents, other than: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filing with the Commission of the Prospectus, (ii) such filings as are required to be made under applicable state securities laws and (iii) application(s) to each applicable Trading Market for the listing of the Shares and Warrants for trading thereon in the time and manner required thereby (collectively, the “</w:t>
      </w:r>
      <w:r w:rsidRPr="00AE3C59">
        <w:rPr>
          <w:rFonts w:ascii="Times New Roman" w:eastAsia="Times New Roman" w:hAnsi="Times New Roman" w:cs="Times New Roman"/>
          <w:sz w:val="20"/>
          <w:szCs w:val="20"/>
          <w:u w:val="single"/>
          <w:lang w:val="en-US" w:eastAsia="en-US" w:bidi="ar-SA"/>
        </w:rPr>
        <w:t>Required Approvals</w:t>
      </w:r>
      <w:r w:rsidRPr="00AE3C59">
        <w:rPr>
          <w:rFonts w:ascii="Times New Roman" w:eastAsia="Times New Roman" w:hAnsi="Times New Roman" w:cs="Times New Roman"/>
          <w:sz w:val="20"/>
          <w:szCs w:val="20"/>
          <w:lang w:val="en-US" w:eastAsia="en-US" w:bidi="ar-SA"/>
        </w:rPr>
        <w:t>”).</w:t>
      </w:r>
    </w:p>
    <w:p w14:paraId="67676E98"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0AA51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(f)  </w:t>
      </w:r>
      <w:r w:rsidRPr="00AE3C59">
        <w:rPr>
          <w:rFonts w:ascii="Times New Roman" w:eastAsia="Times New Roman" w:hAnsi="Times New Roman" w:cs="Times New Roman"/>
          <w:sz w:val="20"/>
          <w:szCs w:val="20"/>
          <w:u w:val="single"/>
          <w:lang w:val="en-US" w:eastAsia="en-US" w:bidi="ar-SA"/>
        </w:rPr>
        <w:t>Registration Statement</w:t>
      </w:r>
      <w:r w:rsidRPr="00AE3C59">
        <w:rPr>
          <w:rFonts w:ascii="Times New Roman" w:eastAsia="Times New Roman" w:hAnsi="Times New Roman" w:cs="Times New Roman"/>
          <w:sz w:val="20"/>
          <w:szCs w:val="20"/>
          <w:lang w:val="en-US" w:eastAsia="en-US" w:bidi="ar-SA"/>
        </w:rPr>
        <w:t>. The Company has filed with the Commission the Registration Statement, including any related Preliminary Prospectus or Prospectuses, for the registration of the Securities under the Securities Act, which Registration Statement has been prepared by the Company in conformity with the requirements of the Securities Act and the rules and regulations of the Commission under the Securities Act. The registration of the Common Stock, the Pre-Funded Warrants, and the Warrants (which are included in the Units) under the Exchange Act has been declared effective by the Commission on the date hereof. Copies of such Registration Statement and of each amendment thereto, if any, including the related Preliminary Prospectuses, heretofore filed by the Company with the Commission have been delivered to the Underwriters. The term “</w:t>
      </w:r>
      <w:r w:rsidRPr="00AE3C59">
        <w:rPr>
          <w:rFonts w:ascii="Times New Roman" w:eastAsia="Times New Roman" w:hAnsi="Times New Roman" w:cs="Times New Roman"/>
          <w:sz w:val="20"/>
          <w:szCs w:val="20"/>
          <w:u w:val="single"/>
          <w:lang w:val="en-US" w:eastAsia="en-US" w:bidi="ar-SA"/>
        </w:rPr>
        <w:t>Registration Statement</w:t>
      </w:r>
      <w:r w:rsidRPr="00AE3C59">
        <w:rPr>
          <w:rFonts w:ascii="Times New Roman" w:eastAsia="Times New Roman" w:hAnsi="Times New Roman" w:cs="Times New Roman"/>
          <w:sz w:val="20"/>
          <w:szCs w:val="20"/>
          <w:lang w:val="en-US" w:eastAsia="en-US" w:bidi="ar-SA"/>
        </w:rPr>
        <w:t>” means such registration statement on Form S-1 (File No. 333-239958), as amended, as of the relevant Effective Date, including financial statements, all exhibits and any information deemed to be included or incorporated by reference therein, including any information deemed to be included pursuant to Rule 430A or Rule 430B of the Securities Act and the rules and regulations thereunder, as applicable. If the Company files a registration statement to register a portion of the Securities and relies on Rule 462(b) of the Securities Act and the rules and regulations thereunder for such registration statement to become effective upon filing with the Commission (the “</w:t>
      </w:r>
      <w:r w:rsidRPr="00AE3C59">
        <w:rPr>
          <w:rFonts w:ascii="Times New Roman" w:eastAsia="Times New Roman" w:hAnsi="Times New Roman" w:cs="Times New Roman"/>
          <w:sz w:val="20"/>
          <w:szCs w:val="20"/>
          <w:u w:val="single"/>
          <w:lang w:val="en-US" w:eastAsia="en-US" w:bidi="ar-SA"/>
        </w:rPr>
        <w:t>Rule 462 Registration Statement</w:t>
      </w:r>
      <w:r w:rsidRPr="00AE3C59">
        <w:rPr>
          <w:rFonts w:ascii="Times New Roman" w:eastAsia="Times New Roman" w:hAnsi="Times New Roman" w:cs="Times New Roman"/>
          <w:sz w:val="20"/>
          <w:szCs w:val="20"/>
          <w:lang w:val="en-US" w:eastAsia="en-US" w:bidi="ar-SA"/>
        </w:rPr>
        <w:t>”), then any reference to the “Registration Statement” shall be deemed to include the Rule 462 Registration Statement, as amended from time to time. The term “</w:t>
      </w:r>
      <w:r w:rsidRPr="00AE3C59">
        <w:rPr>
          <w:rFonts w:ascii="Times New Roman" w:eastAsia="Times New Roman" w:hAnsi="Times New Roman" w:cs="Times New Roman"/>
          <w:sz w:val="20"/>
          <w:szCs w:val="20"/>
          <w:u w:val="single"/>
          <w:lang w:val="en-US" w:eastAsia="en-US" w:bidi="ar-SA"/>
        </w:rPr>
        <w:t>Preliminary Prospectus</w:t>
      </w:r>
      <w:r w:rsidRPr="00AE3C59">
        <w:rPr>
          <w:rFonts w:ascii="Times New Roman" w:eastAsia="Times New Roman" w:hAnsi="Times New Roman" w:cs="Times New Roman"/>
          <w:sz w:val="20"/>
          <w:szCs w:val="20"/>
          <w:lang w:val="en-US" w:eastAsia="en-US" w:bidi="ar-SA"/>
        </w:rPr>
        <w:t>” as used herein means a preliminary prospectus as contemplated by Rule 430 or Rule 430A of the Securities Act and the rules and regulations thereunder as included at any time as part of, or deemed to be part of or included in, the Registration Statement. The term “</w:t>
      </w:r>
      <w:r w:rsidRPr="00AE3C59">
        <w:rPr>
          <w:rFonts w:ascii="Times New Roman" w:eastAsia="Times New Roman" w:hAnsi="Times New Roman" w:cs="Times New Roman"/>
          <w:sz w:val="20"/>
          <w:szCs w:val="20"/>
          <w:u w:val="single"/>
          <w:lang w:val="en-US" w:eastAsia="en-US" w:bidi="ar-SA"/>
        </w:rPr>
        <w:t>Prospectus</w:t>
      </w:r>
      <w:r w:rsidRPr="00AE3C59">
        <w:rPr>
          <w:rFonts w:ascii="Times New Roman" w:eastAsia="Times New Roman" w:hAnsi="Times New Roman" w:cs="Times New Roman"/>
          <w:sz w:val="20"/>
          <w:szCs w:val="20"/>
          <w:lang w:val="en-US" w:eastAsia="en-US" w:bidi="ar-SA"/>
        </w:rPr>
        <w:t>” means the final prospectus in connection with this Offering as first filed with the Commission pursuant to Rule 424(b) of the Securities Act and the rules and regulations thereunder or, if no such filing is required, the form of final prospectus included in the Registration Statement at the Effective Date, except that if any revised prospectus or prospectus supplement shall be provided to the Representative by the Company for use in connection with the Securities which differs from the Prospectus (whether or not such revised prospectus or prospectus supplement is required to be filed by the Company pursuant to Rule 424(b)), the term “</w:t>
      </w:r>
      <w:r w:rsidRPr="00AE3C59">
        <w:rPr>
          <w:rFonts w:ascii="Times New Roman" w:eastAsia="Times New Roman" w:hAnsi="Times New Roman" w:cs="Times New Roman"/>
          <w:sz w:val="20"/>
          <w:szCs w:val="20"/>
          <w:u w:val="single"/>
          <w:lang w:val="en-US" w:eastAsia="en-US" w:bidi="ar-SA"/>
        </w:rPr>
        <w:t>Prospectus</w:t>
      </w:r>
      <w:r w:rsidRPr="00AE3C59">
        <w:rPr>
          <w:rFonts w:ascii="Times New Roman" w:eastAsia="Times New Roman" w:hAnsi="Times New Roman" w:cs="Times New Roman"/>
          <w:sz w:val="20"/>
          <w:szCs w:val="20"/>
          <w:lang w:val="en-US" w:eastAsia="en-US" w:bidi="ar-SA"/>
        </w:rPr>
        <w:t>” shall also refer to such revised prospectus or prospectus supplement, as the case may be, from and after the time it is first provided to the Representative for such use. Any reference herein to the terms “amend”, “amendment” or “supplement” with respect to the Registration Statement, any Preliminary Prospectus or the Prospectus shall be deemed to refer to and include: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filing of any document under the Exchange Act after the Effective Date, the date of such Preliminary Prospectus or the date of the Prospectus, as the case may be, which is incorporated therein by reference, and (ii) any such document so filed. All references in this Agreement to the Registration Statement, a Preliminary Prospectus and the Prospectus, or any amendments or supplements to any of the foregoing shall be deemed to include any copy thereof filed with the Commission pursuant to its Electronic Data Gathering, Analysis and Retrieval System (“</w:t>
      </w:r>
      <w:r w:rsidRPr="00AE3C59">
        <w:rPr>
          <w:rFonts w:ascii="Times New Roman" w:eastAsia="Times New Roman" w:hAnsi="Times New Roman" w:cs="Times New Roman"/>
          <w:sz w:val="20"/>
          <w:szCs w:val="20"/>
          <w:u w:val="single"/>
          <w:lang w:val="en-US" w:eastAsia="en-US" w:bidi="ar-SA"/>
        </w:rPr>
        <w:t>EDGAR</w:t>
      </w:r>
      <w:r w:rsidRPr="00AE3C59">
        <w:rPr>
          <w:rFonts w:ascii="Times New Roman" w:eastAsia="Times New Roman" w:hAnsi="Times New Roman" w:cs="Times New Roman"/>
          <w:sz w:val="20"/>
          <w:szCs w:val="20"/>
          <w:lang w:val="en-US" w:eastAsia="en-US" w:bidi="ar-SA"/>
        </w:rPr>
        <w:t>”). The term “</w:t>
      </w:r>
      <w:r w:rsidRPr="00AE3C59">
        <w:rPr>
          <w:rFonts w:ascii="Times New Roman" w:eastAsia="Times New Roman" w:hAnsi="Times New Roman" w:cs="Times New Roman"/>
          <w:sz w:val="20"/>
          <w:szCs w:val="20"/>
          <w:u w:val="single"/>
          <w:lang w:val="en-US" w:eastAsia="en-US" w:bidi="ar-SA"/>
        </w:rPr>
        <w:t>General Disclosure Package</w:t>
      </w:r>
      <w:r w:rsidRPr="00AE3C59">
        <w:rPr>
          <w:rFonts w:ascii="Times New Roman" w:eastAsia="Times New Roman" w:hAnsi="Times New Roman" w:cs="Times New Roman"/>
          <w:sz w:val="20"/>
          <w:szCs w:val="20"/>
          <w:lang w:val="en-US" w:eastAsia="en-US" w:bidi="ar-SA"/>
        </w:rPr>
        <w:t xml:space="preserve">” means, collectively, the Permitted Free Writing Prospectus(es) (as defined below) issued at or prior to the date hereof, the most recent preliminary prospectus related to this Offering, and the information included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and </w:t>
      </w:r>
      <w:r w:rsidRPr="00AE3C59">
        <w:rPr>
          <w:rFonts w:ascii="Times New Roman" w:eastAsia="Times New Roman" w:hAnsi="Times New Roman" w:cs="Times New Roman"/>
          <w:sz w:val="20"/>
          <w:szCs w:val="20"/>
          <w:u w:val="single"/>
          <w:lang w:val="en-US" w:eastAsia="en-US" w:bidi="ar-SA"/>
        </w:rPr>
        <w:t>Schedule II</w:t>
      </w:r>
      <w:r w:rsidRPr="00AE3C59">
        <w:rPr>
          <w:rFonts w:ascii="Times New Roman" w:eastAsia="Times New Roman" w:hAnsi="Times New Roman" w:cs="Times New Roman"/>
          <w:sz w:val="20"/>
          <w:szCs w:val="20"/>
          <w:lang w:val="en-US" w:eastAsia="en-US" w:bidi="ar-SA"/>
        </w:rPr>
        <w:t xml:space="preserve"> hereto.</w:t>
      </w:r>
    </w:p>
    <w:p w14:paraId="616B73E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4B943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(g)  </w:t>
      </w:r>
      <w:r w:rsidRPr="00AE3C59">
        <w:rPr>
          <w:rFonts w:ascii="Times New Roman" w:eastAsia="Times New Roman" w:hAnsi="Times New Roman" w:cs="Times New Roman"/>
          <w:sz w:val="20"/>
          <w:szCs w:val="20"/>
          <w:u w:val="single"/>
          <w:lang w:val="en-US" w:eastAsia="en-US" w:bidi="ar-SA"/>
        </w:rPr>
        <w:t>Issuance of Common Stock</w:t>
      </w:r>
      <w:r w:rsidRPr="00AE3C59">
        <w:rPr>
          <w:rFonts w:ascii="Times New Roman" w:eastAsia="Times New Roman" w:hAnsi="Times New Roman" w:cs="Times New Roman"/>
          <w:sz w:val="20"/>
          <w:szCs w:val="20"/>
          <w:lang w:val="en-US" w:eastAsia="en-US" w:bidi="ar-SA"/>
        </w:rPr>
        <w:t>. The Closing Shares, Option Shares, Pre-Funded Warrant Shares, Warrant Shares, and Representative’s Warrant Shares are duly authorized and, when issued and paid for in accordance with the applicable Transaction Documents, will be duly and validly issued, fully paid and nonassessable, free and clear of all Liens imposed by the Company. The Company has reserved from its duly authorized capital stock the maximum number of shares of Common Stock issuable pursuant to this Agreement, the Pre-Funded Warrants, the Warrants and the Representative’s Warrant Agreement. The Closing Shares, Option Shares, Pre-Funded Warrant Shares, Warrant Shares, and Representative’s Warrant Shares are not and will not be subject to the preemptive rights of any holders of any security of the Company or similar contractual rights granted by the Company. All corporate action required to be taken for the authorization, issuance and sale of the Closing Shares, Option Shares, Pre-Funded Warrant Shares, Warrant Shares, and Representative’s Warrant Shares has been duly and validly taken. The Closing Shares, Option Shares, Pre-Funded Warrant Shares, Warrant Shares, and Representative’s Warrant Shares will conform in all material respects to all statements with respect thereto contained in the Registration Statement, the General Disclosure Package and the Prospectus.</w:t>
      </w:r>
    </w:p>
    <w:p w14:paraId="58817CC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9DFD0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xml:space="preserve"> (h)  </w:t>
      </w:r>
      <w:r w:rsidRPr="00AE3C59">
        <w:rPr>
          <w:rFonts w:ascii="Times New Roman" w:eastAsia="Times New Roman" w:hAnsi="Times New Roman" w:cs="Times New Roman"/>
          <w:sz w:val="20"/>
          <w:szCs w:val="20"/>
          <w:u w:val="single"/>
          <w:lang w:val="en-US" w:eastAsia="en-US" w:bidi="ar-SA"/>
        </w:rPr>
        <w:t>Capitalization</w:t>
      </w:r>
      <w:r w:rsidRPr="00AE3C59">
        <w:rPr>
          <w:rFonts w:ascii="Times New Roman" w:eastAsia="Times New Roman" w:hAnsi="Times New Roman" w:cs="Times New Roman"/>
          <w:sz w:val="20"/>
          <w:szCs w:val="20"/>
          <w:lang w:val="en-US" w:eastAsia="en-US" w:bidi="ar-SA"/>
        </w:rPr>
        <w:t xml:space="preserve">. The capitalization of the Company as of the date hereof is as set forth on </w:t>
      </w:r>
      <w:r w:rsidRPr="00AE3C59">
        <w:rPr>
          <w:rFonts w:ascii="Times New Roman" w:eastAsia="Times New Roman" w:hAnsi="Times New Roman" w:cs="Times New Roman"/>
          <w:sz w:val="20"/>
          <w:szCs w:val="20"/>
          <w:u w:val="single"/>
          <w:lang w:val="en-US" w:eastAsia="en-US" w:bidi="ar-SA"/>
        </w:rPr>
        <w:t>Schedule 3.1(h)</w:t>
      </w:r>
      <w:r w:rsidRPr="00AE3C59">
        <w:rPr>
          <w:rFonts w:ascii="Times New Roman" w:eastAsia="Times New Roman" w:hAnsi="Times New Roman" w:cs="Times New Roman"/>
          <w:sz w:val="20"/>
          <w:szCs w:val="20"/>
          <w:lang w:val="en-US" w:eastAsia="en-US" w:bidi="ar-SA"/>
        </w:rPr>
        <w:t xml:space="preserve">. Except as set forth on </w:t>
      </w:r>
      <w:r w:rsidRPr="00AE3C59">
        <w:rPr>
          <w:rFonts w:ascii="Times New Roman" w:eastAsia="Times New Roman" w:hAnsi="Times New Roman" w:cs="Times New Roman"/>
          <w:sz w:val="20"/>
          <w:szCs w:val="20"/>
          <w:u w:val="single"/>
          <w:lang w:val="en-US" w:eastAsia="en-US" w:bidi="ar-SA"/>
        </w:rPr>
        <w:t>Schedule 3.1(h)</w:t>
      </w:r>
      <w:r w:rsidRPr="00AE3C59">
        <w:rPr>
          <w:rFonts w:ascii="Times New Roman" w:eastAsia="Times New Roman" w:hAnsi="Times New Roman" w:cs="Times New Roman"/>
          <w:sz w:val="20"/>
          <w:szCs w:val="20"/>
          <w:lang w:val="en-US" w:eastAsia="en-US" w:bidi="ar-SA"/>
        </w:rPr>
        <w:t xml:space="preserve">, the Company has not issued any capital stock since its most recently filed periodic report under the Exchange Act, other than pursuant to the exercise of employee stock options under the Company’s stock option plans, the issuance of shares of Common Stock to employees pursuant to the Company’s employee stock purchase plans and pursuant to the conversion and/or exercise of Common Stock Equivalents outstanding as of the date of the most recently filed periodic report under the Exchange Act. No Person other than the Representative has any right of first refusal, preemptive right, right of participation, or any similar right to participate in the transactions contemplated by the Transaction Documents, except such rights which have been waived prior to the date hereof. Except as a result of the purchase and sale of the Securities or as set forth on </w:t>
      </w:r>
      <w:r w:rsidRPr="00AE3C59">
        <w:rPr>
          <w:rFonts w:ascii="Times New Roman" w:eastAsia="Times New Roman" w:hAnsi="Times New Roman" w:cs="Times New Roman"/>
          <w:sz w:val="20"/>
          <w:szCs w:val="20"/>
          <w:u w:val="single"/>
          <w:lang w:val="en-US" w:eastAsia="en-US" w:bidi="ar-SA"/>
        </w:rPr>
        <w:t>Schedule 3.1(h)</w:t>
      </w:r>
      <w:r w:rsidRPr="00AE3C59">
        <w:rPr>
          <w:rFonts w:ascii="Times New Roman" w:eastAsia="Times New Roman" w:hAnsi="Times New Roman" w:cs="Times New Roman"/>
          <w:sz w:val="20"/>
          <w:szCs w:val="20"/>
          <w:lang w:val="en-US" w:eastAsia="en-US" w:bidi="ar-SA"/>
        </w:rPr>
        <w:t>, there are no outstanding options, warrants, scrip rights to subscribe to, calls or commitments of any character whatsoever relating to, or securities, rights or obligations convertible into or exercisable or exchangeable for, or giving any Person any right to subscribe for or acquire, any shares of Common Stock or the capital stock of any Subsidiary, or contracts, commitments, understandings or arrangements by which the Company or any Subsidiary is or may become bound to issue additional shares of Common Stock or Common Stock Equivalents or the capital stock of any Subsidiary. Except as disclosed on the Registration Statement, the issuance and sale of the Securities will not obligate the Company or any Subsidiary to issue shares of Common Stock or other securities to any Person (other than the Underwriters). There are no outstanding securities or instruments of the Company or any Subsidiary that contain any redemption or similar provisions, and there are no contracts, commitments, understandings or arrangements by which the Company or any Subsidiary is or may become bound to redeem a security of the Company or such Subsidiary. Except as disclosed on the Registration Statement, the Company does not have any stock appreciation rights or “phantom stock” plans or agreements or any similar plan or agreement. All of the outstanding shares of capital stock of the Company are duly authorized, validly issued, fully paid and nonassessable, have been issued in compliance with all federal and state securities and other laws or the applicable statute of limitations has expired, and none of such outstanding shares was issued in violation of any preemptive rights or similar rights to subscribe for or purchase securities. All of the securities of the Company have been duly authorized and validly issued in accordance with all requisite laws. The authorized shares of the Company conform in all material respects to all statements relating thereto contained in the Registration Statement, the General Disclosure Package and the Prospectus. The offers and sales of the Company’s securities were at all relevant times either registered under the Securities Act and the applicable state securities or Blue Sky laws or, based in part on the representations and warranties of the purchasers, exempt from such registration requirements or the applicable statute of limitations has expired. No further approval or authorization of any stockholder, the Board of Directors or others is required for the issuance and sale of the Securities. There are no stockholders agreements, voting agreements or other similar agreements with respect to the Company’s capital stock to which the Company is a party or, to the knowledge of the Company, between or among any of the Company’s stockholders.</w:t>
      </w:r>
    </w:p>
    <w:p w14:paraId="1A00914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2D1BFA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63B1933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SEC Reports; Financial Statements</w:t>
      </w:r>
      <w:r w:rsidRPr="00AE3C59">
        <w:rPr>
          <w:rFonts w:ascii="Times New Roman" w:eastAsia="Times New Roman" w:hAnsi="Times New Roman" w:cs="Times New Roman"/>
          <w:sz w:val="20"/>
          <w:szCs w:val="20"/>
          <w:lang w:val="en-US" w:eastAsia="en-US" w:bidi="ar-SA"/>
        </w:rPr>
        <w:t>. The Company has filed all reports, schedules, forms, statements and other documents required to be filed by the Company under the Securities Act and the Exchange Act, including pursuant to Section 13(a) or 15(d) thereof, for the two years preceding the date hereof (or such shorter period as the Company was required by law or regulation to file such material) (the foregoing materials, including the exhibits thereto and documents incorporated by reference therein, together with the Prospectus, being collectively referred to herein as the “</w:t>
      </w:r>
      <w:r w:rsidRPr="00AE3C59">
        <w:rPr>
          <w:rFonts w:ascii="Times New Roman" w:eastAsia="Times New Roman" w:hAnsi="Times New Roman" w:cs="Times New Roman"/>
          <w:sz w:val="20"/>
          <w:szCs w:val="20"/>
          <w:u w:val="single"/>
          <w:lang w:val="en-US" w:eastAsia="en-US" w:bidi="ar-SA"/>
        </w:rPr>
        <w:t>SEC Reports</w:t>
      </w:r>
      <w:r w:rsidRPr="00AE3C59">
        <w:rPr>
          <w:rFonts w:ascii="Times New Roman" w:eastAsia="Times New Roman" w:hAnsi="Times New Roman" w:cs="Times New Roman"/>
          <w:sz w:val="20"/>
          <w:szCs w:val="20"/>
          <w:lang w:val="en-US" w:eastAsia="en-US" w:bidi="ar-SA"/>
        </w:rPr>
        <w:t>”) on a timely basis or has received a valid extension of such time of filing and has filed any such SEC Reports prior to the expiration of any such extension. As of their respective dates, to the knowledge of the Company, the SEC Reports complied in all material respects with the requirements of the Securities Act and the Exchange Act, as applicable, and none of the SEC Reports, when filed, contained any untrue statement of a material fact or omitted to state a material fact required to be stated therein or necessary in order to make the statements therein, in the light of the circumstances under which they were made, not misleading. The Company has been subject to Rule 144(</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under the Securities Act; it has filed all reports and other materials required to be filed by Section 13 or 15(d) of the Exchange Act, as applicable, during the preceding 48 months. The financial statements of the Company included in the Registration Statement, the Preliminary Prospectus, the General Disclosure Package, the Prospectus and the SEC Reports comply in all material respects with applicable accounting requirements and the rules and regulations of the Commission with respect thereto as in effect at the time of filing. Such financial statements have been prepared in accordance with United States generally accepted accounting principles applied on a consistent basis during the periods involved (“</w:t>
      </w:r>
      <w:r w:rsidRPr="00AE3C59">
        <w:rPr>
          <w:rFonts w:ascii="Times New Roman" w:eastAsia="Times New Roman" w:hAnsi="Times New Roman" w:cs="Times New Roman"/>
          <w:sz w:val="20"/>
          <w:szCs w:val="20"/>
          <w:u w:val="single"/>
          <w:lang w:val="en-US" w:eastAsia="en-US" w:bidi="ar-SA"/>
        </w:rPr>
        <w:t>GAAP</w:t>
      </w:r>
      <w:r w:rsidRPr="00AE3C59">
        <w:rPr>
          <w:rFonts w:ascii="Times New Roman" w:eastAsia="Times New Roman" w:hAnsi="Times New Roman" w:cs="Times New Roman"/>
          <w:sz w:val="20"/>
          <w:szCs w:val="20"/>
          <w:lang w:val="en-US" w:eastAsia="en-US" w:bidi="ar-SA"/>
        </w:rPr>
        <w:t xml:space="preserve">”), except as may be otherwise specified in such financial statements or the notes thereto and except that unaudited financial statements may not contain all footnotes required by GAAP, and fairly present in all material respects the financial position of the Company and its consolidated Subsidiaries as of and for the dates thereof and the results of operations and cash flows for the periods then ended, subject, in the case of unaudited statements, to normal, immaterial, year-end audit adjustments. </w:t>
      </w:r>
      <w:r w:rsidRPr="00AE3C59">
        <w:rPr>
          <w:rFonts w:ascii="Times New Roman" w:eastAsia="Times New Roman" w:hAnsi="Times New Roman" w:cs="Times New Roman"/>
          <w:sz w:val="20"/>
          <w:szCs w:val="20"/>
          <w:lang w:val="en-US" w:eastAsia="en-US" w:bidi="ar-SA"/>
        </w:rPr>
        <w:lastRenderedPageBreak/>
        <w:t>The agreements and documents described in the Registration Statement, the Preliminary Prospectus, the General Disclosure Package, the Prospectus, and the SEC Reports conform in all material aspects to the descriptions thereof contained therein and there are no agreements or other documents required by the Securities Act and the rules and regulations thereunder to be described in the Registration Statement, the Preliminary Prospectus, the General Disclosure Package, the Prospectus or the SEC Reports or to be filed with the Commission as exhibits to the Registration Statement, that have not been so described or filed. Each agreement or other instrument (however characterized or described) to which the Company or a Subsidiary is a party or by which it or such subsidiary is or may be bound or affected and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that is referred to in the Registration Statement, the General Disclosure Package, the Prospectus or the SEC Reports, or (ii) is material to the Company’s business, has been duly authorized and validly executed by the Company or a Subsidiary, respectively, is in full force and effect in all material respects and is enforceable against the Company or such Subsidiary and, to the Company’s knowledge, the other parties thereto, in accordance with its terms, except (x) as such enforceability may be limited by bankruptcy, insolvency, reorganization or similar laws affecting creditors’ rights generally, (y) as enforceability of any indemnification or contribution provision may be limited under the federal and state securities laws, and (z) that the remedy of specific performance and injunctive and other forms of equitable relief may be subject to the equitable defenses and to the discretion of the court before which any proceeding therefore may be brought. Except as described in the Registration Statement, none of such agreements or instruments has been assigned by the Company or Subsidiary, and neither the Company nor, to the Company’s knowledge, a Subsidiary or any other party is in default thereunder and, to the Company’s knowledge, no event has occurred that, with the lapse of time or the giving of notice, or both, would constitute a default thereunder. To the Company’s knowledge, performance by the Company or the Subsidiary of the material provisions of such agreements or instruments will not result in a violation of any existing applicable law, rule, regulation, judgment, order or decree of any governmental agency or court, domestic or foreign, having jurisdiction over the Company, a subsidiary or any of their assets or businesses, including, without limitation, those relating to environmental laws and regulations.</w:t>
      </w:r>
    </w:p>
    <w:p w14:paraId="2E68F434"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B6D3F3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(j)  </w:t>
      </w:r>
      <w:r w:rsidRPr="00AE3C59">
        <w:rPr>
          <w:rFonts w:ascii="Times New Roman" w:eastAsia="Times New Roman" w:hAnsi="Times New Roman" w:cs="Times New Roman"/>
          <w:sz w:val="20"/>
          <w:szCs w:val="20"/>
          <w:u w:val="single"/>
          <w:lang w:val="en-US" w:eastAsia="en-US" w:bidi="ar-SA"/>
        </w:rPr>
        <w:t>Material Changes; Undisclosed Events, Liabilities or Developments</w:t>
      </w:r>
      <w:r w:rsidRPr="00AE3C59">
        <w:rPr>
          <w:rFonts w:ascii="Times New Roman" w:eastAsia="Times New Roman" w:hAnsi="Times New Roman" w:cs="Times New Roman"/>
          <w:sz w:val="20"/>
          <w:szCs w:val="20"/>
          <w:lang w:val="en-US" w:eastAsia="en-US" w:bidi="ar-SA"/>
        </w:rPr>
        <w:t>. Since the date of the latest audited financial statements included within the Registration Statement, except as specifically disclosed in the Registration Statement, the Preliminary Prospectus, the General Disclosure Package, or the Prospectus,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there has been no event, occurrence or development that has had or that could reasonably be expected to result in a Material Adverse Effect, (ii) the Company has not incurred any liabilities (contingent or otherwise) other than (A) trade payables and accrued expenses incurred in the ordinary course of business consistent with past practice and (B) liabilities not required to be reflected in the Company’s financial statements pursuant to GAAP or disclosed in filings made with the Commission, (iii) the Company has not altered its method of accounting, (iv) the Company has not declared or made any dividend or distribution of cash or other property to its stockholders or purchased, redeemed or made any agreements to purchase or redeem any shares of its capital stock and (v) the Company has not issued any equity securities to any officer, director or Affiliate, except pursuant to existing Company stock option plans and the issuance of Common Stock Equivalents as disclosed in the Registration Statement. The Company does not have pending before the Commission any request for confidential treatment of information. Except for the issuance of the Securities contemplated by this Agreement, no event, liability, fact, circumstance, occurrence or development has occurred or exists or is reasonably expected to occur or exist with respect to the Company or its Subsidiaries or their respective businesses, prospects, properties, operations, assets or financial condition that would be required to be disclosed by the Company under applicable securities laws at the time this representation is made or deemed made that has not been publicly disclosed at least one (1) Trading Day prior to the date that this representation is made. Unless otherwise disclosed in the Registration Statement, the Company has not: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issued any securities or incurred any liability or obligation, direct or contingent, for borrowed money; or (ii) declared or paid any dividend or made any other distribution on or in respect to its capital stock.</w:t>
      </w:r>
    </w:p>
    <w:p w14:paraId="791EF00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2EB2E9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(k)  </w:t>
      </w:r>
      <w:r w:rsidRPr="00AE3C59">
        <w:rPr>
          <w:rFonts w:ascii="Times New Roman" w:eastAsia="Times New Roman" w:hAnsi="Times New Roman" w:cs="Times New Roman"/>
          <w:sz w:val="20"/>
          <w:szCs w:val="20"/>
          <w:u w:val="single"/>
          <w:lang w:val="en-US" w:eastAsia="en-US" w:bidi="ar-SA"/>
        </w:rPr>
        <w:t>Litigation</w:t>
      </w:r>
      <w:r w:rsidRPr="00AE3C59">
        <w:rPr>
          <w:rFonts w:ascii="Times New Roman" w:eastAsia="Times New Roman" w:hAnsi="Times New Roman" w:cs="Times New Roman"/>
          <w:sz w:val="20"/>
          <w:szCs w:val="20"/>
          <w:lang w:val="en-US" w:eastAsia="en-US" w:bidi="ar-SA"/>
        </w:rPr>
        <w:t>. There has not been, and to the knowledge of the Company there is not pending or contemplated, any action, suit, inquiry, notice of violation, proceeding or investigation pending or, to the knowledge of the Company, threatened against or affecting the Company, any Subsidiary or any of their respective properties before or by any court, arbitrator, governmental or administrative agency or regulatory authority (federal, state, county, local or foreign) (collectively, an “</w:t>
      </w:r>
      <w:r w:rsidRPr="00AE3C59">
        <w:rPr>
          <w:rFonts w:ascii="Times New Roman" w:eastAsia="Times New Roman" w:hAnsi="Times New Roman" w:cs="Times New Roman"/>
          <w:sz w:val="20"/>
          <w:szCs w:val="20"/>
          <w:u w:val="single"/>
          <w:lang w:val="en-US" w:eastAsia="en-US" w:bidi="ar-SA"/>
        </w:rPr>
        <w:t>Action</w:t>
      </w:r>
      <w:r w:rsidRPr="00AE3C59">
        <w:rPr>
          <w:rFonts w:ascii="Times New Roman" w:eastAsia="Times New Roman" w:hAnsi="Times New Roman" w:cs="Times New Roman"/>
          <w:sz w:val="20"/>
          <w:szCs w:val="20"/>
          <w:lang w:val="en-US" w:eastAsia="en-US" w:bidi="ar-SA"/>
        </w:rPr>
        <w:t>”) which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adversely affects or challenges the legality, validity or enforceability of any of the Transaction Documents or the Securities or (ii) could, if there were an unfavorable decision, have or reasonably be expected to result in a Material Adverse Effect. Neither the Company nor any Subsidiary, nor, to the Company’s knowledge, any director or officer thereof, is or has been the subject of any Action involving a claim of violation of or liability under federal or state securities laws or a claim of breach of fiduciary duty. To the knowledge of the Company, there has not been, and there is not pending or contemplated, any investigation by the Commission involving the Company or any current or former director or officer of the Company. </w:t>
      </w:r>
      <w:r w:rsidRPr="00AE3C59">
        <w:rPr>
          <w:rFonts w:ascii="Times New Roman" w:eastAsia="Times New Roman" w:hAnsi="Times New Roman" w:cs="Times New Roman"/>
          <w:sz w:val="20"/>
          <w:szCs w:val="20"/>
          <w:lang w:val="en-US" w:eastAsia="en-US" w:bidi="ar-SA"/>
        </w:rPr>
        <w:lastRenderedPageBreak/>
        <w:t>The Commission has not issued any stop order or other order suspending the effectiveness of any registration statement filed by the Company or any Subsidiary under the Exchange Act or the Securities Act.</w:t>
      </w:r>
    </w:p>
    <w:p w14:paraId="0366F5A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EAD43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(l)  </w:t>
      </w:r>
      <w:r w:rsidRPr="00AE3C59">
        <w:rPr>
          <w:rFonts w:ascii="Times New Roman" w:eastAsia="Times New Roman" w:hAnsi="Times New Roman" w:cs="Times New Roman"/>
          <w:sz w:val="20"/>
          <w:szCs w:val="20"/>
          <w:u w:val="single"/>
          <w:lang w:val="en-US" w:eastAsia="en-US" w:bidi="ar-SA"/>
        </w:rPr>
        <w:t>Labor Relations</w:t>
      </w:r>
      <w:r w:rsidRPr="00AE3C59">
        <w:rPr>
          <w:rFonts w:ascii="Times New Roman" w:eastAsia="Times New Roman" w:hAnsi="Times New Roman" w:cs="Times New Roman"/>
          <w:sz w:val="20"/>
          <w:szCs w:val="20"/>
          <w:lang w:val="en-US" w:eastAsia="en-US" w:bidi="ar-SA"/>
        </w:rPr>
        <w:t>. No labor dispute exists or, to the knowledge of the Company, is imminent with respect to any of the employees of the Company, which could reasonably be expected to result in a Material Adverse Effect. None of the Company’s or the Subsidiaries’ employees is a member of a union that relates to such employee’s relationship with the Company or such Subsidiary, and neither the Company nor any of the Subsidiaries is a party to a collective bargaining agreement, and the Company and the Subsidiaries believe that their relationships with their employees are good. To the knowledge of the Company, no executive officer of the Company or any Subsidiary, is, or is now expected to be, in violation of any material term of any employment contract, confidentiality, disclosure or proprietary information agreement or non-competition agreement, or any other contract or agreement or any restrictive covenant in favor of any third party, and the continued employment of each such executive officer does not subject the Company or any of the Subsidiaries to any liability with respect to any of the foregoing matters that would reasonably be expected to have a Material Adverse Effect. The Company and the Subsidiaries are in compliance with all U.S. federal, state, local and foreign laws and regulations relating to employment and employment practices, terms and conditions of employment and wages and hours, except where the failure to be in compliance could not, individually or in the aggregate, reasonably be expected to have a Material Adverse Effect.</w:t>
      </w:r>
    </w:p>
    <w:p w14:paraId="0EDD40C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90B5F4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(m)  </w:t>
      </w:r>
      <w:r w:rsidRPr="00AE3C59">
        <w:rPr>
          <w:rFonts w:ascii="Times New Roman" w:eastAsia="Times New Roman" w:hAnsi="Times New Roman" w:cs="Times New Roman"/>
          <w:sz w:val="20"/>
          <w:szCs w:val="20"/>
          <w:u w:val="single"/>
          <w:lang w:val="en-US" w:eastAsia="en-US" w:bidi="ar-SA"/>
        </w:rPr>
        <w:t>Compliance</w:t>
      </w:r>
      <w:r w:rsidRPr="00AE3C59">
        <w:rPr>
          <w:rFonts w:ascii="Times New Roman" w:eastAsia="Times New Roman" w:hAnsi="Times New Roman" w:cs="Times New Roman"/>
          <w:sz w:val="20"/>
          <w:szCs w:val="20"/>
          <w:lang w:val="en-US" w:eastAsia="en-US" w:bidi="ar-SA"/>
        </w:rPr>
        <w:t>. Neither the Company nor any Subsidiary: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 in default under or in violation of (and no event has occurred that has not been waived that, with notice or lapse of time or both, would result in a default by the Company or any Subsidiary under), nor has the Company or any Subsidiary received notice of a claim that it is in default under or that it is in violation of, any indenture, loan or credit agreement or any other agreement or instrument to which it is a party or by which it or any of its properties is bound (whether or not such default or violation has been waived), (ii) is in violation of any judgment, decree or order of any court, arbitrator or other governmental authority or (iii) is or has been in violation of any statute, rule, ordinance or regulation of any governmental authority, including without limitation all foreign, federal, state and local laws relating to taxes, environmental protection, occupational health and safety, product quality and safety and employment and labor matters, except in each case as could not have or reasonably be expected to result in a Material Adverse Effect.</w:t>
      </w:r>
    </w:p>
    <w:p w14:paraId="2453BF4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DCCF8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(n)  </w:t>
      </w:r>
      <w:r w:rsidRPr="00AE3C59">
        <w:rPr>
          <w:rFonts w:ascii="Times New Roman" w:eastAsia="Times New Roman" w:hAnsi="Times New Roman" w:cs="Times New Roman"/>
          <w:sz w:val="20"/>
          <w:szCs w:val="20"/>
          <w:u w:val="single"/>
          <w:lang w:val="en-US" w:eastAsia="en-US" w:bidi="ar-SA"/>
        </w:rPr>
        <w:t>Environmental Laws</w:t>
      </w:r>
      <w:r w:rsidRPr="00AE3C59">
        <w:rPr>
          <w:rFonts w:ascii="Times New Roman" w:eastAsia="Times New Roman" w:hAnsi="Times New Roman" w:cs="Times New Roman"/>
          <w:sz w:val="20"/>
          <w:szCs w:val="20"/>
          <w:lang w:val="en-US" w:eastAsia="en-US" w:bidi="ar-SA"/>
        </w:rPr>
        <w:t>. The Company and the Subsidiaries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are in compliance with all federal, state, local and foreign laws relating to pollution or protection of human health or the environment (including ambient air, surface water, groundwater, land surface or subsurface strata), including laws relating to emissions, discharges, releases or threatened releases of chemicals, pollutants, contaminants, or toxic or hazardous substances or wastes (collectively, “</w:t>
      </w:r>
      <w:r w:rsidRPr="00AE3C59">
        <w:rPr>
          <w:rFonts w:ascii="Times New Roman" w:eastAsia="Times New Roman" w:hAnsi="Times New Roman" w:cs="Times New Roman"/>
          <w:sz w:val="20"/>
          <w:szCs w:val="20"/>
          <w:u w:val="single"/>
          <w:lang w:val="en-US" w:eastAsia="en-US" w:bidi="ar-SA"/>
        </w:rPr>
        <w:t>Hazardous Materials</w:t>
      </w:r>
      <w:r w:rsidRPr="00AE3C59">
        <w:rPr>
          <w:rFonts w:ascii="Times New Roman" w:eastAsia="Times New Roman" w:hAnsi="Times New Roman" w:cs="Times New Roman"/>
          <w:sz w:val="20"/>
          <w:szCs w:val="20"/>
          <w:lang w:val="en-US" w:eastAsia="en-US" w:bidi="ar-SA"/>
        </w:rPr>
        <w:t>”) into the environment, or otherwise relating to the manufacture, processing, distribution, use, treatment, storage, disposal, transport or handling of Hazardous Materials, as well as all authorizations, codes, decrees, demands, or demand letters, injunctions, judgments, licenses, notices or notice letters, orders, permits, plans or regulations, issued, entered, promulgated or approved thereunder (“</w:t>
      </w:r>
      <w:r w:rsidRPr="00AE3C59">
        <w:rPr>
          <w:rFonts w:ascii="Times New Roman" w:eastAsia="Times New Roman" w:hAnsi="Times New Roman" w:cs="Times New Roman"/>
          <w:sz w:val="20"/>
          <w:szCs w:val="20"/>
          <w:u w:val="single"/>
          <w:lang w:val="en-US" w:eastAsia="en-US" w:bidi="ar-SA"/>
        </w:rPr>
        <w:t>Environmental Laws</w:t>
      </w:r>
      <w:r w:rsidRPr="00AE3C59">
        <w:rPr>
          <w:rFonts w:ascii="Times New Roman" w:eastAsia="Times New Roman" w:hAnsi="Times New Roman" w:cs="Times New Roman"/>
          <w:sz w:val="20"/>
          <w:szCs w:val="20"/>
          <w:lang w:val="en-US" w:eastAsia="en-US" w:bidi="ar-SA"/>
        </w:rPr>
        <w:t>”); (ii) have received all permits licenses or other approvals required of them under applicable Environmental Laws to conduct their respective businesses; and (iii) are in compliance with all terms and conditions of any such permit, license or approval where in each clause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(ii) and (iii), the failure to so comply could be reasonably expected to have, individually or in the aggregate, a Material Adverse Effect.</w:t>
      </w:r>
    </w:p>
    <w:p w14:paraId="2111EFE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82DD29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(o)  </w:t>
      </w:r>
      <w:r w:rsidRPr="00AE3C59">
        <w:rPr>
          <w:rFonts w:ascii="Times New Roman" w:eastAsia="Times New Roman" w:hAnsi="Times New Roman" w:cs="Times New Roman"/>
          <w:sz w:val="20"/>
          <w:szCs w:val="20"/>
          <w:u w:val="single"/>
          <w:lang w:val="en-US" w:eastAsia="en-US" w:bidi="ar-SA"/>
        </w:rPr>
        <w:t>FDA Compliance</w:t>
      </w:r>
      <w:r w:rsidRPr="00AE3C59">
        <w:rPr>
          <w:rFonts w:ascii="Times New Roman" w:eastAsia="Times New Roman" w:hAnsi="Times New Roman" w:cs="Times New Roman"/>
          <w:sz w:val="20"/>
          <w:szCs w:val="20"/>
          <w:lang w:val="en-US" w:eastAsia="en-US" w:bidi="ar-SA"/>
        </w:rPr>
        <w:t>. The Company</w:t>
      </w:r>
      <w:r w:rsidRPr="00AE3C59">
        <w:rPr>
          <w:rFonts w:ascii="Times New Roman" w:eastAsia="Times New Roman" w:hAnsi="Times New Roman" w:cs="Times New Roman"/>
          <w:sz w:val="20"/>
          <w:szCs w:val="20"/>
          <w:lang w:eastAsia="en-US" w:bidi="ar-SA"/>
        </w:rPr>
        <w:t xml:space="preserve"> </w:t>
      </w:r>
      <w:r w:rsidRPr="00AE3C59">
        <w:rPr>
          <w:rFonts w:ascii="Times New Roman" w:eastAsia="Times New Roman" w:hAnsi="Times New Roman" w:cs="Times New Roman"/>
          <w:sz w:val="20"/>
          <w:szCs w:val="20"/>
          <w:lang w:val="en-US" w:eastAsia="en-US" w:bidi="ar-SA"/>
        </w:rPr>
        <w:t>has operated and currently is in compliance in all material respects with all applicable laws, statutes, rules and regulations of the jurisdictions in which they are conducting business. The Company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 and at all times has been in material compliance with all laws, statutes, rules or regulations applicable to the ownership, research, testing, development, manufacture, packaging, processing, use, distribution, marketing, labeling, promotion, sale, offer for sale, storage, import, export or disposal of any product candidate of the Company, including, without limitation, the Federal Food, Drug and Cosmetic Act (21 U.S.C.§ 301 et seq.), the Public Health Service Act (42 U.S.C. § 262 et. seq.) the federal Anti-Kickback Statute (42 U.S.C. § 1320a-7b(b)), the regulations promulgated pursuant to such laws, and any successor government programs, and comparable state laws, and all other local, state, federal, and foreign laws, rules, regulations, manual provisions, policies and administrative guidance relating to the regulation of the Company (“</w:t>
      </w:r>
      <w:r w:rsidRPr="00AE3C59">
        <w:rPr>
          <w:rFonts w:ascii="Times New Roman" w:eastAsia="Times New Roman" w:hAnsi="Times New Roman" w:cs="Times New Roman"/>
          <w:sz w:val="20"/>
          <w:szCs w:val="20"/>
          <w:u w:val="single"/>
          <w:lang w:val="en-US" w:eastAsia="en-US" w:bidi="ar-SA"/>
        </w:rPr>
        <w:t>Regulatory Laws</w:t>
      </w:r>
      <w:r w:rsidRPr="00AE3C59">
        <w:rPr>
          <w:rFonts w:ascii="Times New Roman" w:eastAsia="Times New Roman" w:hAnsi="Times New Roman" w:cs="Times New Roman"/>
          <w:sz w:val="20"/>
          <w:szCs w:val="20"/>
          <w:lang w:val="en-US" w:eastAsia="en-US" w:bidi="ar-SA"/>
        </w:rPr>
        <w:t>”); (ii) has not received any FDA Form 483, notice of adverse finding, warning letter, untitled letter or other written correspondence or notice from the U.S. Food and Drug Administration (the “</w:t>
      </w:r>
      <w:r w:rsidRPr="00AE3C59">
        <w:rPr>
          <w:rFonts w:ascii="Times New Roman" w:eastAsia="Times New Roman" w:hAnsi="Times New Roman" w:cs="Times New Roman"/>
          <w:sz w:val="20"/>
          <w:szCs w:val="20"/>
          <w:u w:val="single"/>
          <w:lang w:val="en-US" w:eastAsia="en-US" w:bidi="ar-SA"/>
        </w:rPr>
        <w:t>FDA</w:t>
      </w:r>
      <w:r w:rsidRPr="00AE3C59">
        <w:rPr>
          <w:rFonts w:ascii="Times New Roman" w:eastAsia="Times New Roman" w:hAnsi="Times New Roman" w:cs="Times New Roman"/>
          <w:sz w:val="20"/>
          <w:szCs w:val="20"/>
          <w:lang w:val="en-US" w:eastAsia="en-US" w:bidi="ar-SA"/>
        </w:rPr>
        <w:t xml:space="preserve">”) or any other federal, state, local or foreign governmental or regulatory authority alleging or asserting material noncompliance with any Regulatory Laws or any licenses, exemptions, certificates, approvals, consents, clearances, authorizations, registrations, permits and supplements or amendments thereto required by any Regulatory Laws to conduct the Company’s business as described the Registration </w:t>
      </w:r>
      <w:r w:rsidRPr="00AE3C59">
        <w:rPr>
          <w:rFonts w:ascii="Times New Roman" w:eastAsia="Times New Roman" w:hAnsi="Times New Roman" w:cs="Times New Roman"/>
          <w:sz w:val="20"/>
          <w:szCs w:val="20"/>
          <w:lang w:val="en-US" w:eastAsia="en-US" w:bidi="ar-SA"/>
        </w:rPr>
        <w:lastRenderedPageBreak/>
        <w:t>Statement, the General Disclosure Package or the Prospectus (“</w:t>
      </w:r>
      <w:r w:rsidRPr="00AE3C59">
        <w:rPr>
          <w:rFonts w:ascii="Times New Roman" w:eastAsia="Times New Roman" w:hAnsi="Times New Roman" w:cs="Times New Roman"/>
          <w:sz w:val="20"/>
          <w:szCs w:val="20"/>
          <w:u w:val="single"/>
          <w:lang w:val="en-US" w:eastAsia="en-US" w:bidi="ar-SA"/>
        </w:rPr>
        <w:t>Authorizations</w:t>
      </w:r>
      <w:r w:rsidRPr="00AE3C59">
        <w:rPr>
          <w:rFonts w:ascii="Times New Roman" w:eastAsia="Times New Roman" w:hAnsi="Times New Roman" w:cs="Times New Roman"/>
          <w:sz w:val="20"/>
          <w:szCs w:val="20"/>
          <w:lang w:val="en-US" w:eastAsia="en-US" w:bidi="ar-SA"/>
        </w:rPr>
        <w:t>”); (iii) possesses all material Authorizations and such Authorizations are valid and in full force and effect, (iv) is in compliance with and is not in violation of, or in default under, any such Authorization, and to the knowledge of the Company, no event has occurred which allows, or after notice or lapse of time would allow, revocation, termination or modification of any Authorization or result in any other material impairment of the rights of the holder of any Authorization, and the Company does not have any reason to believe that any Authorization will not be renewed in the ordinary course; (v) has not received notice of any pending or completed claim, action, suit, proceeding, hearing, enforcement, investigation, arbitration or other action from the FDA or any other federal, state, local or foreign governmental or regulatory authority or third party alleging non-compliance with any Regulatory Laws or Authorizations and, to the knowledge of the Company, neither the FDA nor any other federal, state, local or foreign governmental or regulatory authority or third party is considering any such claim, litigation, arbitration, action, suit, investigation or proceeding; (vi) has not received notice that the FDA or any other federal, state, local or foreign governmental or regulatory authority has taken, is taking or intends to take action to limit, suspend, modify or revoke any material Authorizations and, to the knowledge of the Company, neither the FDA nor any other federal, state, local or foreign governmental or regulatory authority is considering such action; (vii) has filed, obtained, maintained or submitted all material reports, documents, forms, notices, applications, records, claims, submissions and supplements or amendments as required by any Regulatory Laws or Authorizations and all such reports, documents, forms, notices, applications, records, claims, submissions and supplements or amendments were materially complete and correct on the date filed (or were corrected or supplemented by a subsequent submission), and (viii) is not a party to any corporate integrity agreements, monitoring agreements, consent decrees, settlement orders, or similar agreements with or imposed by any governmental or regulatory authority.</w:t>
      </w:r>
    </w:p>
    <w:p w14:paraId="20F53BA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FF64F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(p)  </w:t>
      </w:r>
      <w:r w:rsidRPr="00AE3C59">
        <w:rPr>
          <w:rFonts w:ascii="Times New Roman" w:eastAsia="Times New Roman" w:hAnsi="Times New Roman" w:cs="Times New Roman"/>
          <w:sz w:val="20"/>
          <w:szCs w:val="20"/>
          <w:u w:val="single"/>
          <w:lang w:val="en-US" w:eastAsia="en-US" w:bidi="ar-SA"/>
        </w:rPr>
        <w:t>Tests and Preclinical and Clinical Trials</w:t>
      </w:r>
      <w:r w:rsidRPr="00AE3C59">
        <w:rPr>
          <w:rFonts w:ascii="Times New Roman" w:eastAsia="Times New Roman" w:hAnsi="Times New Roman" w:cs="Times New Roman"/>
          <w:sz w:val="20"/>
          <w:szCs w:val="20"/>
          <w:lang w:val="en-US" w:eastAsia="en-US" w:bidi="ar-SA"/>
        </w:rPr>
        <w:t>. The preclinical studies, tests and clinical trials conducted by or on behalf of the Company that are described or referred to in the Registration Statement, the General Disclosure Package and the Prospectus, were and, if still pending, are being conducted in accordance with all applicable Regulatory Laws, including, without limitation, regulations relating to Good Clinical Practices and Good Laboratory Practices applicable to clinical trials, and all Authorizations. The descriptions of such studies, tests and trials, including the results thereof, contained in the Registration Statement, the General Disclosure Package and the Prospectus are accurate and complete and fairly present the data derived from such studies, tests and trials in all material respects. The Company is not aware of any studies, tests or trials, the results of which the Company believes are materially inconsistent with the study, test or trial results described or referred to in the Registration Statement, the General Disclosure Package and the Prospectus when viewed in the context in which such results are described and the clinical state of development. The Company has not received any notices or written correspondence from the FDA or any other federal, state, local or foreign governmental or regulatory authority or Institutional Review Boards or comparable authorities requiring the termination, suspension, material adverse modification, or partial or full clinical hold of any studies, tests or preclinical or clinical trials conducted by or on behalf of the Company and, to the knowledge of the Company, there are no reasonable grounds for the same.</w:t>
      </w:r>
    </w:p>
    <w:p w14:paraId="32D14101"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B7A526"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(q) </w:t>
      </w:r>
      <w:r w:rsidRPr="00AE3C59">
        <w:rPr>
          <w:rFonts w:ascii="Times New Roman" w:eastAsia="Times New Roman" w:hAnsi="Times New Roman" w:cs="Times New Roman"/>
          <w:sz w:val="20"/>
          <w:szCs w:val="20"/>
          <w:u w:val="single"/>
          <w:lang w:val="en-US" w:eastAsia="en-US" w:bidi="ar-SA"/>
        </w:rPr>
        <w:t xml:space="preserve">Authorizations. </w:t>
      </w:r>
      <w:r w:rsidRPr="00AE3C59">
        <w:rPr>
          <w:rFonts w:ascii="Times New Roman" w:eastAsia="Times New Roman" w:hAnsi="Times New Roman" w:cs="Times New Roman"/>
          <w:sz w:val="20"/>
          <w:szCs w:val="20"/>
          <w:lang w:val="en-US" w:eastAsia="en-US" w:bidi="ar-SA"/>
        </w:rPr>
        <w:t>The Company has filed and received approval of all Authorizations issued by, and has made all declarations and filings with, the FDA or any other federal, state, local or foreign governmental or regulatory authority that are necessary for the ownership or lease of its properties or the conduct of its business as described in the Registration Statement, the General Disclosure Package and the Prospectus, or to permit all clinical and nonclinical studies and trials conducted by or on behalf of the Company, including, without limitation, all necessary FDA and applicable foreign regulatory agency approvals. The Company is in compliance with and is not in violation of, or in default under, any such Authorization. To the knowledge of the Company, no event has occurred which allows, or after notice or lapse of time would allow, revocation, termination or modification of any Authorization or result in any other material impairment of the rights of the holder of any Authorization and the Company does not have any reason to believe that any Authorization will not be renewed in the ordinary course.</w:t>
      </w:r>
    </w:p>
    <w:p w14:paraId="404757D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C02371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(r) </w:t>
      </w:r>
      <w:r w:rsidRPr="00AE3C59">
        <w:rPr>
          <w:rFonts w:ascii="Times New Roman" w:eastAsia="Times New Roman" w:hAnsi="Times New Roman" w:cs="Times New Roman"/>
          <w:sz w:val="20"/>
          <w:szCs w:val="20"/>
          <w:u w:val="single"/>
          <w:lang w:val="en-US" w:eastAsia="en-US" w:bidi="ar-SA"/>
        </w:rPr>
        <w:t>Title to Assets</w:t>
      </w:r>
      <w:r w:rsidRPr="00AE3C59">
        <w:rPr>
          <w:rFonts w:ascii="Times New Roman" w:eastAsia="Times New Roman" w:hAnsi="Times New Roman" w:cs="Times New Roman"/>
          <w:sz w:val="20"/>
          <w:szCs w:val="20"/>
          <w:lang w:val="en-US" w:eastAsia="en-US" w:bidi="ar-SA"/>
        </w:rPr>
        <w:t>. Except as described in the Registration Statement, the General Disclosure Package or the Prospectus, the Company and the Subsidiaries have good and marketable title in fee simple to all real property owned by them and good and marketable title in all personal property owned by them that is material to the business of the Company and the Subsidiaries, in each case free and clear of all Liens, except for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Liens as do not materially affect the value of such property and do not materially interfere with the use made and proposed to be made of such property by the Company and the Subsidiaries and (ii) Liens for the payment of federal, state or other taxes, for which appropriate reserves have been made therefor in accordance with GAAP and, the payment of which is neither delinquent nor subject to penalties. Any real property and facilities held under lease by the Company and the </w:t>
      </w:r>
      <w:r w:rsidRPr="00AE3C59">
        <w:rPr>
          <w:rFonts w:ascii="Times New Roman" w:eastAsia="Times New Roman" w:hAnsi="Times New Roman" w:cs="Times New Roman"/>
          <w:sz w:val="20"/>
          <w:szCs w:val="20"/>
          <w:lang w:val="en-US" w:eastAsia="en-US" w:bidi="ar-SA"/>
        </w:rPr>
        <w:lastRenderedPageBreak/>
        <w:t>Subsidiaries are held by them under valid, subsisting and enforceable leases with which the Company and the Subsidiaries are in compliance.</w:t>
      </w:r>
    </w:p>
    <w:p w14:paraId="4C09231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1594BF4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(s)  </w:t>
      </w:r>
      <w:r w:rsidRPr="00AE3C59">
        <w:rPr>
          <w:rFonts w:ascii="Times New Roman" w:eastAsia="Times New Roman" w:hAnsi="Times New Roman" w:cs="Times New Roman"/>
          <w:sz w:val="20"/>
          <w:szCs w:val="20"/>
          <w:u w:val="single"/>
          <w:lang w:val="en-US" w:eastAsia="en-US" w:bidi="ar-SA"/>
        </w:rPr>
        <w:t>Intellectual Property</w:t>
      </w:r>
      <w:r w:rsidRPr="00AE3C59">
        <w:rPr>
          <w:rFonts w:ascii="Times New Roman" w:eastAsia="Times New Roman" w:hAnsi="Times New Roman" w:cs="Times New Roman"/>
          <w:sz w:val="20"/>
          <w:szCs w:val="20"/>
          <w:lang w:val="en-US" w:eastAsia="en-US" w:bidi="ar-SA"/>
        </w:rPr>
        <w:t xml:space="preserve">. Except as provided in </w:t>
      </w:r>
      <w:r w:rsidRPr="00AE3C59">
        <w:rPr>
          <w:rFonts w:ascii="Times New Roman" w:eastAsia="Times New Roman" w:hAnsi="Times New Roman" w:cs="Times New Roman"/>
          <w:sz w:val="20"/>
          <w:szCs w:val="20"/>
          <w:u w:val="single"/>
          <w:lang w:val="en-US" w:eastAsia="en-US" w:bidi="ar-SA"/>
        </w:rPr>
        <w:t>Schedule 3.1(s)</w:t>
      </w:r>
      <w:r w:rsidRPr="00AE3C59">
        <w:rPr>
          <w:rFonts w:ascii="Times New Roman" w:eastAsia="Times New Roman" w:hAnsi="Times New Roman" w:cs="Times New Roman"/>
          <w:sz w:val="20"/>
          <w:szCs w:val="20"/>
          <w:lang w:val="en-US" w:eastAsia="en-US" w:bidi="ar-SA"/>
        </w:rPr>
        <w:t>, the Company and the Subsidiaries have, or have rights to use, all patents, patent applications, trademarks, trademark applications, service marks, trade names, trade secrets, inventions, copyrights, licenses and other intellectual property rights and similar rights it believes are necessary or required for use in connection with their respective businesses as described in the Registration Statement, the General Disclosure Package or the Prospectus and which the failure to so have could have a Material Adverse Effect (collectively, the “</w:t>
      </w:r>
      <w:r w:rsidRPr="00AE3C59">
        <w:rPr>
          <w:rFonts w:ascii="Times New Roman" w:eastAsia="Times New Roman" w:hAnsi="Times New Roman" w:cs="Times New Roman"/>
          <w:sz w:val="20"/>
          <w:szCs w:val="20"/>
          <w:u w:val="single"/>
          <w:lang w:val="en-US" w:eastAsia="en-US" w:bidi="ar-SA"/>
        </w:rPr>
        <w:t>Intellectual Property Rights</w:t>
      </w:r>
      <w:r w:rsidRPr="00AE3C59">
        <w:rPr>
          <w:rFonts w:ascii="Times New Roman" w:eastAsia="Times New Roman" w:hAnsi="Times New Roman" w:cs="Times New Roman"/>
          <w:sz w:val="20"/>
          <w:szCs w:val="20"/>
          <w:lang w:val="en-US" w:eastAsia="en-US" w:bidi="ar-SA"/>
        </w:rPr>
        <w:t xml:space="preserve">”). To the knowledge of the Company, the Company is not now infringing, and except as provided in </w:t>
      </w:r>
      <w:r w:rsidRPr="00AE3C59">
        <w:rPr>
          <w:rFonts w:ascii="Times New Roman" w:eastAsia="Times New Roman" w:hAnsi="Times New Roman" w:cs="Times New Roman"/>
          <w:sz w:val="20"/>
          <w:szCs w:val="20"/>
          <w:u w:val="single"/>
          <w:lang w:val="en-US" w:eastAsia="en-US" w:bidi="ar-SA"/>
        </w:rPr>
        <w:t>Schedule 3.1(s)</w:t>
      </w:r>
      <w:r w:rsidRPr="00AE3C59">
        <w:rPr>
          <w:rFonts w:ascii="Times New Roman" w:eastAsia="Times New Roman" w:hAnsi="Times New Roman" w:cs="Times New Roman"/>
          <w:sz w:val="20"/>
          <w:szCs w:val="20"/>
          <w:lang w:val="en-US" w:eastAsia="en-US" w:bidi="ar-SA"/>
        </w:rPr>
        <w:t xml:space="preserve">, upon commercialization will not infringe, any valid claim of any issued patents, copyrights or trademarks of others. The Company has not conducted a “freedom to operate” study. Neither the Company nor any Subsidiary has received a notice (written or otherwise) that any of the Intellectual Property Rights has expired, terminated or been abandoned, or is expected to expire or terminate or be abandoned, within two (2) years from the date of this Agreement, except where such action would not reasonably be expected to have a Material Adverse Effect. Other than as specifically described in the Registration Statement, the General Disclosure Package or the Prospectus, neither the Company nor any Subsidiary has received, since the date of the latest audited financial statements included within the Registration Statement, the General Disclosure Package, the Prospectus or the SEC Reports, a written notice of a claim or otherwise has any knowledge that the Company’s products or planned products as described in the Registration Statement, the General Disclosure Package or the Prospectus violate or infringe upon the rights of any Person, except as could not have or reasonably be expected to not have a Material Adverse Effect other than standard communications regarding the non-exclusive licenses currently being finalized with the National Institute of Allergy and Infectious Diseases, National Institutes of Health on behalf of the United States as indicated on </w:t>
      </w:r>
      <w:r w:rsidRPr="00AE3C59">
        <w:rPr>
          <w:rFonts w:ascii="Times New Roman" w:eastAsia="Times New Roman" w:hAnsi="Times New Roman" w:cs="Times New Roman"/>
          <w:sz w:val="20"/>
          <w:szCs w:val="20"/>
          <w:u w:val="single"/>
          <w:lang w:val="en-US" w:eastAsia="en-US" w:bidi="ar-SA"/>
        </w:rPr>
        <w:t>Schedule 3.1(s)</w:t>
      </w:r>
      <w:r w:rsidRPr="00AE3C59">
        <w:rPr>
          <w:rFonts w:ascii="Times New Roman" w:eastAsia="Times New Roman" w:hAnsi="Times New Roman" w:cs="Times New Roman"/>
          <w:sz w:val="20"/>
          <w:szCs w:val="20"/>
          <w:lang w:val="en-US" w:eastAsia="en-US" w:bidi="ar-SA"/>
        </w:rPr>
        <w:t>. To the knowledge of the Company, all such Intellectual Property Rights are enforceable and there is no existing infringement by another Person of any of the Intellectual Property Rights. The Company and the Subsidiaries have taken reasonable security measures to protect the secrecy, confidentiality and value of all of their intellectual properties, except where failure to do so could not, individually or in the aggregate, reasonably be expected to have a Material Adverse Effect.</w:t>
      </w:r>
    </w:p>
    <w:p w14:paraId="067A623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1732B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  </w:t>
      </w:r>
      <w:r w:rsidRPr="00AE3C59">
        <w:rPr>
          <w:rFonts w:ascii="Times New Roman" w:eastAsia="Times New Roman" w:hAnsi="Times New Roman" w:cs="Times New Roman"/>
          <w:sz w:val="20"/>
          <w:szCs w:val="20"/>
          <w:u w:val="single"/>
          <w:lang w:val="en-US" w:eastAsia="en-US" w:bidi="ar-SA"/>
        </w:rPr>
        <w:t>Insurance</w:t>
      </w:r>
      <w:r w:rsidRPr="00AE3C59">
        <w:rPr>
          <w:rFonts w:ascii="Times New Roman" w:eastAsia="Times New Roman" w:hAnsi="Times New Roman" w:cs="Times New Roman"/>
          <w:sz w:val="20"/>
          <w:szCs w:val="20"/>
          <w:lang w:val="en-US" w:eastAsia="en-US" w:bidi="ar-SA"/>
        </w:rPr>
        <w:t>. The Company and the Subsidiaries are insured by insurers of recognized financial responsibility against such losses and risks and in such amounts as are prudent and customary in the businesses in which the Company and the Subsidiaries are engaged, including, but not limited to, directors and officers insurance coverage. Neither the Company nor any Subsidiary has any reason to believe that it will not be able to renew its existing insurance coverage as and when such coverage expires or to obtain similar coverage from similar insurers as may be necessary to continue its business without a significant increase in cost.</w:t>
      </w:r>
    </w:p>
    <w:p w14:paraId="3500B8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7B3A8B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(u)  </w:t>
      </w:r>
      <w:r w:rsidRPr="00AE3C59">
        <w:rPr>
          <w:rFonts w:ascii="Times New Roman" w:eastAsia="Times New Roman" w:hAnsi="Times New Roman" w:cs="Times New Roman"/>
          <w:sz w:val="20"/>
          <w:szCs w:val="20"/>
          <w:u w:val="single"/>
          <w:lang w:val="en-US" w:eastAsia="en-US" w:bidi="ar-SA"/>
        </w:rPr>
        <w:t>Transactions With Affiliates and Employees</w:t>
      </w:r>
      <w:r w:rsidRPr="00AE3C59">
        <w:rPr>
          <w:rFonts w:ascii="Times New Roman" w:eastAsia="Times New Roman" w:hAnsi="Times New Roman" w:cs="Times New Roman"/>
          <w:sz w:val="20"/>
          <w:szCs w:val="20"/>
          <w:lang w:val="en-US" w:eastAsia="en-US" w:bidi="ar-SA"/>
        </w:rPr>
        <w:t>. Except as set forth in the Registration Statement, General Disclosure Package or Prospectus, none of the officers or directors of the Company or any Subsidiary and, to the knowledge of the Company, none of the employees of the Company or any Subsidiary is presently a party to any transaction with the Company or any Subsidiary (other than for services as employees, officers and directors), including any contract, agreement or other arrangement providing for the furnishing of services to or by, providing for rental of real or personal property to or from, providing for the borrowing of money from or lending of money to or otherwise requiring payments to or from, any officer, director or such employee or, to the knowledge of the Company, any entity in which any officer, director, or any such employee has a substantial interest or is an officer, director, trustee, stockholder, member or partner, in each case in excess of $120,000 other than for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payment of salary or consulting fees for services rendered, (ii) reimbursement for expenses incurred on behalf of the Company and (iii) other employee benefits, including stock option agreements under any stock option plan of the Company.</w:t>
      </w:r>
    </w:p>
    <w:p w14:paraId="425BA17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04DFBD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AC2537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(v)  </w:t>
      </w:r>
      <w:r w:rsidRPr="00AE3C59">
        <w:rPr>
          <w:rFonts w:ascii="Times New Roman" w:eastAsia="Times New Roman" w:hAnsi="Times New Roman" w:cs="Times New Roman"/>
          <w:sz w:val="20"/>
          <w:szCs w:val="20"/>
          <w:u w:val="single"/>
          <w:lang w:val="en-US" w:eastAsia="en-US" w:bidi="ar-SA"/>
        </w:rPr>
        <w:t>Sarbanes-Oxley; Internal Accounting Controls</w:t>
      </w:r>
      <w:r w:rsidRPr="00AE3C59">
        <w:rPr>
          <w:rFonts w:ascii="Times New Roman" w:eastAsia="Times New Roman" w:hAnsi="Times New Roman" w:cs="Times New Roman"/>
          <w:sz w:val="20"/>
          <w:szCs w:val="20"/>
          <w:lang w:val="en-US" w:eastAsia="en-US" w:bidi="ar-SA"/>
        </w:rPr>
        <w:t>. The Company’s disclosure controls and procedures and internal controls are effective. Except as set forth in the Registration Statement, the Company and the Subsidiaries are in material compliance with any and all applicable requirements of the Sarbanes-Oxley Act of 2002 that are effective as of the date hereof, and any and all applicable rules and regulations promulgated by the Commission thereunder that are effective as of the date hereof and as of the Closing Date. The Company and the Subsidiaries maintain a system of internal accounting controls sufficient to provide reasonable assurance that: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transactions are executed in accordance with management’s general or specific authorizations, (ii) transactions are recorded as necessary to permit preparation of financial statements in conformity with GAAP and to maintain asset accountability, (iii) access to assets is permitted only in accordance with management’s general or specific authorization, and (iv) the recorded accountability for assets is compared with the existing assets at reasonable </w:t>
      </w:r>
      <w:r w:rsidRPr="00AE3C59">
        <w:rPr>
          <w:rFonts w:ascii="Times New Roman" w:eastAsia="Times New Roman" w:hAnsi="Times New Roman" w:cs="Times New Roman"/>
          <w:sz w:val="20"/>
          <w:szCs w:val="20"/>
          <w:lang w:val="en-US" w:eastAsia="en-US" w:bidi="ar-SA"/>
        </w:rPr>
        <w:lastRenderedPageBreak/>
        <w:t>intervals and appropriate action is taken with respect to any differences. Except as set forth in the Registration Statement, the Company and the Subsidiaries have established disclosure controls and procedures (as defined in Exchange Act Rules 13a-15(e) and 15d-15(e)) for the Company and the Subsidiaries and designed such disclosure controls and procedures to ensure that information required to be disclosed by the Company in the reports it files or submits under the Exchange Act is recorded, processed, summarized and reported, within the time periods specified in the Commission’s rules and forms. The Company’s certifying officers have evaluated the effectiveness of the disclosure controls and procedures of the Company and the Subsidiaries as of the end of the period covered by the most recently filed periodic report under the Exchange Act (such date, the “</w:t>
      </w:r>
      <w:r w:rsidRPr="00AE3C59">
        <w:rPr>
          <w:rFonts w:ascii="Times New Roman" w:eastAsia="Times New Roman" w:hAnsi="Times New Roman" w:cs="Times New Roman"/>
          <w:sz w:val="20"/>
          <w:szCs w:val="20"/>
          <w:u w:val="single"/>
          <w:lang w:val="en-US" w:eastAsia="en-US" w:bidi="ar-SA"/>
        </w:rPr>
        <w:t>Evaluation Date</w:t>
      </w:r>
      <w:r w:rsidRPr="00AE3C59">
        <w:rPr>
          <w:rFonts w:ascii="Times New Roman" w:eastAsia="Times New Roman" w:hAnsi="Times New Roman" w:cs="Times New Roman"/>
          <w:sz w:val="20"/>
          <w:szCs w:val="20"/>
          <w:lang w:val="en-US" w:eastAsia="en-US" w:bidi="ar-SA"/>
        </w:rPr>
        <w:t>”). The Company presented in its most recently filed periodic report under the Exchange Act the conclusions of the certifying officers about the effectiveness of the disclosure controls and procedures based on their evaluations as of the Evaluation Date. Since the Evaluation Date, there have been no changes in the internal control over financial reporting (as such term is defined in the Exchange Act) of the Company and the Subsidiaries that have materially affected, or is reasonably likely to materially affect, the internal control over financial reporting of the Company and the Subsidiaries.</w:t>
      </w:r>
    </w:p>
    <w:p w14:paraId="6C0A0F6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8FE655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(w)  </w:t>
      </w:r>
      <w:r w:rsidRPr="00AE3C59">
        <w:rPr>
          <w:rFonts w:ascii="Times New Roman" w:eastAsia="Times New Roman" w:hAnsi="Times New Roman" w:cs="Times New Roman"/>
          <w:sz w:val="20"/>
          <w:szCs w:val="20"/>
          <w:u w:val="single"/>
          <w:lang w:val="en-US" w:eastAsia="en-US" w:bidi="ar-SA"/>
        </w:rPr>
        <w:t>Certain Fees</w:t>
      </w:r>
      <w:r w:rsidRPr="00AE3C59">
        <w:rPr>
          <w:rFonts w:ascii="Times New Roman" w:eastAsia="Times New Roman" w:hAnsi="Times New Roman" w:cs="Times New Roman"/>
          <w:sz w:val="20"/>
          <w:szCs w:val="20"/>
          <w:lang w:val="en-US" w:eastAsia="en-US" w:bidi="ar-SA"/>
        </w:rPr>
        <w:t>. Except as set forth in the Registration Statement, the General Disclosure Package and Prospectus, no brokerage or finder’s fees or commissions are or will be payable by the Company, any Subsidiary or Affiliate of the Company to any broker, financial advisor or consultant, finder, placement agent, investment banker, bank or other Person with respect to the transactions contemplated by the Transaction Documents. There are no other arrangements, agreements or understandings of the Company or, to the Company’s knowledge, any of its stockholders that may affect the Underwriters’ compensation, as determined by FINRA. Other than payments to the Underwriters for this Offering or as disclosed in the Registration Statement, and as made in connection with the issuance of the Convertible Debentures (as defined in the Registration Statement) or may be made pursuant to the engagement letter between the Company and the Representative dated May 6, 2020, the Company has not made and has no agreements, arrangements or understanding to make any direct or indirect payments (in cash, securities or otherwise) to: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any person, as a finder’s fee, consulting fee or otherwise, in consideration of such person raising capital for the Company or introducing to the Company persons who raised or provided capital to the Company; (ii)  any FINRA member; or (iii) any person or entity that has any direct or indirect affiliation or association with any FINRA member, within the 180-day period preceding the initial filing of the Registration Statement through the 90-day period after the Effective Date. None of the net proceeds of the Offering will be paid by the Company to any participating FINRA member or its affiliates, except as specifically authorized herein.</w:t>
      </w:r>
    </w:p>
    <w:p w14:paraId="3283BDC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313A9E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(x)  </w:t>
      </w:r>
      <w:r w:rsidRPr="00AE3C59">
        <w:rPr>
          <w:rFonts w:ascii="Times New Roman" w:eastAsia="Times New Roman" w:hAnsi="Times New Roman" w:cs="Times New Roman"/>
          <w:sz w:val="20"/>
          <w:szCs w:val="20"/>
          <w:u w:val="single"/>
          <w:lang w:val="en-US" w:eastAsia="en-US" w:bidi="ar-SA"/>
        </w:rPr>
        <w:t>Investment Company</w:t>
      </w:r>
      <w:r w:rsidRPr="00AE3C59">
        <w:rPr>
          <w:rFonts w:ascii="Times New Roman" w:eastAsia="Times New Roman" w:hAnsi="Times New Roman" w:cs="Times New Roman"/>
          <w:sz w:val="20"/>
          <w:szCs w:val="20"/>
          <w:lang w:val="en-US" w:eastAsia="en-US" w:bidi="ar-SA"/>
        </w:rPr>
        <w:t>. The Company is not, and is not an Affiliate of, and immediately after receipt of payment for the Securities will not be or be an Affiliate of, an “investment company” within the meaning of the Investment Company Act of 1940, as amended. The Company shall conduct its business in a manner so that it will not become an “investment company” subject to registration under the Investment Company Act of 1940, as amended.</w:t>
      </w:r>
    </w:p>
    <w:p w14:paraId="246A928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84566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(y)  </w:t>
      </w:r>
      <w:r w:rsidRPr="00AE3C59">
        <w:rPr>
          <w:rFonts w:ascii="Times New Roman" w:eastAsia="Times New Roman" w:hAnsi="Times New Roman" w:cs="Times New Roman"/>
          <w:sz w:val="20"/>
          <w:szCs w:val="20"/>
          <w:u w:val="single"/>
          <w:lang w:val="en-US" w:eastAsia="en-US" w:bidi="ar-SA"/>
        </w:rPr>
        <w:t>Registration Rights</w:t>
      </w:r>
      <w:r w:rsidRPr="00AE3C59">
        <w:rPr>
          <w:rFonts w:ascii="Times New Roman" w:eastAsia="Times New Roman" w:hAnsi="Times New Roman" w:cs="Times New Roman"/>
          <w:sz w:val="20"/>
          <w:szCs w:val="20"/>
          <w:lang w:val="en-US" w:eastAsia="en-US" w:bidi="ar-SA"/>
        </w:rPr>
        <w:t>. No Person has any right to cause the Company or any Subsidiary to effect the registration under the Securities Act of any securities of the Company or any Subsidiary, other than those rights that have been disclosed in the Registration Statement or have been waived or satisfied.</w:t>
      </w:r>
    </w:p>
    <w:p w14:paraId="1AF3ACF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13E9F9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(z)  </w:t>
      </w:r>
      <w:r w:rsidRPr="00AE3C59">
        <w:rPr>
          <w:rFonts w:ascii="Times New Roman" w:eastAsia="Times New Roman" w:hAnsi="Times New Roman" w:cs="Times New Roman"/>
          <w:sz w:val="20"/>
          <w:szCs w:val="20"/>
          <w:u w:val="single"/>
          <w:lang w:val="en-US" w:eastAsia="en-US" w:bidi="ar-SA"/>
        </w:rPr>
        <w:t>Compliance with Exchange Act</w:t>
      </w:r>
      <w:r w:rsidRPr="00AE3C59">
        <w:rPr>
          <w:rFonts w:ascii="Times New Roman" w:eastAsia="Times New Roman" w:hAnsi="Times New Roman" w:cs="Times New Roman"/>
          <w:sz w:val="20"/>
          <w:szCs w:val="20"/>
          <w:lang w:val="en-US" w:eastAsia="en-US" w:bidi="ar-SA"/>
        </w:rPr>
        <w: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Common Stock and the Warrants are registered pursuant to Section 12(b) of the Exchange Act and the Company has filed with the Commission a Form 8-A (Accession No. 0001437749-20-020182) providing for the registration of the Common Stock and Warrants pursuant to Section 12(b) under the Exchange Act, and the Company has taken no action designed to, or which to its knowledge is likely to have the effect of, terminating the registration of the Common Stock under the Exchange Act nor has the Company received any notification that the Commission is contemplating terminating such registration. Except as set forth on </w:t>
      </w:r>
      <w:r w:rsidRPr="00AE3C59">
        <w:rPr>
          <w:rFonts w:ascii="Times New Roman" w:eastAsia="Times New Roman" w:hAnsi="Times New Roman" w:cs="Times New Roman"/>
          <w:sz w:val="20"/>
          <w:szCs w:val="20"/>
          <w:u w:val="single"/>
          <w:lang w:val="en-US" w:eastAsia="en-US" w:bidi="ar-SA"/>
        </w:rPr>
        <w:t>Schedule 3.1(z)</w:t>
      </w:r>
      <w:r w:rsidRPr="00AE3C59">
        <w:rPr>
          <w:rFonts w:ascii="Times New Roman" w:eastAsia="Times New Roman" w:hAnsi="Times New Roman" w:cs="Times New Roman"/>
          <w:sz w:val="20"/>
          <w:szCs w:val="20"/>
          <w:lang w:val="en-US" w:eastAsia="en-US" w:bidi="ar-SA"/>
        </w:rPr>
        <w:t xml:space="preserve">, the Company has not, in the 12 months preceding the date hereof, received notice from any Trading Market on which the Common Stock is or has been listed or quoted to the effect that the Company is not in compliance with the listing or maintenance requirements of such Trading Market. Except as set forth on </w:t>
      </w:r>
      <w:r w:rsidRPr="00AE3C59">
        <w:rPr>
          <w:rFonts w:ascii="Times New Roman" w:eastAsia="Times New Roman" w:hAnsi="Times New Roman" w:cs="Times New Roman"/>
          <w:sz w:val="20"/>
          <w:szCs w:val="20"/>
          <w:u w:val="single"/>
          <w:lang w:val="en-US" w:eastAsia="en-US" w:bidi="ar-SA"/>
        </w:rPr>
        <w:t>Schedule 3.1(z)</w:t>
      </w:r>
      <w:r w:rsidRPr="00AE3C59">
        <w:rPr>
          <w:rFonts w:ascii="Times New Roman" w:eastAsia="Times New Roman" w:hAnsi="Times New Roman" w:cs="Times New Roman"/>
          <w:sz w:val="20"/>
          <w:szCs w:val="20"/>
          <w:lang w:val="en-US" w:eastAsia="en-US" w:bidi="ar-SA"/>
        </w:rPr>
        <w:t>, the Company is, and has no reason to believe that it will not in the foreseeable future continue to be, in compliance with all such listing and maintenance requirements. The Common Stock is currently eligible for electronic transfer through the Depository Trust Company or another established clearing corporation and the Company is current in payment of the fees of the Depository Trust Company (or such other established clearing corporation) in connection with such electronic transfer. The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shares of Common Stock, including the Closing Shares, the Option Shares, the Warrant Shares, the Pre-Funded Warrant Shares, and the Representative’s Warrant Shares, and (ii) Warrants have been approved for listing on the Nasdaq Capital Market.</w:t>
      </w:r>
    </w:p>
    <w:p w14:paraId="2A7D88B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2CF205E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(aa) </w:t>
      </w:r>
      <w:r w:rsidRPr="00AE3C59">
        <w:rPr>
          <w:rFonts w:ascii="Times New Roman" w:eastAsia="Times New Roman" w:hAnsi="Times New Roman" w:cs="Times New Roman"/>
          <w:sz w:val="20"/>
          <w:szCs w:val="20"/>
          <w:u w:val="single"/>
          <w:lang w:val="en-US" w:eastAsia="en-US" w:bidi="ar-SA"/>
        </w:rPr>
        <w:t>Compliance with Continued Listing Requirements</w:t>
      </w:r>
      <w:r w:rsidRPr="00AE3C59">
        <w:rPr>
          <w:rFonts w:ascii="Times New Roman" w:eastAsia="Times New Roman" w:hAnsi="Times New Roman" w:cs="Times New Roman"/>
          <w:sz w:val="20"/>
          <w:szCs w:val="20"/>
          <w:lang w:val="en-US" w:eastAsia="en-US" w:bidi="ar-SA"/>
        </w:rPr>
        <w:t>.  The Company has taken all necessary actions to ensure that, upon such time as the Nasdaq Stock Market LLC shall have approved the shares of Common Stock and Warrants for listing, it will be in compliance with all applicable corporate governance requirements set forth in the rules of the Nasdaq Stock Market LLC that are in effect.</w:t>
      </w:r>
    </w:p>
    <w:p w14:paraId="5BD8742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9EE1B0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(bb)  </w:t>
      </w:r>
      <w:r w:rsidRPr="00AE3C59">
        <w:rPr>
          <w:rFonts w:ascii="Times New Roman" w:eastAsia="Times New Roman" w:hAnsi="Times New Roman" w:cs="Times New Roman"/>
          <w:sz w:val="20"/>
          <w:szCs w:val="20"/>
          <w:u w:val="single"/>
          <w:lang w:val="en-US" w:eastAsia="en-US" w:bidi="ar-SA"/>
        </w:rPr>
        <w:t>Application of Takeover Protections</w:t>
      </w:r>
      <w:r w:rsidRPr="00AE3C59">
        <w:rPr>
          <w:rFonts w:ascii="Times New Roman" w:eastAsia="Times New Roman" w:hAnsi="Times New Roman" w:cs="Times New Roman"/>
          <w:sz w:val="20"/>
          <w:szCs w:val="20"/>
          <w:lang w:val="en-US" w:eastAsia="en-US" w:bidi="ar-SA"/>
        </w:rPr>
        <w:t>. The Company and the Board of Directors have taken all necessary action, if any, in order to render inapplicable any control share acquisition, business combination, poison pill (including any distribution under a rights agreement) or other similar anti-takeover provision under the Company’s certificates of incorporation (or similar charter documents) or the laws of its state of incorporation that is or could become applicable as a result of the Underwriters and the Company fulfilling their obligations or exercising their rights under the Transaction Documents.</w:t>
      </w:r>
    </w:p>
    <w:p w14:paraId="5E906B6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74682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(cc)  </w:t>
      </w:r>
      <w:r w:rsidRPr="00AE3C59">
        <w:rPr>
          <w:rFonts w:ascii="Times New Roman" w:eastAsia="Times New Roman" w:hAnsi="Times New Roman" w:cs="Times New Roman"/>
          <w:sz w:val="20"/>
          <w:szCs w:val="20"/>
          <w:u w:val="single"/>
          <w:lang w:val="en-US" w:eastAsia="en-US" w:bidi="ar-SA"/>
        </w:rPr>
        <w:t>Disclosure; 10b-5</w:t>
      </w:r>
      <w:r w:rsidRPr="00AE3C59">
        <w:rPr>
          <w:rFonts w:ascii="Times New Roman" w:eastAsia="Times New Roman" w:hAnsi="Times New Roman" w:cs="Times New Roman"/>
          <w:sz w:val="20"/>
          <w:szCs w:val="20"/>
          <w:lang w:val="en-US" w:eastAsia="en-US" w:bidi="ar-SA"/>
        </w:rPr>
        <w:t xml:space="preserve">. The Registration Statement (and any further documents to be filed with the Commission in connection with the Offering) contains all exhibits and schedules as required by the Securities Act. Each of the Registration Statement and any post-effective amendment thereto, if any, at the time it became effective, complied in all material respects with the Securities Act and the Exchange Act and the applicable rules and regulations under the Securities Act and did not and, as amended or supplemented, if applicable, will not, contain any untrue statement of a material fact or omit to state a material fact required to be stated therein or necessary to make the statements therein not misleading. The Preliminary Prospectus and the Prospectus, each as of its respective date, comply in all material respects with the Securities Act and the Exchange Act and the applicable rules and regulations. The Prospectus, as amended or supplemented, did not and will not contain as of the date thereof any untrue statement of a material fact or omit to state a material fact necessary in order to make the statements therein, in light of the circumstances under which they were made, not misleading; </w:t>
      </w:r>
      <w:r w:rsidRPr="00AE3C59">
        <w:rPr>
          <w:rFonts w:ascii="Times New Roman" w:eastAsia="Times New Roman" w:hAnsi="Times New Roman" w:cs="Times New Roman"/>
          <w:i/>
          <w:iCs/>
          <w:sz w:val="20"/>
          <w:szCs w:val="20"/>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i/>
          <w:iCs/>
          <w:sz w:val="20"/>
          <w:szCs w:val="20"/>
          <w:lang w:val="en-US" w:eastAsia="en-US" w:bidi="ar-SA"/>
        </w:rPr>
        <w:t>however</w:t>
      </w:r>
      <w:r w:rsidRPr="00AE3C59">
        <w:rPr>
          <w:rFonts w:ascii="Times New Roman" w:eastAsia="Times New Roman" w:hAnsi="Times New Roman" w:cs="Times New Roman"/>
          <w:sz w:val="20"/>
          <w:szCs w:val="20"/>
          <w:lang w:val="en-US" w:eastAsia="en-US" w:bidi="ar-SA"/>
        </w:rPr>
        <w:t>, that this representation and warranty shall not apply to the Underwriters’ Information. As of its date and the date hereof, the General Disclosure Package did not and does not include any untrue statement of a material fact or omitted to state any material fact necessary in order to make the statements therein, in the light of the circumstances under which they were made, not misleading. The SEC Reports, when they were filed with the Commission, conformed in all material respects to the requirements of the Securities Act and the Exchange Act, as applicable, and the applicable rules and regulations, and none of such documents, when they were filed with the Commission, contained any untrue statement of a material fact or omitted to state a material fact necessary to make the statements therein (with respect to the SEC Reports incorporated by reference in the Prospectus), in light of the circumstances under which they were made not misleading; and any further documents so filed and incorporated by reference in the Prospectus, when such documents are filed with the Commission, will conform in all material respects to the requirements of the Exchange Act and the applicable rules and regulations, as applicable, and will not contain any untrue statement of a material fact or omit to state a material fact necessary to make the statements therein, in light of the circumstances under which they were made not misleading. No post-effective amendment to the Registration Statement reflecting any facts or events arising after the date thereof which represent, individually or in the aggregate, a fundamental change in the information set forth therein is required to be filed with the Commission. There are no documents required to be filed with the Commission in connection with the transaction contemplated hereby that (x) have not been filed as required pursuant to the Securities Act or (y) will not be filed within the requisite time period. There are no contracts or other documents required to be described in the Preliminary Prospectus or Prospectus, or to be filed as exhibits or schedules to the Registration Statement, which have not been described or filed as required. The press releases disseminated by the Company during the twelve months preceding the date of this Agreement taken as a whole do not contain any untrue statement of a material fact or omit to state a material fact required to be stated therein or necessary in order to make the statements therein, in light of the circumstances under which they were made and when made, not misleading.</w:t>
      </w:r>
    </w:p>
    <w:p w14:paraId="3DCC09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578B530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(dd)  </w:t>
      </w:r>
      <w:r w:rsidRPr="00AE3C59">
        <w:rPr>
          <w:rFonts w:ascii="Times New Roman" w:eastAsia="Times New Roman" w:hAnsi="Times New Roman" w:cs="Times New Roman"/>
          <w:sz w:val="20"/>
          <w:szCs w:val="20"/>
          <w:u w:val="single"/>
          <w:lang w:val="en-US" w:eastAsia="en-US" w:bidi="ar-SA"/>
        </w:rPr>
        <w:t>No Integrated Offering</w:t>
      </w:r>
      <w:r w:rsidRPr="00AE3C59">
        <w:rPr>
          <w:rFonts w:ascii="Times New Roman" w:eastAsia="Times New Roman" w:hAnsi="Times New Roman" w:cs="Times New Roman"/>
          <w:sz w:val="20"/>
          <w:szCs w:val="20"/>
          <w:lang w:val="en-US" w:eastAsia="en-US" w:bidi="ar-SA"/>
        </w:rPr>
        <w:t>. Neither the Company, nor any of its Affiliates, nor any Person acting on its or their behalf has, directly or indirectly, made any offers or sales of any security or solicited any offers to buy any security, under circumstances that would cause this Offering of the Securities to be integrated with prior offerings by the Company for purposes of any applicable shareholder approval provisions of any Trading Market on which any of the securities of the Company are listed or designated.</w:t>
      </w:r>
    </w:p>
    <w:p w14:paraId="16FD4D0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7FAC7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ee</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Solvency</w:t>
      </w:r>
      <w:r w:rsidRPr="00AE3C59">
        <w:rPr>
          <w:rFonts w:ascii="Times New Roman" w:eastAsia="Times New Roman" w:hAnsi="Times New Roman" w:cs="Times New Roman"/>
          <w:sz w:val="20"/>
          <w:szCs w:val="20"/>
          <w:lang w:val="en-US" w:eastAsia="en-US" w:bidi="ar-SA"/>
        </w:rPr>
        <w:t>. Based on the consolidated financial condition of the Company as of the Closing Date, after giving effect to the receipt by the Company of the proceeds from the sale of the Securities hereunder,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fair saleable value of the Company’s assets exceeds the amount that will be required to be paid on or in respect of the Company’s existing debts and other liabilities (including known contingent liabilities) as they mature, (ii) the </w:t>
      </w:r>
      <w:r w:rsidRPr="00AE3C59">
        <w:rPr>
          <w:rFonts w:ascii="Times New Roman" w:eastAsia="Times New Roman" w:hAnsi="Times New Roman" w:cs="Times New Roman"/>
          <w:sz w:val="20"/>
          <w:szCs w:val="20"/>
          <w:lang w:val="en-US" w:eastAsia="en-US" w:bidi="ar-SA"/>
        </w:rPr>
        <w:lastRenderedPageBreak/>
        <w:t>Company’s assets do not constitute unreasonably small capital to carry on its business as now conducted and as proposed to be conducted including its capital needs taking into account the particular capital requirements of the business conducted by the Company, consolidated and projected capital requirements and capital availability thereof, through early 2022, and (iii) the current cash flow of the Company, together with the proceeds the Company would receive, were it to liquidate all of its assets, after taking into account all anticipated uses of the cash, would be sufficient to pay all amounts on or in respect of its liabilities when such amounts are required to be paid. The Company does not intend to incur debts beyond its ability to pay such debts as they mature (taking into account the timing and amounts of cash to be payable on or in respect of its debt). The Company has no knowledge of any facts or circumstances which lead it to believe that it will file for reorganization or liquidation under the bankruptcy or reorganization laws of any jurisdiction within one year from the Closing Date. Neither the Company nor any Subsidiary is in default with respect to any Indebtedness.</w:t>
      </w:r>
    </w:p>
    <w:p w14:paraId="530895F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B6F0AA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(ff)  </w:t>
      </w:r>
      <w:r w:rsidRPr="00AE3C59">
        <w:rPr>
          <w:rFonts w:ascii="Times New Roman" w:eastAsia="Times New Roman" w:hAnsi="Times New Roman" w:cs="Times New Roman"/>
          <w:sz w:val="20"/>
          <w:szCs w:val="20"/>
          <w:u w:val="single"/>
          <w:lang w:val="en-US" w:eastAsia="en-US" w:bidi="ar-SA"/>
        </w:rPr>
        <w:t>Tax Status</w:t>
      </w:r>
      <w:r w:rsidRPr="00AE3C59">
        <w:rPr>
          <w:rFonts w:ascii="Times New Roman" w:eastAsia="Times New Roman" w:hAnsi="Times New Roman" w:cs="Times New Roman"/>
          <w:sz w:val="20"/>
          <w:szCs w:val="20"/>
          <w:lang w:val="en-US" w:eastAsia="en-US" w:bidi="ar-SA"/>
        </w:rPr>
        <w:t>. Except for matters that would not, individually or in the aggregate, have or reasonably be expected to result in a Material Adverse Effect, the Company and the Subsidiaries each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has made or filed all United States federal, state and local income and all foreign income and franchise tax returns, reports and declarations required by any jurisdiction to which it is subject, (ii) has paid all taxes and other governmental assessments and charges that are material in amount, shown or determined to be due on such returns, reports and declarations and (iii) has set aside on its books provision reasonably adequate for the payment of all material taxes for periods subsequent to the periods to which such returns, reports or declarations apply. There are no unpaid taxes in any material amount claimed to be due by the taxing authority of any jurisdiction, and the officers of the Company or of any Subsidiary know of no basis for any such claim. The provisions for taxes payable, if any, shown on the financial statements filed with or as part of the Registration Statement are sufficient for all accrued and unpaid taxes, whether or not disputed, and for all periods to and including the dates of such consolidated financial statements. The term “taxes” mean all federal, state, local, foreign, and other net income, gross income, gross receipts, sales, use, ad valorem, transfer, franchise, profits, license, lease, service, service use, withholding, payroll, employment, excise, severance, stamp, occupation, premium, property, windfall profits, customs, duties or other taxes, fees, assessments, or charges of any kind whatsoever, together with any interest and any penalties, additions to tax, or additional amounts with respect thereto. The term “returns” means all returns, declarations, reports, statements, and other documents required to be filed in respect to taxes.</w:t>
      </w:r>
    </w:p>
    <w:p w14:paraId="3DF8E9F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135344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(gg)  </w:t>
      </w:r>
      <w:r w:rsidRPr="00AE3C59">
        <w:rPr>
          <w:rFonts w:ascii="Times New Roman" w:eastAsia="Times New Roman" w:hAnsi="Times New Roman" w:cs="Times New Roman"/>
          <w:sz w:val="20"/>
          <w:szCs w:val="20"/>
          <w:u w:val="single"/>
          <w:lang w:val="en-US" w:eastAsia="en-US" w:bidi="ar-SA"/>
        </w:rPr>
        <w:t>Foreign Corrupt Practices</w:t>
      </w:r>
      <w:r w:rsidRPr="00AE3C59">
        <w:rPr>
          <w:rFonts w:ascii="Times New Roman" w:eastAsia="Times New Roman" w:hAnsi="Times New Roman" w:cs="Times New Roman"/>
          <w:sz w:val="20"/>
          <w:szCs w:val="20"/>
          <w:lang w:val="en-US" w:eastAsia="en-US" w:bidi="ar-SA"/>
        </w:rPr>
        <w:t>. Neither the Company nor any Subsidiary, nor to the knowledge of the Company or any Subsidiary, any agent or other person acting on behalf of the Company or any Subsidiary, has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directly or indirectly, used any funds for unlawful contributions, gifts, entertainment or other unlawful expenses related to foreign or domestic political activity, (ii) made any unlawful payment to foreign or domestic government officials or employees or to any foreign or domestic political parties or campaigns from corporate funds, (iii) failed to disclose fully any contribution made by the Company or any Subsidiary (or made by any person acting on its behalf of which the Company is aware) which is in violation of law, or (iv) violated in any material respect any provision of FCPA. The Company has taken reasonable steps to ensure that its accounting controls and procedures are sufficient to cause the Company to comply in all material respects with the FCPA.</w:t>
      </w:r>
    </w:p>
    <w:p w14:paraId="412439F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D00029"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hh</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Accountants</w:t>
      </w:r>
      <w:r w:rsidRPr="00AE3C59">
        <w:rPr>
          <w:rFonts w:ascii="Times New Roman" w:eastAsia="Times New Roman" w:hAnsi="Times New Roman" w:cs="Times New Roman"/>
          <w:sz w:val="20"/>
          <w:szCs w:val="20"/>
          <w:lang w:val="en-US" w:eastAsia="en-US" w:bidi="ar-SA"/>
        </w:rPr>
        <w:t>. To the knowledge and belief of the Company, the Company Auditor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 an independent registered public accounting firm as required by the Exchange Act and (ii) shall express its opinion with respect to the financial statements to be included in the Company’s Annual Report for the fiscal year ending December 31, 2020.</w:t>
      </w:r>
    </w:p>
    <w:p w14:paraId="37A2F96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472D2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(ii)  </w:t>
      </w:r>
      <w:r w:rsidRPr="00AE3C59">
        <w:rPr>
          <w:rFonts w:ascii="Times New Roman" w:eastAsia="Times New Roman" w:hAnsi="Times New Roman" w:cs="Times New Roman"/>
          <w:sz w:val="20"/>
          <w:szCs w:val="20"/>
          <w:u w:val="single"/>
          <w:lang w:val="en-US" w:eastAsia="en-US" w:bidi="ar-SA"/>
        </w:rPr>
        <w:t>Regulatory</w:t>
      </w:r>
      <w:r w:rsidRPr="00AE3C59">
        <w:rPr>
          <w:rFonts w:ascii="Times New Roman" w:eastAsia="Times New Roman" w:hAnsi="Times New Roman" w:cs="Times New Roman"/>
          <w:sz w:val="20"/>
          <w:szCs w:val="20"/>
          <w:lang w:val="en-US" w:eastAsia="en-US" w:bidi="ar-SA"/>
        </w:rPr>
        <w:t>. The Company and the Subsidiaries possess all certificates, authorizations and permits issued by the appropriate federal, state, local or foreign regulatory authorities, or by any similar foreign, federal, state or local governmental or regulatory authority performing functions similar to those performed by such authorities necessary to conduct their respective businesses as described in the Registration Statement, the General Disclosure Package or the Prospectus, except where the failure to possess such permits could not reasonably be expected to result in a Material Adverse Effect (each, a “</w:t>
      </w:r>
      <w:r w:rsidRPr="00AE3C59">
        <w:rPr>
          <w:rFonts w:ascii="Times New Roman" w:eastAsia="Times New Roman" w:hAnsi="Times New Roman" w:cs="Times New Roman"/>
          <w:sz w:val="20"/>
          <w:szCs w:val="20"/>
          <w:u w:val="single"/>
          <w:lang w:val="en-US" w:eastAsia="en-US" w:bidi="ar-SA"/>
        </w:rPr>
        <w:t>Material Permit</w:t>
      </w:r>
      <w:r w:rsidRPr="00AE3C59">
        <w:rPr>
          <w:rFonts w:ascii="Times New Roman" w:eastAsia="Times New Roman" w:hAnsi="Times New Roman" w:cs="Times New Roman"/>
          <w:sz w:val="20"/>
          <w:szCs w:val="20"/>
          <w:lang w:val="en-US" w:eastAsia="en-US" w:bidi="ar-SA"/>
        </w:rPr>
        <w:t>”), and neither the Company nor any Subsidiary has received any notice of proceedings relating to the revocation or modification of any Material Permit. The disclosures in the Registration Statement concerning the effects of federal, state, local and all foreign regulation on the Company’s business as currently contemplated are correct in all material respects.</w:t>
      </w:r>
    </w:p>
    <w:p w14:paraId="7F9BFC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E28D6E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jj</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Stock Option Plans</w:t>
      </w:r>
      <w:r w:rsidRPr="00AE3C59">
        <w:rPr>
          <w:rFonts w:ascii="Times New Roman" w:eastAsia="Times New Roman" w:hAnsi="Times New Roman" w:cs="Times New Roman"/>
          <w:sz w:val="20"/>
          <w:szCs w:val="20"/>
          <w:lang w:val="en-US" w:eastAsia="en-US" w:bidi="ar-SA"/>
        </w:rPr>
        <w:t>. Each stock option granted by the Company under the Company’s stock option plan was granted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in accordance with the terms of the Company’s stock option plan and (ii) with an exercise price at least equal to the fair market value of the Common Stock on the date such stock option would be considered granted </w:t>
      </w:r>
      <w:r w:rsidRPr="00AE3C59">
        <w:rPr>
          <w:rFonts w:ascii="Times New Roman" w:eastAsia="Times New Roman" w:hAnsi="Times New Roman" w:cs="Times New Roman"/>
          <w:sz w:val="20"/>
          <w:szCs w:val="20"/>
          <w:lang w:val="en-US" w:eastAsia="en-US" w:bidi="ar-SA"/>
        </w:rPr>
        <w:lastRenderedPageBreak/>
        <w:t>under GAAP and applicable law. No stock option granted under the Company’s stock option plan has been backdated. The Company has not knowingly granted, and there is no and has been no Company policy or practice to knowingly grant, stock options prior to, or otherwise knowingly coordinate the grant of stock options with, the release or other public announcement of material information regarding the Company or the Subsidiaries or their financial results or prospects.</w:t>
      </w:r>
    </w:p>
    <w:p w14:paraId="1FC845F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131C2F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(kk)  </w:t>
      </w:r>
      <w:r w:rsidRPr="00AE3C59">
        <w:rPr>
          <w:rFonts w:ascii="Times New Roman" w:eastAsia="Times New Roman" w:hAnsi="Times New Roman" w:cs="Times New Roman"/>
          <w:sz w:val="20"/>
          <w:szCs w:val="20"/>
          <w:u w:val="single"/>
          <w:lang w:val="en-US" w:eastAsia="en-US" w:bidi="ar-SA"/>
        </w:rPr>
        <w:t>Office of Foreign Assets Control</w:t>
      </w:r>
      <w:r w:rsidRPr="00AE3C59">
        <w:rPr>
          <w:rFonts w:ascii="Times New Roman" w:eastAsia="Times New Roman" w:hAnsi="Times New Roman" w:cs="Times New Roman"/>
          <w:sz w:val="20"/>
          <w:szCs w:val="20"/>
          <w:lang w:val="en-US" w:eastAsia="en-US" w:bidi="ar-SA"/>
        </w:rPr>
        <w:t>. Neither the Company nor any Subsidiary nor, to the Company’s knowledge, any director, officer, agent, employee or affiliate of the Company or any Subsidiary is currently subject to any U.S. sanctions administered by the Office of Foreign Assets Control of the U.S. Treasury Department.</w:t>
      </w:r>
    </w:p>
    <w:p w14:paraId="4D125A1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4164F89"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ll</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U.S. Real Property Holding Corporation</w:t>
      </w:r>
      <w:r w:rsidRPr="00AE3C59">
        <w:rPr>
          <w:rFonts w:ascii="Times New Roman" w:eastAsia="Times New Roman" w:hAnsi="Times New Roman" w:cs="Times New Roman"/>
          <w:sz w:val="20"/>
          <w:szCs w:val="20"/>
          <w:lang w:val="en-US" w:eastAsia="en-US" w:bidi="ar-SA"/>
        </w:rPr>
        <w:t>. The Company is not and has never been a U.S. real property holding corporation within the meaning of Section 897 of the Internal Revenue Code of 1986, as amended, and the Company shall so certify upon the Representative’s request.</w:t>
      </w:r>
    </w:p>
    <w:p w14:paraId="76F6234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BB4DCF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(mm)  </w:t>
      </w:r>
      <w:r w:rsidRPr="00AE3C59">
        <w:rPr>
          <w:rFonts w:ascii="Times New Roman" w:eastAsia="Times New Roman" w:hAnsi="Times New Roman" w:cs="Times New Roman"/>
          <w:sz w:val="20"/>
          <w:szCs w:val="20"/>
          <w:u w:val="single"/>
          <w:lang w:val="en-US" w:eastAsia="en-US" w:bidi="ar-SA"/>
        </w:rPr>
        <w:t>Bank Holding Company Act</w:t>
      </w:r>
      <w:r w:rsidRPr="00AE3C59">
        <w:rPr>
          <w:rFonts w:ascii="Times New Roman" w:eastAsia="Times New Roman" w:hAnsi="Times New Roman" w:cs="Times New Roman"/>
          <w:sz w:val="20"/>
          <w:szCs w:val="20"/>
          <w:lang w:val="en-US" w:eastAsia="en-US" w:bidi="ar-SA"/>
        </w:rPr>
        <w:t>. Neither the Company nor any of the Subsidiaries or Affiliates is subject to the Bank Holding Company Act of 1956, as amended (the “</w:t>
      </w:r>
      <w:r w:rsidRPr="00AE3C59">
        <w:rPr>
          <w:rFonts w:ascii="Times New Roman" w:eastAsia="Times New Roman" w:hAnsi="Times New Roman" w:cs="Times New Roman"/>
          <w:sz w:val="20"/>
          <w:szCs w:val="20"/>
          <w:u w:val="single"/>
          <w:lang w:val="en-US" w:eastAsia="en-US" w:bidi="ar-SA"/>
        </w:rPr>
        <w:t>BHCA</w:t>
      </w:r>
      <w:r w:rsidRPr="00AE3C59">
        <w:rPr>
          <w:rFonts w:ascii="Times New Roman" w:eastAsia="Times New Roman" w:hAnsi="Times New Roman" w:cs="Times New Roman"/>
          <w:sz w:val="20"/>
          <w:szCs w:val="20"/>
          <w:lang w:val="en-US" w:eastAsia="en-US" w:bidi="ar-SA"/>
        </w:rPr>
        <w:t>”) and to regulation by the Board of Governors of the Federal Reserve System (the “</w:t>
      </w:r>
      <w:r w:rsidRPr="00AE3C59">
        <w:rPr>
          <w:rFonts w:ascii="Times New Roman" w:eastAsia="Times New Roman" w:hAnsi="Times New Roman" w:cs="Times New Roman"/>
          <w:sz w:val="20"/>
          <w:szCs w:val="20"/>
          <w:u w:val="single"/>
          <w:lang w:val="en-US" w:eastAsia="en-US" w:bidi="ar-SA"/>
        </w:rPr>
        <w:t>Federal Reserve</w:t>
      </w:r>
      <w:r w:rsidRPr="00AE3C59">
        <w:rPr>
          <w:rFonts w:ascii="Times New Roman" w:eastAsia="Times New Roman" w:hAnsi="Times New Roman" w:cs="Times New Roman"/>
          <w:sz w:val="20"/>
          <w:szCs w:val="20"/>
          <w:lang w:val="en-US" w:eastAsia="en-US" w:bidi="ar-SA"/>
        </w:rPr>
        <w:t>”). Neither the Company nor any of the Subsidiaries or Affiliates owns or controls, directly or indirectly, five percent (5%) or more of the outstanding shares of any class of voting securities or twenty-five percent (25%) or more of the total equity of a bank or any entity that is subject to the BHCA and to regulation by the Federal Reserve. Neither the Company nor any of the Subsidiaries or Affiliates exercises a controlling influence over the management or policies of a bank or any entity that is subject to the BHCA and to regulation by the Federal Reserve.</w:t>
      </w:r>
    </w:p>
    <w:p w14:paraId="448EFA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C1CAA2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nn</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Money Laundering</w:t>
      </w:r>
      <w:r w:rsidRPr="00AE3C59">
        <w:rPr>
          <w:rFonts w:ascii="Times New Roman" w:eastAsia="Times New Roman" w:hAnsi="Times New Roman" w:cs="Times New Roman"/>
          <w:sz w:val="20"/>
          <w:szCs w:val="20"/>
          <w:lang w:val="en-US" w:eastAsia="en-US" w:bidi="ar-SA"/>
        </w:rPr>
        <w:t>. The operations of the Company and the Subsidiaries are and have been conducted at all times in compliance with applicable financial record-keeping and reporting requirements of the Currency and Foreign Transactions Reporting Act of 1970, as amended, applicable money laundering statutes and applicable rules and regulations thereunder (collectively, the “</w:t>
      </w:r>
      <w:r w:rsidRPr="00AE3C59">
        <w:rPr>
          <w:rFonts w:ascii="Times New Roman" w:eastAsia="Times New Roman" w:hAnsi="Times New Roman" w:cs="Times New Roman"/>
          <w:sz w:val="20"/>
          <w:szCs w:val="20"/>
          <w:u w:val="single"/>
          <w:lang w:val="en-US" w:eastAsia="en-US" w:bidi="ar-SA"/>
        </w:rPr>
        <w:t>Money Laundering Laws</w:t>
      </w:r>
      <w:r w:rsidRPr="00AE3C59">
        <w:rPr>
          <w:rFonts w:ascii="Times New Roman" w:eastAsia="Times New Roman" w:hAnsi="Times New Roman" w:cs="Times New Roman"/>
          <w:sz w:val="20"/>
          <w:szCs w:val="20"/>
          <w:lang w:val="en-US" w:eastAsia="en-US" w:bidi="ar-SA"/>
        </w:rPr>
        <w:t>”), and no action, suit or proceeding by or before any court or governmental agency, authority or body or any arbitrator involving the Company or any Subsidiary with respect to the Money Laundering Laws is pending or, to the knowledge of the Company or any Subsidiary, threatened.</w:t>
      </w:r>
    </w:p>
    <w:p w14:paraId="32B79E2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493B737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oo</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D&amp;O Questionnaires</w:t>
      </w:r>
      <w:r w:rsidRPr="00AE3C59">
        <w:rPr>
          <w:rFonts w:ascii="Times New Roman" w:eastAsia="Times New Roman" w:hAnsi="Times New Roman" w:cs="Times New Roman"/>
          <w:sz w:val="20"/>
          <w:szCs w:val="20"/>
          <w:lang w:val="en-US" w:eastAsia="en-US" w:bidi="ar-SA"/>
        </w:rPr>
        <w:t>. To the Company’s knowledge, all information contained in the questionnaires completed by each of the Company’s directors and officers immediately prior to the Offering is true and correct in all respects and the Company has not become aware of any information which would cause the information disclosed in such questionnaires to become inaccurate and incorrect.</w:t>
      </w:r>
    </w:p>
    <w:p w14:paraId="08CA987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F48ECF1"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(pp)  </w:t>
      </w:r>
      <w:r w:rsidRPr="00AE3C59">
        <w:rPr>
          <w:rFonts w:ascii="Times New Roman" w:eastAsia="Times New Roman" w:hAnsi="Times New Roman" w:cs="Times New Roman"/>
          <w:sz w:val="20"/>
          <w:szCs w:val="20"/>
          <w:u w:val="single"/>
          <w:lang w:val="en-US" w:eastAsia="en-US" w:bidi="ar-SA"/>
        </w:rPr>
        <w:t>FINRA Affiliation</w:t>
      </w:r>
      <w:r w:rsidRPr="00AE3C59">
        <w:rPr>
          <w:rFonts w:ascii="Times New Roman" w:eastAsia="Times New Roman" w:hAnsi="Times New Roman" w:cs="Times New Roman"/>
          <w:sz w:val="20"/>
          <w:szCs w:val="20"/>
          <w:lang w:val="en-US" w:eastAsia="en-US" w:bidi="ar-SA"/>
        </w:rPr>
        <w:t xml:space="preserve">. No officer, director or, to our knowledge, any beneficial owner of 5% or more of the Company’s shares of Common Stock or Common Stock Equivalents, has any direct or indirect affiliation or association with any FINRA member (as determined in accordance with the rules and regulations of FINRA) that is participating in the Offering. Except for securities purchased on the open market, no Company Affiliate is an owner of stock or other securities of any member of FINRA. No Company Affiliate has made a subordinated loan to any member of FINRA. No proceeds from the sale of the Securities (excluding underwriting compensation as disclosed in the Registration Statement and the Prospectus) will be paid to any FINRA member, any persons associated with a FINRA member or an affiliate of a FINRA member. Except as disclosed in the Prospectus, the Company has not issued any warrants or other securities or granted any options, directly or indirectly, to the Representative or any of the Underwriters named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hereto within the 180-day period prior to the initial filing date of the Prospectus. Except as disclosed in the Registration Statement and except for securities issued to the Representative as disclosed in the Prospectus and securities sold by the Representative on behalf of the Company, no person to whom securities of the Company have been privately issued within the 180-day period prior to the initial filing date of the Prospectus is a FINRA member, is a person associated with a FINRA member or is an affiliate of a FINRA member. To the Company’s knowledge, no FINRA member participating in the Offering has a conflict of interest with the Company. For this purpose, a “conflict of interest” exists when a FINRA member, the parent or affiliate of a FINRA member or any person associated with a FINRA member in the aggregate beneficially own 5% or more of the Company’s outstanding subordinated debt or common equity, or 5% or more of the Company’s preferred equity. “FINRA member participating in the Offering” includes any associated person of a FINRA member that is participating in the Offering, any member of such associated person’s immediate family and any affiliate of a FINRA member that is participating in the Offering. “Any person associated with a FINRA member” means (1) a natural person who is registered or has applied for registration under the rules of FINRA and (2) a sole proprietor, partner, </w:t>
      </w:r>
      <w:r w:rsidRPr="00AE3C59">
        <w:rPr>
          <w:rFonts w:ascii="Times New Roman" w:eastAsia="Times New Roman" w:hAnsi="Times New Roman" w:cs="Times New Roman"/>
          <w:sz w:val="20"/>
          <w:szCs w:val="20"/>
          <w:lang w:val="en-US" w:eastAsia="en-US" w:bidi="ar-SA"/>
        </w:rPr>
        <w:lastRenderedPageBreak/>
        <w:t xml:space="preserve">officer, director, or branch manager of a FINRA member, or other natural person occupying a similar status or performing similar functions, or a natural person engaged in the investment banking or securities business who is directly or indirectly controlling or controlled by a FINRA member. When used in this </w:t>
      </w:r>
      <w:r w:rsidRPr="00AE3C59">
        <w:rPr>
          <w:rFonts w:ascii="Times New Roman" w:eastAsia="Times New Roman" w:hAnsi="Times New Roman" w:cs="Times New Roman"/>
          <w:sz w:val="20"/>
          <w:szCs w:val="20"/>
          <w:u w:val="single"/>
          <w:lang w:val="en-US" w:eastAsia="en-US" w:bidi="ar-SA"/>
        </w:rPr>
        <w:t>Section 3.1(pp)</w:t>
      </w:r>
      <w:r w:rsidRPr="00AE3C59">
        <w:rPr>
          <w:rFonts w:ascii="Times New Roman" w:eastAsia="Times New Roman" w:hAnsi="Times New Roman" w:cs="Times New Roman"/>
          <w:sz w:val="20"/>
          <w:szCs w:val="20"/>
          <w:lang w:val="en-US" w:eastAsia="en-US" w:bidi="ar-SA"/>
        </w:rPr>
        <w:t xml:space="preserve"> the term “affiliate of a FINRA member” or “affiliated with a FINRA member” means an entity that controls, is controlled by or is under common control with a FINRA member. The Company will advise the Representative and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if it learns that any officer, director or owner of 5% or more of the Company’s outstanding shares of Common Stock or Common Stock Equivalents is or becomes an affiliate or associated person of a FINRA member firm.</w:t>
      </w:r>
    </w:p>
    <w:p w14:paraId="0BB6CB3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9EEBDF"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qq</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Officers’ Certificate</w:t>
      </w:r>
      <w:r w:rsidRPr="00AE3C59">
        <w:rPr>
          <w:rFonts w:ascii="Times New Roman" w:eastAsia="Times New Roman" w:hAnsi="Times New Roman" w:cs="Times New Roman"/>
          <w:sz w:val="20"/>
          <w:szCs w:val="20"/>
          <w:lang w:val="en-US" w:eastAsia="en-US" w:bidi="ar-SA"/>
        </w:rPr>
        <w:t xml:space="preserve">. Any certificate signed by any duly authorized officer of the Company and delivered to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on behalf of the Representative shall be deemed a representation and warranty by the Company to the Underwriters as to the matters covered thereby.</w:t>
      </w:r>
    </w:p>
    <w:p w14:paraId="31CBC39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1C7D1B"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rr</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Board of Directors</w:t>
      </w:r>
      <w:r w:rsidRPr="00AE3C59">
        <w:rPr>
          <w:rFonts w:ascii="Times New Roman" w:eastAsia="Times New Roman" w:hAnsi="Times New Roman" w:cs="Times New Roman"/>
          <w:sz w:val="20"/>
          <w:szCs w:val="20"/>
          <w:lang w:val="en-US" w:eastAsia="en-US" w:bidi="ar-SA"/>
        </w:rPr>
        <w:t>. The Board of Directors is comprised of the persons set forth under the heading of the Prospectus captioned “Management and Board of Directors.” The qualifications of the persons serving as board members and the overall composition of the Board of Directors comply with the Sarbanes-Oxley Act of 2002 and the rules promulgated thereunder applicable to the Company and the rules of the Trading Market. At least one member of the Board of Directors qualifies as a “financial expert” as such term is defined under the Sarbanes-Oxley Act of 2002 and the rules promulgated thereunder and the rules of the Trading Market. In addition, at least a majority of the persons serving on the Board of Directors qualify as “independent” as defined under the rules of the Trading Market.</w:t>
      </w:r>
    </w:p>
    <w:p w14:paraId="6CF8668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082FEE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(ss)  </w:t>
      </w:r>
      <w:r w:rsidRPr="00AE3C59">
        <w:rPr>
          <w:rFonts w:ascii="Times New Roman" w:eastAsia="Times New Roman" w:hAnsi="Times New Roman" w:cs="Times New Roman"/>
          <w:sz w:val="20"/>
          <w:szCs w:val="20"/>
          <w:u w:val="single"/>
          <w:lang w:val="en-US" w:eastAsia="en-US" w:bidi="ar-SA"/>
        </w:rPr>
        <w:t>ERISA</w:t>
      </w:r>
      <w:r w:rsidRPr="00AE3C59">
        <w:rPr>
          <w:rFonts w:ascii="Times New Roman" w:eastAsia="Times New Roman" w:hAnsi="Times New Roman" w:cs="Times New Roman"/>
          <w:sz w:val="20"/>
          <w:szCs w:val="20"/>
          <w:lang w:val="en-US" w:eastAsia="en-US" w:bidi="ar-SA"/>
        </w:rPr>
        <w:t>. The Company is not a party to an “employee benefit plan,” as defined in Section 3(3) of the Employee Retirement Income Security Act of 1974, as amended (“</w:t>
      </w:r>
      <w:r w:rsidRPr="00AE3C59">
        <w:rPr>
          <w:rFonts w:ascii="Times New Roman" w:eastAsia="Times New Roman" w:hAnsi="Times New Roman" w:cs="Times New Roman"/>
          <w:sz w:val="20"/>
          <w:szCs w:val="20"/>
          <w:u w:val="single"/>
          <w:lang w:val="en-US" w:eastAsia="en-US" w:bidi="ar-SA"/>
        </w:rPr>
        <w:t>ERISA</w:t>
      </w:r>
      <w:r w:rsidRPr="00AE3C59">
        <w:rPr>
          <w:rFonts w:ascii="Times New Roman" w:eastAsia="Times New Roman" w:hAnsi="Times New Roman" w:cs="Times New Roman"/>
          <w:sz w:val="20"/>
          <w:szCs w:val="20"/>
          <w:lang w:val="en-US" w:eastAsia="en-US" w:bidi="ar-SA"/>
        </w:rPr>
        <w:t>”), which: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 subject to any provision of ERISA and (ii) is or was at any time maintained, administered or contributed to by the Company or any of its ERISA Affiliates (as defined hereafter). These plans are referred to collectively herein as the “Employee Plans.” An “ERISA Affiliate” of any person or entity means any other person or entity which, together with that person or entity, could be treated as a single employer under Section 414(b), (c), (m) or (o) of the Internal Revenue Code of 1986, as amended (the “</w:t>
      </w:r>
      <w:r w:rsidRPr="00AE3C59">
        <w:rPr>
          <w:rFonts w:ascii="Times New Roman" w:eastAsia="Times New Roman" w:hAnsi="Times New Roman" w:cs="Times New Roman"/>
          <w:sz w:val="20"/>
          <w:szCs w:val="20"/>
          <w:u w:val="single"/>
          <w:lang w:val="en-US" w:eastAsia="en-US" w:bidi="ar-SA"/>
        </w:rPr>
        <w:t>Code</w:t>
      </w:r>
      <w:r w:rsidRPr="00AE3C59">
        <w:rPr>
          <w:rFonts w:ascii="Times New Roman" w:eastAsia="Times New Roman" w:hAnsi="Times New Roman" w:cs="Times New Roman"/>
          <w:sz w:val="20"/>
          <w:szCs w:val="20"/>
          <w:lang w:val="en-US" w:eastAsia="en-US" w:bidi="ar-SA"/>
        </w:rPr>
        <w:t>”). Each Employee Plan has been maintained in material compliance with its terms and the requirements of applicable law. No Employee Plan is subject to Title IV of ERISA. The Registration Statement, Preliminary Prospectus and the Prospectus identify each employment, severance or other similar agreement, arrangement or policy and each material plan or arrangement required to be disclosed pursuant to the Rules and Regulations providing for insurance coverage (including any self-insured arrangements), workers’ compensation, disability benefits, severance benefits, supplemental unemployment benefits, vacation benefits or retirement benefits, or deferred compensation, profit-sharing, bonuses, stock options, stock appreciation rights or other forms of incentive compensation, or post-retirement insurance, compensation or benefits, which: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is not an Employee Plan; (ii) is entered into, maintained or contributed to, as the case may be, by the Company or any of its ERISA Affiliates; and (iii) covers any officer or director or former officer or director of the Company or any of its ERISA Affiliates. These agreements, arrangements, policies or plans are referred to collectively as “Benefit Arrangements.” Each Benefit Arrangement has been maintained in material compliance with its terms and with the requirements of applicable law. Except as disclosed in the Registration Statement, Preliminary Prospectus and the Prospectus, there is no liability in respect of post-retirement health and medical benefits for retired employees of the Company or any of its ERISA Affiliates, other than medical benefits required to be continued under applicable law. No “prohibited transaction” (as defined in either Section 406 of ERISA or Section 4975 of the Code) has occurred with respect to any Employee Plan; and each Employee Plan that is intended to be qualified under Section 401(a) of the Code is so qualified, and nothing has occurred, whether by action or by failure to act, which could cause the loss of such qualification.</w:t>
      </w:r>
    </w:p>
    <w:p w14:paraId="0C788E2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F2192E"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tt</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IT Systems</w:t>
      </w:r>
      <w:r w:rsidRPr="00AE3C59">
        <w:rPr>
          <w:rFonts w:ascii="Times New Roman" w:eastAsia="Times New Roman" w:hAnsi="Times New Roman" w:cs="Times New Roman"/>
          <w:sz w:val="20"/>
          <w:szCs w:val="20"/>
          <w:lang w:val="en-US" w:eastAsia="en-US" w:bidi="ar-SA"/>
        </w:rPr>
        <w:t>. Except as would not, individually or in the aggregate, have a Material Adverse Effect, the Company reasonably believes that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Company and the Subsidiaries own or have a valid right to access and use all computer systems, networks, hardware, software, databases, websites, and equipment used to process, store, maintain and operate data, information, and functions used in connection with the business of the Company and the Subsidiaries (the “</w:t>
      </w:r>
      <w:r w:rsidRPr="00AE3C59">
        <w:rPr>
          <w:rFonts w:ascii="Times New Roman" w:eastAsia="Times New Roman" w:hAnsi="Times New Roman" w:cs="Times New Roman"/>
          <w:sz w:val="20"/>
          <w:szCs w:val="20"/>
          <w:u w:val="single"/>
          <w:lang w:val="en-US" w:eastAsia="en-US" w:bidi="ar-SA"/>
        </w:rPr>
        <w:t>Company IT Systems</w:t>
      </w:r>
      <w:r w:rsidRPr="00AE3C59">
        <w:rPr>
          <w:rFonts w:ascii="Times New Roman" w:eastAsia="Times New Roman" w:hAnsi="Times New Roman" w:cs="Times New Roman"/>
          <w:sz w:val="20"/>
          <w:szCs w:val="20"/>
          <w:lang w:val="en-US" w:eastAsia="en-US" w:bidi="ar-SA"/>
        </w:rPr>
        <w:t>”), (ii) the Company IT Systems are adequate for, and operate and perform as required in connection with, the operation of the business of the Company and the Subsidiaries as currently conducted and (iii) the Company and the Subsidiaries have implemented reasonable backup, security and disaster recovery technology consistent with applicable regulatory standards;</w:t>
      </w:r>
    </w:p>
    <w:p w14:paraId="6DBCB73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BCE0AC7"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w:t>
      </w:r>
      <w:proofErr w:type="spellStart"/>
      <w:r w:rsidRPr="00AE3C59">
        <w:rPr>
          <w:rFonts w:ascii="Times New Roman" w:eastAsia="Times New Roman" w:hAnsi="Times New Roman" w:cs="Times New Roman"/>
          <w:sz w:val="20"/>
          <w:szCs w:val="20"/>
          <w:lang w:val="en-US" w:eastAsia="en-US" w:bidi="ar-SA"/>
        </w:rPr>
        <w:t>uu</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Reverse Stock Split</w:t>
      </w:r>
      <w:r w:rsidRPr="00AE3C59">
        <w:rPr>
          <w:rFonts w:ascii="Times New Roman" w:eastAsia="Times New Roman" w:hAnsi="Times New Roman" w:cs="Times New Roman"/>
          <w:sz w:val="20"/>
          <w:szCs w:val="20"/>
          <w:lang w:val="en-US" w:eastAsia="en-US" w:bidi="ar-SA"/>
        </w:rPr>
        <w:t>. The Company has the requisite corporate power and authority, and has obtained all requisite approval or authorization of any stockholder, the Board of Directors or others, in order to effect the reverse stock split of the Company’s shares of Common Stock (the “</w:t>
      </w:r>
      <w:r w:rsidRPr="00AE3C59">
        <w:rPr>
          <w:rFonts w:ascii="Times New Roman" w:eastAsia="Times New Roman" w:hAnsi="Times New Roman" w:cs="Times New Roman"/>
          <w:sz w:val="20"/>
          <w:szCs w:val="20"/>
          <w:u w:val="single"/>
          <w:lang w:val="en-US" w:eastAsia="en-US" w:bidi="ar-SA"/>
        </w:rPr>
        <w:t>Reverse Stock Split</w:t>
      </w:r>
      <w:r w:rsidRPr="00AE3C59">
        <w:rPr>
          <w:rFonts w:ascii="Times New Roman" w:eastAsia="Times New Roman" w:hAnsi="Times New Roman" w:cs="Times New Roman"/>
          <w:sz w:val="20"/>
          <w:szCs w:val="20"/>
          <w:lang w:val="en-US" w:eastAsia="en-US" w:bidi="ar-SA"/>
        </w:rPr>
        <w:t>”) as described in the Registration Statement, General Disclosure Package and Prospectus. No further approval or authorization of any stockholder, the Board of Directors or others is required in order to effect the Reverse Stock Split.</w:t>
      </w:r>
    </w:p>
    <w:p w14:paraId="2A8064E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AAC18C9"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vv</w:t>
      </w:r>
      <w:proofErr w:type="spellEnd"/>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Ineligible Issuer Status</w:t>
      </w:r>
      <w:r w:rsidRPr="00AE3C59">
        <w:rPr>
          <w:rFonts w:ascii="Times New Roman" w:eastAsia="Times New Roman" w:hAnsi="Times New Roman" w:cs="Times New Roman"/>
          <w:sz w:val="20"/>
          <w:szCs w:val="20"/>
          <w:lang w:val="en-US" w:eastAsia="en-US" w:bidi="ar-SA"/>
        </w:rPr>
        <w:t>. At the time of filing the Registration Statement and at the date hereof, the Company was and is an “ineligible issuer,” as defined under Rule 405 under the Securities Act.</w:t>
      </w:r>
    </w:p>
    <w:p w14:paraId="573F9E3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b/>
          <w:bCs/>
          <w:sz w:val="20"/>
          <w:szCs w:val="20"/>
          <w:lang w:val="en-US" w:eastAsia="en-US" w:bidi="ar-SA"/>
        </w:rPr>
        <w:t> </w:t>
      </w:r>
    </w:p>
    <w:p w14:paraId="3EA4F9C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IV. </w:t>
      </w:r>
    </w:p>
    <w:p w14:paraId="5A0FD6D5"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OTHER AGREEMENTS OF THE PARTIES</w:t>
      </w:r>
    </w:p>
    <w:p w14:paraId="2CB18D6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28ABB6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4.1  </w:t>
      </w:r>
      <w:r w:rsidRPr="00AE3C59">
        <w:rPr>
          <w:rFonts w:ascii="Times New Roman" w:eastAsia="Times New Roman" w:hAnsi="Times New Roman" w:cs="Times New Roman"/>
          <w:sz w:val="20"/>
          <w:szCs w:val="20"/>
          <w:u w:val="single"/>
          <w:lang w:val="en-US" w:eastAsia="en-US" w:bidi="ar-SA"/>
        </w:rPr>
        <w:t>Amendments to Registration Statement</w:t>
      </w:r>
      <w:r w:rsidRPr="00AE3C59">
        <w:rPr>
          <w:rFonts w:ascii="Times New Roman" w:eastAsia="Times New Roman" w:hAnsi="Times New Roman" w:cs="Times New Roman"/>
          <w:sz w:val="20"/>
          <w:szCs w:val="20"/>
          <w:lang w:val="en-US" w:eastAsia="en-US" w:bidi="ar-SA"/>
        </w:rPr>
        <w:t>. The Company has delivered, or will as promptly as practicable deliver, to the Underwriters complete conformed copies of the Registration Statement and of each consent and certificate of experts, as applicable, filed as a part thereof, and conformed copies of the Registration Statement (without exhibits), the Prospectus, as amended or supplemented, and the General Disclosure Package in such quantities and at such places as an Underwriter reasonably requests. Neither the Company nor any of its directors and officers has distributed and none of them will distribute, prior to the Closing Date, any offering material in connection with the offering and sale of the Securities other than the Prospectus, the General Disclosure Package and the Registration Statement. The Company shall not file any such amendment or supplement to which the Representative shall reasonably and timely object in writing.</w:t>
      </w:r>
    </w:p>
    <w:p w14:paraId="0F452C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BDB274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4.2  </w:t>
      </w:r>
      <w:r w:rsidRPr="00AE3C59">
        <w:rPr>
          <w:rFonts w:ascii="Times New Roman" w:eastAsia="Times New Roman" w:hAnsi="Times New Roman" w:cs="Times New Roman"/>
          <w:sz w:val="20"/>
          <w:szCs w:val="20"/>
          <w:u w:val="single"/>
          <w:lang w:val="en-US" w:eastAsia="en-US" w:bidi="ar-SA"/>
        </w:rPr>
        <w:t>Federal Securities Laws</w:t>
      </w:r>
      <w:r w:rsidRPr="00AE3C59">
        <w:rPr>
          <w:rFonts w:ascii="Times New Roman" w:eastAsia="Times New Roman" w:hAnsi="Times New Roman" w:cs="Times New Roman"/>
          <w:sz w:val="20"/>
          <w:szCs w:val="20"/>
          <w:lang w:val="en-US" w:eastAsia="en-US" w:bidi="ar-SA"/>
        </w:rPr>
        <w:t>.</w:t>
      </w:r>
    </w:p>
    <w:p w14:paraId="517E6199"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731B3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  </w:t>
      </w:r>
      <w:r w:rsidRPr="00AE3C59">
        <w:rPr>
          <w:rFonts w:ascii="Times New Roman" w:eastAsia="Times New Roman" w:hAnsi="Times New Roman" w:cs="Times New Roman"/>
          <w:sz w:val="20"/>
          <w:szCs w:val="20"/>
          <w:u w:val="single"/>
          <w:lang w:val="en-US" w:eastAsia="en-US" w:bidi="ar-SA"/>
        </w:rPr>
        <w:t>Compliance</w:t>
      </w:r>
      <w:r w:rsidRPr="00AE3C59">
        <w:rPr>
          <w:rFonts w:ascii="Times New Roman" w:eastAsia="Times New Roman" w:hAnsi="Times New Roman" w:cs="Times New Roman"/>
          <w:sz w:val="20"/>
          <w:szCs w:val="20"/>
          <w:lang w:val="en-US" w:eastAsia="en-US" w:bidi="ar-SA"/>
        </w:rPr>
        <w:t xml:space="preserve">. During the time when a Prospectus is required to be delivered under the Securities Act, the Company will use its best efforts to comply with all requirements imposed upon it by the Securities Act and the rules and regulations thereunder and the Exchange Act and the rules and regulations thereunder, as from time to time in force, so far as necessary to permit the continuance of sales of or dealings in the Securities in accordance with the provisions hereof and the Prospectus. If at any time when a Prospectus relating to the Securities is required to be delivered under the Securities Act, any event shall have occurred as a result of which, in the opinion of counsel for the Company or counsel for the Representative, the Prospectus, as then amended or supplemented, includes an untrue statement of a material fact or omits to state any material fact required to be stated therein or necessary to make the statements therein, in light of the circumstances under which they were made, not misleading, or if it is necessary at any time to amend the Prospectus to comply with the Securities Act, the Company will notify the Underwriters promptly and prepare and file with the Commission, subject to </w:t>
      </w:r>
      <w:r w:rsidRPr="00AE3C59">
        <w:rPr>
          <w:rFonts w:ascii="Times New Roman" w:eastAsia="Times New Roman" w:hAnsi="Times New Roman" w:cs="Times New Roman"/>
          <w:sz w:val="20"/>
          <w:szCs w:val="20"/>
          <w:u w:val="single"/>
          <w:lang w:val="en-US" w:eastAsia="en-US" w:bidi="ar-SA"/>
        </w:rPr>
        <w:t>Section 4.1</w:t>
      </w:r>
      <w:r w:rsidRPr="00AE3C59">
        <w:rPr>
          <w:rFonts w:ascii="Times New Roman" w:eastAsia="Times New Roman" w:hAnsi="Times New Roman" w:cs="Times New Roman"/>
          <w:sz w:val="20"/>
          <w:szCs w:val="20"/>
          <w:lang w:val="en-US" w:eastAsia="en-US" w:bidi="ar-SA"/>
        </w:rPr>
        <w:t xml:space="preserve"> hereof, an appropriate amendment or supplement in accordance with Section 10 of the Securities Act.</w:t>
      </w:r>
    </w:p>
    <w:p w14:paraId="72E74D9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E988095"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w:t>
      </w:r>
      <w:r w:rsidRPr="00AE3C59">
        <w:rPr>
          <w:rFonts w:ascii="Times New Roman" w:eastAsia="Times New Roman" w:hAnsi="Times New Roman" w:cs="Times New Roman"/>
          <w:sz w:val="20"/>
          <w:szCs w:val="20"/>
          <w:u w:val="single"/>
          <w:lang w:val="en-US" w:eastAsia="en-US" w:bidi="ar-SA"/>
        </w:rPr>
        <w:t>Exchange Act Registration</w:t>
      </w:r>
      <w:r w:rsidRPr="00AE3C59">
        <w:rPr>
          <w:rFonts w:ascii="Times New Roman" w:eastAsia="Times New Roman" w:hAnsi="Times New Roman" w:cs="Times New Roman"/>
          <w:sz w:val="20"/>
          <w:szCs w:val="20"/>
          <w:lang w:val="en-US" w:eastAsia="en-US" w:bidi="ar-SA"/>
        </w:rPr>
        <w:t>. For a period of three years from the Execution Date, the Company will use its best efforts to maintain the registration of the Common Stock, the Pre-Funded Warrants and the Warrants under the Exchange Act; provided, that such provision shall not prevent a sale, merger or similar transaction involving the Company. The Company will not deregister the Common Stock under the Exchange Act without the prior written consent of the Representative, which consent shall not be unreasonably withheld and provided that such provision shall not prevent a sale, merger or similar transaction involving the Company.</w:t>
      </w:r>
    </w:p>
    <w:p w14:paraId="2B89AF2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C11D2B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w:t>
      </w:r>
      <w:r w:rsidRPr="00AE3C59">
        <w:rPr>
          <w:rFonts w:ascii="Times New Roman" w:eastAsia="Times New Roman" w:hAnsi="Times New Roman" w:cs="Times New Roman"/>
          <w:sz w:val="20"/>
          <w:szCs w:val="20"/>
          <w:u w:val="single"/>
          <w:lang w:val="en-US" w:eastAsia="en-US" w:bidi="ar-SA"/>
        </w:rPr>
        <w:t>Free Writing Prospectuses</w:t>
      </w:r>
      <w:r w:rsidRPr="00AE3C59">
        <w:rPr>
          <w:rFonts w:ascii="Times New Roman" w:eastAsia="Times New Roman" w:hAnsi="Times New Roman" w:cs="Times New Roman"/>
          <w:sz w:val="20"/>
          <w:szCs w:val="20"/>
          <w:lang w:val="en-US" w:eastAsia="en-US" w:bidi="ar-SA"/>
        </w:rPr>
        <w:t>. The Company represents and agrees that it has not made and will not make any offer relating to the Securities that would constitute an issuer free writing prospectus, as defined in Rule 433 of the rules and regulations under the Securities Act, without the prior written consent of the Representative. Any such free writing prospectus consented to by the Representative is herein referred to as a “</w:t>
      </w:r>
      <w:r w:rsidRPr="00AE3C59">
        <w:rPr>
          <w:rFonts w:ascii="Times New Roman" w:eastAsia="Times New Roman" w:hAnsi="Times New Roman" w:cs="Times New Roman"/>
          <w:sz w:val="20"/>
          <w:szCs w:val="20"/>
          <w:u w:val="single"/>
          <w:lang w:val="en-US" w:eastAsia="en-US" w:bidi="ar-SA"/>
        </w:rPr>
        <w:t>Permitted Free Writing Prospectus</w:t>
      </w:r>
      <w:r w:rsidRPr="00AE3C59">
        <w:rPr>
          <w:rFonts w:ascii="Times New Roman" w:eastAsia="Times New Roman" w:hAnsi="Times New Roman" w:cs="Times New Roman"/>
          <w:sz w:val="20"/>
          <w:szCs w:val="20"/>
          <w:lang w:val="en-US" w:eastAsia="en-US" w:bidi="ar-SA"/>
        </w:rPr>
        <w:t xml:space="preserve">.” The Company represents that it will treat each Permitted Free Writing Prospectus as an “issuer free writing prospectus” as defined in the rules and regulations under the Securities Act, and has complied and will comply with the applicable requirements of Rule 433 of the Securities Act, including timely Commission filing where required, </w:t>
      </w:r>
      <w:proofErr w:type="spellStart"/>
      <w:r w:rsidRPr="00AE3C59">
        <w:rPr>
          <w:rFonts w:ascii="Times New Roman" w:eastAsia="Times New Roman" w:hAnsi="Times New Roman" w:cs="Times New Roman"/>
          <w:sz w:val="20"/>
          <w:szCs w:val="20"/>
          <w:lang w:val="en-US" w:eastAsia="en-US" w:bidi="ar-SA"/>
        </w:rPr>
        <w:t>legending</w:t>
      </w:r>
      <w:proofErr w:type="spellEnd"/>
      <w:r w:rsidRPr="00AE3C59">
        <w:rPr>
          <w:rFonts w:ascii="Times New Roman" w:eastAsia="Times New Roman" w:hAnsi="Times New Roman" w:cs="Times New Roman"/>
          <w:sz w:val="20"/>
          <w:szCs w:val="20"/>
          <w:lang w:val="en-US" w:eastAsia="en-US" w:bidi="ar-SA"/>
        </w:rPr>
        <w:t xml:space="preserve"> and record keeping.</w:t>
      </w:r>
    </w:p>
    <w:p w14:paraId="32CCDAD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7F464A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4.3  </w:t>
      </w:r>
      <w:r w:rsidRPr="00AE3C59">
        <w:rPr>
          <w:rFonts w:ascii="Times New Roman" w:eastAsia="Times New Roman" w:hAnsi="Times New Roman" w:cs="Times New Roman"/>
          <w:sz w:val="20"/>
          <w:szCs w:val="20"/>
          <w:u w:val="single"/>
          <w:lang w:val="en-US" w:eastAsia="en-US" w:bidi="ar-SA"/>
        </w:rPr>
        <w:t>Delivery to the Underwriters of Prospectuses</w:t>
      </w:r>
      <w:r w:rsidRPr="00AE3C59">
        <w:rPr>
          <w:rFonts w:ascii="Times New Roman" w:eastAsia="Times New Roman" w:hAnsi="Times New Roman" w:cs="Times New Roman"/>
          <w:sz w:val="20"/>
          <w:szCs w:val="20"/>
          <w:lang w:val="en-US" w:eastAsia="en-US" w:bidi="ar-SA"/>
        </w:rPr>
        <w:t>. The Company will deliver to the Underwriters, without charge, from time to time during the period when the Prospectus is required to be delivered under the Securities Act or the Exchange Act such number of copies of each Prospectus as the Underwriters may reasonably request.</w:t>
      </w:r>
    </w:p>
    <w:p w14:paraId="75C79411" w14:textId="77777777" w:rsidR="00AE3C59" w:rsidRPr="00AE3C59" w:rsidRDefault="00AE3C59" w:rsidP="00AE3C59">
      <w:pPr>
        <w:tabs>
          <w:tab w:val="left" w:pos="4149"/>
        </w:tabs>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val="en-US" w:eastAsia="en-US" w:bidi="ar-SA"/>
        </w:rPr>
        <w:tab/>
      </w:r>
    </w:p>
    <w:p w14:paraId="0488522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4.4  </w:t>
      </w:r>
      <w:r w:rsidRPr="00AE3C59">
        <w:rPr>
          <w:rFonts w:ascii="Times New Roman" w:eastAsia="Times New Roman" w:hAnsi="Times New Roman" w:cs="Times New Roman"/>
          <w:sz w:val="20"/>
          <w:szCs w:val="20"/>
          <w:u w:val="single"/>
          <w:lang w:val="en-US" w:eastAsia="en-US" w:bidi="ar-SA"/>
        </w:rPr>
        <w:t>Effectiveness and Events Requiring Notice to the Underwriters</w:t>
      </w:r>
      <w:r w:rsidRPr="00AE3C59">
        <w:rPr>
          <w:rFonts w:ascii="Times New Roman" w:eastAsia="Times New Roman" w:hAnsi="Times New Roman" w:cs="Times New Roman"/>
          <w:sz w:val="20"/>
          <w:szCs w:val="20"/>
          <w:lang w:val="en-US" w:eastAsia="en-US" w:bidi="ar-SA"/>
        </w:rPr>
        <w:t xml:space="preserve">. The Company will use its best efforts to cause the Registration Statement to remain effective with a current prospectus until the later of nine (9) months from the Execution </w:t>
      </w:r>
      <w:r w:rsidRPr="00AE3C59">
        <w:rPr>
          <w:rFonts w:ascii="Times New Roman" w:eastAsia="Times New Roman" w:hAnsi="Times New Roman" w:cs="Times New Roman"/>
          <w:sz w:val="20"/>
          <w:szCs w:val="20"/>
          <w:lang w:val="en-US" w:eastAsia="en-US" w:bidi="ar-SA"/>
        </w:rPr>
        <w:lastRenderedPageBreak/>
        <w:t>Date and the date on which the Warrants and Pre-Funded Warrants are no longer outstanding, and will notify the Underwriters immediately and confirm the notice in writing: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of the effectiveness of the Registration Statement and any amendment thereto; (ii) of the issuance by the Commission of any stop order or of the initiation, or the threatening, of any proceeding for that purpose; (iii) of the issuance by any state securities commission of any proceedings for the suspension of the qualification of the Securities for offering or sale in any jurisdiction or of the initiation, or the threatening, of any proceeding for that purpose; (iv) the electronic filing with the Commission of any amendment or supplement to the Registration Statement or Prospectus; (v) of the receipt of any comments or request for any additional information from the Commission; and (vi) of the happening of any event during the period described in this </w:t>
      </w:r>
      <w:r w:rsidRPr="00AE3C59">
        <w:rPr>
          <w:rFonts w:ascii="Times New Roman" w:eastAsia="Times New Roman" w:hAnsi="Times New Roman" w:cs="Times New Roman"/>
          <w:sz w:val="20"/>
          <w:szCs w:val="20"/>
          <w:u w:val="single"/>
          <w:lang w:val="en-US" w:eastAsia="en-US" w:bidi="ar-SA"/>
        </w:rPr>
        <w:t>Section 4.4</w:t>
      </w:r>
      <w:r w:rsidRPr="00AE3C59">
        <w:rPr>
          <w:rFonts w:ascii="Times New Roman" w:eastAsia="Times New Roman" w:hAnsi="Times New Roman" w:cs="Times New Roman"/>
          <w:sz w:val="20"/>
          <w:szCs w:val="20"/>
          <w:lang w:val="en-US" w:eastAsia="en-US" w:bidi="ar-SA"/>
        </w:rPr>
        <w:t xml:space="preserve"> that, in the judgment of the Company, makes any statement of a material fact made in the Registration Statement, the General Disclosure Package or the Prospectus untrue or that requires the making of any changes in the Registration Statement, the General Disclosure Package or the Prospectus in order to make the statements therein, in light of the circumstances under which they were made, not misleading. If the Commission or any state securities commission shall enter a stop order or suspend such qualification at any time, the Company will make every reasonable effort to obtain promptly the lifting of such order.</w:t>
      </w:r>
    </w:p>
    <w:p w14:paraId="7CC567E1" w14:textId="77777777" w:rsidR="00AE3C59" w:rsidRPr="00AE3C59" w:rsidRDefault="00AE3C59" w:rsidP="00AE3C59">
      <w:pPr>
        <w:spacing w:after="0" w:line="240" w:lineRule="auto"/>
        <w:ind w:left="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C2F134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4.5  </w:t>
      </w:r>
      <w:r w:rsidRPr="00AE3C59">
        <w:rPr>
          <w:rFonts w:ascii="Times New Roman" w:eastAsia="Times New Roman" w:hAnsi="Times New Roman" w:cs="Times New Roman"/>
          <w:sz w:val="20"/>
          <w:szCs w:val="20"/>
          <w:u w:val="single"/>
          <w:lang w:val="en-US" w:eastAsia="en-US" w:bidi="ar-SA"/>
        </w:rPr>
        <w:t>Review of Financial Statements</w:t>
      </w:r>
      <w:r w:rsidRPr="00AE3C59">
        <w:rPr>
          <w:rFonts w:ascii="Times New Roman" w:eastAsia="Times New Roman" w:hAnsi="Times New Roman" w:cs="Times New Roman"/>
          <w:sz w:val="20"/>
          <w:szCs w:val="20"/>
          <w:lang w:val="en-US" w:eastAsia="en-US" w:bidi="ar-SA"/>
        </w:rPr>
        <w:t>. For a period of three (3) years from the Execution Date, the Company shall file with the SEC all reports required to be filed pursuant to the Exchange Act and, at its expense, shall cause its regularly engaged independent registered public accounting firm to review (but not audit except as required by law) the Company’s financial statements included in such reports, provided that such provision shall not prevent a sale, merger or similar transaction involving the Company.</w:t>
      </w:r>
    </w:p>
    <w:p w14:paraId="7503846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2FB35B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4.6  </w:t>
      </w:r>
      <w:r w:rsidRPr="00AE3C59">
        <w:rPr>
          <w:rFonts w:ascii="Times New Roman" w:eastAsia="Times New Roman" w:hAnsi="Times New Roman" w:cs="Times New Roman"/>
          <w:sz w:val="20"/>
          <w:szCs w:val="20"/>
          <w:u w:val="single"/>
          <w:lang w:val="en-US" w:eastAsia="en-US" w:bidi="ar-SA"/>
        </w:rPr>
        <w:t>Reports to the Underwriters; Expenses of the Offering</w:t>
      </w:r>
      <w:r w:rsidRPr="00AE3C59">
        <w:rPr>
          <w:rFonts w:ascii="Times New Roman" w:eastAsia="Times New Roman" w:hAnsi="Times New Roman" w:cs="Times New Roman"/>
          <w:sz w:val="20"/>
          <w:szCs w:val="20"/>
          <w:lang w:val="en-US" w:eastAsia="en-US" w:bidi="ar-SA"/>
        </w:rPr>
        <w:t>.</w:t>
      </w:r>
    </w:p>
    <w:p w14:paraId="1A478BD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5CD587A"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  </w:t>
      </w:r>
      <w:r w:rsidRPr="00AE3C59">
        <w:rPr>
          <w:rFonts w:ascii="Times New Roman" w:eastAsia="Times New Roman" w:hAnsi="Times New Roman" w:cs="Times New Roman"/>
          <w:sz w:val="20"/>
          <w:szCs w:val="20"/>
          <w:u w:val="single"/>
          <w:lang w:val="en-US" w:eastAsia="en-US" w:bidi="ar-SA"/>
        </w:rPr>
        <w:t>Periodic Reports, etc</w:t>
      </w:r>
      <w:r w:rsidRPr="00AE3C59">
        <w:rPr>
          <w:rFonts w:ascii="Times New Roman" w:eastAsia="Times New Roman" w:hAnsi="Times New Roman" w:cs="Times New Roman"/>
          <w:sz w:val="20"/>
          <w:szCs w:val="20"/>
          <w:lang w:val="en-US" w:eastAsia="en-US" w:bidi="ar-SA"/>
        </w:rPr>
        <w:t>. For a period of three years from the Execution Date, the Company will furnish or make available to the Underwriters copies of such financial statements and other periodic and special reports as the Company from time to time furnishes generally to holders of any class of its securities registered under the Exchange Act and also promptly furnish or make available to the Underwriters: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 copy of each periodic report the Company shall be required to file with the Commission; (ii) a copy of every press release and every news item and article with respect to the Company or its affairs which was released by the Company; (iii) a copy of each Form 8-K prepared and filed by the Company; (iv) a copy of each registration statement filed by the Company under the Securities Act; (v) such additional documents and information with respect to the Company and the affairs of any future Subsidiaries of the Company as the Representative may from time to time reasonably request; provided that the Underwriters shall each sign, if requested by the Company, a Regulation FD compliant confidentiality agreement which is reasonably acceptable to the Representative in connection with such Underwriter’s receipt of such information. Documents filed with the Commission pursuant to its EDGAR system shall be deemed to have been delivered to the Underwriters pursuant to this Section.</w:t>
      </w:r>
    </w:p>
    <w:p w14:paraId="71C82D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7A87B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w:t>
      </w:r>
      <w:r w:rsidRPr="00AE3C59">
        <w:rPr>
          <w:rFonts w:ascii="Times New Roman" w:eastAsia="Times New Roman" w:hAnsi="Times New Roman" w:cs="Times New Roman"/>
          <w:sz w:val="20"/>
          <w:szCs w:val="20"/>
          <w:u w:val="single"/>
          <w:lang w:val="en-US" w:eastAsia="en-US" w:bidi="ar-SA"/>
        </w:rPr>
        <w:t>Transfer Sheets</w:t>
      </w:r>
      <w:r w:rsidRPr="00AE3C59">
        <w:rPr>
          <w:rFonts w:ascii="Times New Roman" w:eastAsia="Times New Roman" w:hAnsi="Times New Roman" w:cs="Times New Roman"/>
          <w:sz w:val="20"/>
          <w:szCs w:val="20"/>
          <w:lang w:val="en-US" w:eastAsia="en-US" w:bidi="ar-SA"/>
        </w:rPr>
        <w:t>. For a period of one year from the Execution Date, the Company shall retain the Transfer Agent or a transfer and registrar agent acceptable to the Representative and will furnish to the Underwriters at the Company’s sole cost and expense such transfer sheets of the Company’s securities as an Underwriter may reasonably request, including the daily and monthly consolidated transfer sheets of the Transfer Agent and the DTC, provided, however, that such requests cannot be made more than once monthly; and provided that such provision shall not prevent a sale, merger or similar transaction involving the Company.</w:t>
      </w:r>
    </w:p>
    <w:p w14:paraId="22B56C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0859E8"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w:t>
      </w:r>
      <w:r w:rsidRPr="00AE3C59">
        <w:rPr>
          <w:rFonts w:ascii="Times New Roman" w:eastAsia="Times New Roman" w:hAnsi="Times New Roman" w:cs="Times New Roman"/>
          <w:sz w:val="20"/>
          <w:szCs w:val="20"/>
          <w:u w:val="single"/>
          <w:lang w:val="en-US" w:eastAsia="en-US" w:bidi="ar-SA"/>
        </w:rPr>
        <w:t>Trading Reports</w:t>
      </w:r>
      <w:r w:rsidRPr="00AE3C59">
        <w:rPr>
          <w:rFonts w:ascii="Times New Roman" w:eastAsia="Times New Roman" w:hAnsi="Times New Roman" w:cs="Times New Roman"/>
          <w:sz w:val="20"/>
          <w:szCs w:val="20"/>
          <w:lang w:val="en-US" w:eastAsia="en-US" w:bidi="ar-SA"/>
        </w:rPr>
        <w:t>. For a period of one (1) year after the date of this Agreement, the Company shall provide to the Underwriters, at the Company’s expense, such reports published by the Trading Market relating to price and trading of such securities, as the Underwriters shall reasonably request; provided that such provision shall not prevent a sale, merger or similar transaction involving the Company.</w:t>
      </w:r>
    </w:p>
    <w:p w14:paraId="4C6DD8E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26AB33"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(d)  </w:t>
      </w:r>
      <w:r w:rsidRPr="00AE3C59">
        <w:rPr>
          <w:rFonts w:ascii="Times New Roman" w:eastAsia="Times New Roman" w:hAnsi="Times New Roman" w:cs="Times New Roman"/>
          <w:sz w:val="20"/>
          <w:szCs w:val="20"/>
          <w:u w:val="single"/>
          <w:lang w:val="en-US" w:eastAsia="en-US" w:bidi="ar-SA"/>
        </w:rPr>
        <w:t>General Expenses Related to the Offering</w:t>
      </w:r>
      <w:r w:rsidRPr="00AE3C59">
        <w:rPr>
          <w:rFonts w:ascii="Times New Roman" w:eastAsia="Times New Roman" w:hAnsi="Times New Roman" w:cs="Times New Roman"/>
          <w:sz w:val="20"/>
          <w:szCs w:val="20"/>
          <w:lang w:val="en-US" w:eastAsia="en-US" w:bidi="ar-SA"/>
        </w:rPr>
        <w:t xml:space="preserve">. The Company hereby agrees to pay on each of the Closing Date and each Option Closing Date, if any, to the extent not paid at the Closing Date, all expenses incident to the performance of the obligations of the Company under this Agreement, including, but not limited to: (a) all filing fees and communication expenses relating to the registration of the Securities to be sold in the Offering (including the Option Securities) with the Commission; (b) all FINRA Public Offering Filing System fees associated with the review of the Offering by FINRA; all fees and expenses relating to the listing of such Closing Units, Option Shares and Warrant Shares on the Trading Market and such other stock exchanges as the Company and the Representative together determine in good faith; (c) fees, expenses and disbursements relating to the registration or qualification of such Securities under the “blue sky” securities laws of such states and other jurisdictions as Representative may reasonably designate (including, without limitation, all filing and registration fees); (d) the costs of all mailing and </w:t>
      </w:r>
      <w:r w:rsidRPr="00AE3C59">
        <w:rPr>
          <w:rFonts w:ascii="Times New Roman" w:eastAsia="Times New Roman" w:hAnsi="Times New Roman" w:cs="Times New Roman"/>
          <w:sz w:val="20"/>
          <w:szCs w:val="20"/>
          <w:lang w:val="en-US" w:eastAsia="en-US" w:bidi="ar-SA"/>
        </w:rPr>
        <w:lastRenderedPageBreak/>
        <w:t>printing of the underwriting documents (including, without limitation, the Underwriting Agreement, and any Blue Sky Surveys and, if appropriate, any Agreement Among Underwriters, any agreements with Selected Dealers, Underwriters’ Questionnaire and Power of Attorney), Registration Statements, Prospectuses and all amendments, supplements and exhibits thereto and as many preliminary and final Prospectuses as the Representative may reasonably deem necessary; (e) the cost and expense of the public relations firm referred to in Section 4.24 of this Agreement; (f) the costs of preparing, printing and delivering the Securities; (g) fees and expenses of the Transfer Agent for the Securities (including, without limitation, any fees required for same-day processing of any instruction letter delivered by the Company); (h) stock transfer and/or stamp taxes, if any, payable upon the transfer of securities from the Company to the Underwriters;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fees and expenses of the Company’s accountants; (j) the fees and expenses of the Company’s legal counsel and other agents and representatives; (k) the Underwriters’ costs of mailing prospectuses to prospective investors; (l) all fees, expenses and disbursements relating to background checks of the Company’s officers and directors not to exceed $15,000 in the aggregate; (m) the fees and expenses associated with the Underwriters’ use of the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-Deal system and </w:t>
      </w:r>
      <w:proofErr w:type="spellStart"/>
      <w:r w:rsidRPr="00AE3C59">
        <w:rPr>
          <w:rFonts w:ascii="Times New Roman" w:eastAsia="Times New Roman" w:hAnsi="Times New Roman" w:cs="Times New Roman"/>
          <w:sz w:val="20"/>
          <w:szCs w:val="20"/>
          <w:lang w:val="en-US" w:eastAsia="en-US" w:bidi="ar-SA"/>
        </w:rPr>
        <w:t>NetRoadshow</w:t>
      </w:r>
      <w:proofErr w:type="spellEnd"/>
      <w:r w:rsidRPr="00AE3C59">
        <w:rPr>
          <w:rFonts w:ascii="Times New Roman" w:eastAsia="Times New Roman" w:hAnsi="Times New Roman" w:cs="Times New Roman"/>
          <w:sz w:val="20"/>
          <w:szCs w:val="20"/>
          <w:lang w:val="en-US" w:eastAsia="en-US" w:bidi="ar-SA"/>
        </w:rPr>
        <w:t xml:space="preserve">; and (n) the Company’s actual “road show” expenses for the Offering. The Underwriters may also deduct from the net proceeds of the Offering payable to the Company on the Closing Date, or each Option Closing Date, if any, all out-of-pocket fees, expenses and disbursements (including legal fees and expenses) of the Underwriters incurred as a result of providing services related to the Offering to be paid by the Company to the Underwriters; </w:t>
      </w:r>
      <w:r w:rsidRPr="00AE3C59">
        <w:rPr>
          <w:rFonts w:ascii="Times New Roman" w:eastAsia="Times New Roman" w:hAnsi="Times New Roman" w:cs="Times New Roman"/>
          <w:i/>
          <w:iCs/>
          <w:sz w:val="20"/>
          <w:szCs w:val="20"/>
          <w:lang w:val="en-US" w:eastAsia="en-US" w:bidi="ar-SA"/>
        </w:rPr>
        <w:t>provided, however</w:t>
      </w:r>
      <w:r w:rsidRPr="00AE3C59">
        <w:rPr>
          <w:rFonts w:ascii="Times New Roman" w:eastAsia="Times New Roman" w:hAnsi="Times New Roman" w:cs="Times New Roman"/>
          <w:sz w:val="20"/>
          <w:szCs w:val="20"/>
          <w:lang w:val="en-US" w:eastAsia="en-US" w:bidi="ar-SA"/>
        </w:rPr>
        <w:t xml:space="preserve">, that all such costs and expenses pursuant to this </w:t>
      </w:r>
      <w:r w:rsidRPr="00AE3C59">
        <w:rPr>
          <w:rFonts w:ascii="Times New Roman" w:eastAsia="Times New Roman" w:hAnsi="Times New Roman" w:cs="Times New Roman"/>
          <w:sz w:val="20"/>
          <w:szCs w:val="20"/>
          <w:u w:val="single"/>
          <w:lang w:val="en-US" w:eastAsia="en-US" w:bidi="ar-SA"/>
        </w:rPr>
        <w:t>Section 4.6(d)</w:t>
      </w:r>
      <w:r w:rsidRPr="00AE3C59">
        <w:rPr>
          <w:rFonts w:ascii="Times New Roman" w:eastAsia="Times New Roman" w:hAnsi="Times New Roman" w:cs="Times New Roman"/>
          <w:sz w:val="20"/>
          <w:szCs w:val="20"/>
          <w:lang w:val="en-US" w:eastAsia="en-US" w:bidi="ar-SA"/>
        </w:rPr>
        <w:t>, including those referenced in clauses (m) and (n) above and legal expenses of counsel to the Underwriters and otherwise, which are incurred by the Underwriters and for which the Company shall be responsible shall not exceed $125,000 in the aggregate in the event of a Closing of the Offering.</w:t>
      </w:r>
    </w:p>
    <w:p w14:paraId="3F828D7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7A8C3E"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4.7  </w:t>
      </w:r>
      <w:r w:rsidRPr="00AE3C59">
        <w:rPr>
          <w:rFonts w:ascii="Times New Roman" w:eastAsia="Times New Roman" w:hAnsi="Times New Roman" w:cs="Times New Roman"/>
          <w:sz w:val="20"/>
          <w:szCs w:val="20"/>
          <w:u w:val="single"/>
          <w:lang w:val="en-US" w:eastAsia="en-US" w:bidi="ar-SA"/>
        </w:rPr>
        <w:t>Application of Net Proceeds</w:t>
      </w:r>
      <w:r w:rsidRPr="00AE3C59">
        <w:rPr>
          <w:rFonts w:ascii="Times New Roman" w:eastAsia="Times New Roman" w:hAnsi="Times New Roman" w:cs="Times New Roman"/>
          <w:sz w:val="20"/>
          <w:szCs w:val="20"/>
          <w:lang w:val="en-US" w:eastAsia="en-US" w:bidi="ar-SA"/>
        </w:rPr>
        <w:t>. The Company will apply the net proceeds from the Offering received by it in a manner consistent with the application described under the caption “Use of Proceeds” in the Prospectus.</w:t>
      </w:r>
    </w:p>
    <w:p w14:paraId="0E62D0DC" w14:textId="77777777" w:rsidR="00AE3C59" w:rsidRPr="00AE3C59" w:rsidRDefault="00AE3C59" w:rsidP="00AE3C59">
      <w:pPr>
        <w:spacing w:after="0" w:line="240" w:lineRule="auto"/>
        <w:ind w:left="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FF3537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4.8  </w:t>
      </w:r>
      <w:r w:rsidRPr="00AE3C59">
        <w:rPr>
          <w:rFonts w:ascii="Times New Roman" w:eastAsia="Times New Roman" w:hAnsi="Times New Roman" w:cs="Times New Roman"/>
          <w:sz w:val="20"/>
          <w:szCs w:val="20"/>
          <w:u w:val="single"/>
          <w:lang w:val="en-US" w:eastAsia="en-US" w:bidi="ar-SA"/>
        </w:rPr>
        <w:t>Delivery of Earnings Statements to Security Holders</w:t>
      </w:r>
      <w:r w:rsidRPr="00AE3C59">
        <w:rPr>
          <w:rFonts w:ascii="Times New Roman" w:eastAsia="Times New Roman" w:hAnsi="Times New Roman" w:cs="Times New Roman"/>
          <w:sz w:val="20"/>
          <w:szCs w:val="20"/>
          <w:lang w:val="en-US" w:eastAsia="en-US" w:bidi="ar-SA"/>
        </w:rPr>
        <w:t>. The Company will timely file such reports pursuant to the Exchange Act as are necessary in order to make generally available to its security holders as soon as practicable, but not later than the first day of the fifteenth full calendar month following the Execution Date, an earnings statement (which need not be certified by independent public or independent certified public accountants unless required by the Securities Act or the rules and regulations under the Securities Act, but which shall satisfy the provisions of Rule 158(a) under Section 11(a) of the Securities Act) covering a period of at least twelve consecutive months beginning after the Execution Date.</w:t>
      </w:r>
    </w:p>
    <w:p w14:paraId="34D540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40D44E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4.9  </w:t>
      </w:r>
      <w:r w:rsidRPr="00AE3C59">
        <w:rPr>
          <w:rFonts w:ascii="Times New Roman" w:eastAsia="Times New Roman" w:hAnsi="Times New Roman" w:cs="Times New Roman"/>
          <w:sz w:val="20"/>
          <w:szCs w:val="20"/>
          <w:u w:val="single"/>
          <w:lang w:val="en-US" w:eastAsia="en-US" w:bidi="ar-SA"/>
        </w:rPr>
        <w:t>Stabilization</w:t>
      </w:r>
      <w:r w:rsidRPr="00AE3C59">
        <w:rPr>
          <w:rFonts w:ascii="Times New Roman" w:eastAsia="Times New Roman" w:hAnsi="Times New Roman" w:cs="Times New Roman"/>
          <w:sz w:val="20"/>
          <w:szCs w:val="20"/>
          <w:lang w:val="en-US" w:eastAsia="en-US" w:bidi="ar-SA"/>
        </w:rPr>
        <w:t>. Neither the Company, nor, to its knowledge, any of its employees, directors or shareholders (without the consent of the Representative) has taken or will take, directly or indirectly, any action designed to or that has constituted or that might reasonably be expected to cause or result in, under the Exchange Act, or otherwise, stabilization or manipulation of the price of any security of the Company to facilitate the sale or resale of the Securities.</w:t>
      </w:r>
    </w:p>
    <w:p w14:paraId="3C1A858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0824E7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4.10  </w:t>
      </w:r>
      <w:r w:rsidRPr="00AE3C59">
        <w:rPr>
          <w:rFonts w:ascii="Times New Roman" w:eastAsia="Times New Roman" w:hAnsi="Times New Roman" w:cs="Times New Roman"/>
          <w:sz w:val="20"/>
          <w:szCs w:val="20"/>
          <w:u w:val="single"/>
          <w:lang w:val="en-US" w:eastAsia="en-US" w:bidi="ar-SA"/>
        </w:rPr>
        <w:t>Internal Controls</w:t>
      </w:r>
      <w:r w:rsidRPr="00AE3C59">
        <w:rPr>
          <w:rFonts w:ascii="Times New Roman" w:eastAsia="Times New Roman" w:hAnsi="Times New Roman" w:cs="Times New Roman"/>
          <w:sz w:val="20"/>
          <w:szCs w:val="20"/>
          <w:lang w:val="en-US" w:eastAsia="en-US" w:bidi="ar-SA"/>
        </w:rPr>
        <w:t>. The Company will maintain a system of internal accounting controls sufficient to provide reasonable assurances that: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transactions are executed in accordance with management’s general or specific authorization; (ii) transactions are recorded as necessary in order to permit preparation of financial statements in accordance with GAAP and to maintain accountability for assets; (iii) access to assets is permitted only in accordance with management’s general or specific authorization; and (iv) the recorded accountability for assets is compared with existing assets at reasonable intervals and appropriate action is taken with respect to any differences.</w:t>
      </w:r>
    </w:p>
    <w:p w14:paraId="0208CF5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0751F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4.11  </w:t>
      </w:r>
      <w:r w:rsidRPr="00AE3C59">
        <w:rPr>
          <w:rFonts w:ascii="Times New Roman" w:eastAsia="Times New Roman" w:hAnsi="Times New Roman" w:cs="Times New Roman"/>
          <w:sz w:val="20"/>
          <w:szCs w:val="20"/>
          <w:u w:val="single"/>
          <w:lang w:val="en-US" w:eastAsia="en-US" w:bidi="ar-SA"/>
        </w:rPr>
        <w:t>Accountants</w:t>
      </w:r>
      <w:r w:rsidRPr="00AE3C59">
        <w:rPr>
          <w:rFonts w:ascii="Times New Roman" w:eastAsia="Times New Roman" w:hAnsi="Times New Roman" w:cs="Times New Roman"/>
          <w:sz w:val="20"/>
          <w:szCs w:val="20"/>
          <w:lang w:val="en-US" w:eastAsia="en-US" w:bidi="ar-SA"/>
        </w:rPr>
        <w:t>. For a period of three (3) years from the Effective Date, the Company shall continue to retain a nationally recognized, independent PCAOB registered public accounting firm. The Underwriters acknowledge that the Company Auditor is acceptable to the Underwriters.</w:t>
      </w:r>
    </w:p>
    <w:p w14:paraId="5EDF3E6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569DA9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4.12  </w:t>
      </w:r>
      <w:r w:rsidRPr="00AE3C59">
        <w:rPr>
          <w:rFonts w:ascii="Times New Roman" w:eastAsia="Times New Roman" w:hAnsi="Times New Roman" w:cs="Times New Roman"/>
          <w:sz w:val="20"/>
          <w:szCs w:val="20"/>
          <w:u w:val="single"/>
          <w:lang w:val="en-US" w:eastAsia="en-US" w:bidi="ar-SA"/>
        </w:rPr>
        <w:t>FINRA</w:t>
      </w:r>
      <w:r w:rsidRPr="00AE3C59">
        <w:rPr>
          <w:rFonts w:ascii="Times New Roman" w:eastAsia="Times New Roman" w:hAnsi="Times New Roman" w:cs="Times New Roman"/>
          <w:sz w:val="20"/>
          <w:szCs w:val="20"/>
          <w:lang w:val="en-US" w:eastAsia="en-US" w:bidi="ar-SA"/>
        </w:rPr>
        <w:t>. The Company shall advise the Underwriters (who shall make an appropriate filing with FINRA) if it is aware that any officer, director, 5% or greater shareholder of the Company or Person that received the Company’s unregistered equity securities in the past 180 days is or becomes an affiliate or associated person of a FINRA member firm prior to the earlier of the termination of this Agreement or the conclusion of the distribution of the Offering.</w:t>
      </w:r>
    </w:p>
    <w:p w14:paraId="38F2F51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BB2772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4.13  </w:t>
      </w:r>
      <w:r w:rsidRPr="00AE3C59">
        <w:rPr>
          <w:rFonts w:ascii="Times New Roman" w:eastAsia="Times New Roman" w:hAnsi="Times New Roman" w:cs="Times New Roman"/>
          <w:sz w:val="20"/>
          <w:szCs w:val="20"/>
          <w:u w:val="single"/>
          <w:lang w:val="en-US" w:eastAsia="en-US" w:bidi="ar-SA"/>
        </w:rPr>
        <w:t>No Fiduciary Duties</w:t>
      </w:r>
      <w:r w:rsidRPr="00AE3C59">
        <w:rPr>
          <w:rFonts w:ascii="Times New Roman" w:eastAsia="Times New Roman" w:hAnsi="Times New Roman" w:cs="Times New Roman"/>
          <w:sz w:val="20"/>
          <w:szCs w:val="20"/>
          <w:lang w:val="en-US" w:eastAsia="en-US" w:bidi="ar-SA"/>
        </w:rPr>
        <w:t xml:space="preserve">. The Company acknowledges and agrees that the Underwriters’ responsibility to the Company is solely contractual and commercial in nature, based on arms-length negotiations and that neither the Underwriters nor their affiliates or any selected dealer shall be deemed to be acting in a fiduciary capacity, or otherwise owes any fiduciary duty to the Company or any of its affiliates in connection with the Offering and the other transactions contemplated by this Agreement. Notwithstanding anything in this Agreement to the contrary, the Company acknowledges that the Underwriters may have financial interests in the success of the Offering that are not limited to the difference between the price to the public </w:t>
      </w:r>
      <w:r w:rsidRPr="00AE3C59">
        <w:rPr>
          <w:rFonts w:ascii="Times New Roman" w:eastAsia="Times New Roman" w:hAnsi="Times New Roman" w:cs="Times New Roman"/>
          <w:sz w:val="20"/>
          <w:szCs w:val="20"/>
          <w:lang w:val="en-US" w:eastAsia="en-US" w:bidi="ar-SA"/>
        </w:rPr>
        <w:lastRenderedPageBreak/>
        <w:t>and the purchase price paid to the Company by the Underwriters for the shares and the Underwriters have no obligation to disclose, or account to the Company for, any of such additional financial interests. The Company hereby waives and releases, to the fullest extent permitted by law, any claims that the Company may have against the Underwriters with respect to any breach or alleged breach of fiduciary duty by the Underwriters.</w:t>
      </w:r>
    </w:p>
    <w:p w14:paraId="68932681"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0391A4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4.14  </w:t>
      </w:r>
      <w:r w:rsidRPr="00AE3C59">
        <w:rPr>
          <w:rFonts w:ascii="Times New Roman" w:eastAsia="Times New Roman" w:hAnsi="Times New Roman" w:cs="Times New Roman"/>
          <w:sz w:val="20"/>
          <w:szCs w:val="20"/>
          <w:u w:val="single"/>
          <w:lang w:val="en-US" w:eastAsia="en-US" w:bidi="ar-SA"/>
        </w:rPr>
        <w:t>Warrant Shares</w:t>
      </w:r>
      <w:r w:rsidRPr="00AE3C59">
        <w:rPr>
          <w:rFonts w:ascii="Times New Roman" w:eastAsia="Times New Roman" w:hAnsi="Times New Roman" w:cs="Times New Roman"/>
          <w:sz w:val="20"/>
          <w:szCs w:val="20"/>
          <w:lang w:val="en-US" w:eastAsia="en-US" w:bidi="ar-SA"/>
        </w:rPr>
        <w:t>. If all or any portion of a Pre-Funded Warrant, Warrant or a Representative’s Warrant is exercised at a time when there is an effective registration statement to cover the issuance of the Pre-Funded Warrant Shares, Warrant Shares or the Representative’s Warrant Shares, as the case may be, or if the Pre-Funded Warrant, Warrant or Representative’s Warrant is exercised via cashless exercise at a time when such Pre-Funded Warrant Shares, Warrant Shares or Representative’s Warrant Shares are eligible for resale under Rule 144 by a non-affiliate of the Company, the Pre-Funded Warrant Shares, Warrant Shares or the Representative’s Warrant Shares issued pursuant to any such exercise shall be issued free of all restrictive legends. If at any time following the date hereof the Registration Statement (or any subsequent registration statement registering the sale or resale of the Pre-Funded Warrant Shares, Warrant Shares or the Representative’s Warrant Shares) is not effective or is not otherwise available for the sale of the Pre-Funded Warrant Shares, Warrant Shares or the Representative’s Warrant Shares, the Company shall immediately notify the holders that have provided it an address of the Pre-Funded Warrants, Warrants or the Representative’s Warrant Agreement in writing that such registration statement is not then effective and thereafter shall promptly notify such holders when the registration statement is effective again and available for the sale of the Pre-Funded Warrant Shares, Warrant Shares or the Representative’s Warrant Shares (it being understood and agreed that the foregoing shall not limit the ability of the Company to issue, or any holder thereof to sell, any of the Pre-Funded Warrant Shares or Warrant Shares in compliance with applicable federal and state securities laws).</w:t>
      </w:r>
    </w:p>
    <w:p w14:paraId="59B2C3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153D1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4.15  </w:t>
      </w:r>
      <w:r w:rsidRPr="00AE3C59">
        <w:rPr>
          <w:rFonts w:ascii="Times New Roman" w:eastAsia="Times New Roman" w:hAnsi="Times New Roman" w:cs="Times New Roman"/>
          <w:sz w:val="20"/>
          <w:szCs w:val="20"/>
          <w:u w:val="single"/>
          <w:lang w:val="en-US" w:eastAsia="en-US" w:bidi="ar-SA"/>
        </w:rPr>
        <w:t>Board Composition and Board Designations</w:t>
      </w:r>
      <w:r w:rsidRPr="00AE3C59">
        <w:rPr>
          <w:rFonts w:ascii="Times New Roman" w:eastAsia="Times New Roman" w:hAnsi="Times New Roman" w:cs="Times New Roman"/>
          <w:sz w:val="20"/>
          <w:szCs w:val="20"/>
          <w:lang w:val="en-US" w:eastAsia="en-US" w:bidi="ar-SA"/>
        </w:rPr>
        <w:t>. The qualifications of the persons serving as board members of the Company and the overall composition of the Board of Directors shall comply with the Sarbanes-Oxley Act of 2002 and the rules promulgated thereunder and with the listing requirements of the Nasdaq Stock Market LLC and, if applicable, at least one member of the Board of Directors must qualify as a “financial expert” as such term is defined under the Sarbanes-Oxley Act of 2002 and the rules promulgated thereunder.</w:t>
      </w:r>
    </w:p>
    <w:p w14:paraId="5BD56B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79C24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4.16  </w:t>
      </w:r>
      <w:r w:rsidRPr="00AE3C59">
        <w:rPr>
          <w:rFonts w:ascii="Times New Roman" w:eastAsia="Times New Roman" w:hAnsi="Times New Roman" w:cs="Times New Roman"/>
          <w:sz w:val="20"/>
          <w:szCs w:val="20"/>
          <w:u w:val="single"/>
          <w:lang w:val="en-US" w:eastAsia="en-US" w:bidi="ar-SA"/>
        </w:rPr>
        <w:t>Securities Laws Disclosure; Publicity</w:t>
      </w:r>
      <w:r w:rsidRPr="00AE3C59">
        <w:rPr>
          <w:rFonts w:ascii="Times New Roman" w:eastAsia="Times New Roman" w:hAnsi="Times New Roman" w:cs="Times New Roman"/>
          <w:sz w:val="20"/>
          <w:szCs w:val="20"/>
          <w:lang w:val="en-US" w:eastAsia="en-US" w:bidi="ar-SA"/>
        </w:rPr>
        <w:t>. At the request of the Representative, by 9:00 a.m. (New York City time) on the date hereof, the Company shall issue a press release disclosing the material terms of the Offering. The Company and the Representative shall consult with each other in issuing any press releases with respect to the Offering, and neither the Company nor any Underwriter shall issue any such press release nor otherwise make any such public statement without the prior consent of the Company, which consent shall not unreasonably be withheld or delayed, except if such disclosure is required by law, in which case the disclosing party shall promptly provide the other party with prior notice of such public statement or communication. The Company will not issue press releases or engage in any other publicity, without the Representative’s prior consent, which consent will not be unreasonably withheld, for a period ending at 5:00 p.m. (New York City time) on the first business day following the 45th day following the Closing Date, other than normal and customary releases issued in the ordinary course of the Company’s business.</w:t>
      </w:r>
    </w:p>
    <w:p w14:paraId="4B1FA3E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7DF4A3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4.17  </w:t>
      </w:r>
      <w:r w:rsidRPr="00AE3C59">
        <w:rPr>
          <w:rFonts w:ascii="Times New Roman" w:eastAsia="Times New Roman" w:hAnsi="Times New Roman" w:cs="Times New Roman"/>
          <w:sz w:val="20"/>
          <w:szCs w:val="20"/>
          <w:u w:val="single"/>
          <w:lang w:val="en-US" w:eastAsia="en-US" w:bidi="ar-SA"/>
        </w:rPr>
        <w:t>Shareholder Rights Plan</w:t>
      </w:r>
      <w:r w:rsidRPr="00AE3C59">
        <w:rPr>
          <w:rFonts w:ascii="Times New Roman" w:eastAsia="Times New Roman" w:hAnsi="Times New Roman" w:cs="Times New Roman"/>
          <w:sz w:val="20"/>
          <w:szCs w:val="20"/>
          <w:lang w:val="en-US" w:eastAsia="en-US" w:bidi="ar-SA"/>
        </w:rPr>
        <w:t>. No claim will be made or enforced by the Company or, with the consent of the Company, any other Person, that any Underwriter of the Securities is an “Acquiring Person” under any control share acquisition, business combination, poison pill (including any distribution under a rights agreement) or similar anti-takeover plan or arrangement in effect or hereafter adopted by the Company, or that any Underwriter of Securities could be deemed to trigger the provisions of any such plan or arrangement, by virtue of receiving Securities.</w:t>
      </w:r>
    </w:p>
    <w:p w14:paraId="6C2E87B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5018E3E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4.18  </w:t>
      </w:r>
      <w:r w:rsidRPr="00AE3C59">
        <w:rPr>
          <w:rFonts w:ascii="Times New Roman" w:eastAsia="Times New Roman" w:hAnsi="Times New Roman" w:cs="Times New Roman"/>
          <w:sz w:val="20"/>
          <w:szCs w:val="20"/>
          <w:u w:val="single"/>
          <w:lang w:val="en-US" w:eastAsia="en-US" w:bidi="ar-SA"/>
        </w:rPr>
        <w:t>Reservation of Common Stock</w:t>
      </w:r>
      <w:r w:rsidRPr="00AE3C59">
        <w:rPr>
          <w:rFonts w:ascii="Times New Roman" w:eastAsia="Times New Roman" w:hAnsi="Times New Roman" w:cs="Times New Roman"/>
          <w:sz w:val="20"/>
          <w:szCs w:val="20"/>
          <w:lang w:val="en-US" w:eastAsia="en-US" w:bidi="ar-SA"/>
        </w:rPr>
        <w:t>. As of the date hereof, the Company has reserved and the Company shall continue to reserve and keep available at all times while any of the Pre-Funded Warrants, Warrants or Representative’s Warrants are outstanding, free of preemptive rights, a sufficient number of shares of Common Stock for the purpose of enabling the Company to issue Option Shares pursuant to the Over-Allotment Option, Pre-Funded Warrant Shares pursuant to any exercise of the Pre-Funded Warrants, Warrant Shares pursuant to any exercise of the Warrants and Representative’s Warrant Shares pursuant to any exercise of the Representative’s Warrants.</w:t>
      </w:r>
    </w:p>
    <w:p w14:paraId="65ECC55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75BE7C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4.19  </w:t>
      </w:r>
      <w:r w:rsidRPr="00AE3C59">
        <w:rPr>
          <w:rFonts w:ascii="Times New Roman" w:eastAsia="Times New Roman" w:hAnsi="Times New Roman" w:cs="Times New Roman"/>
          <w:sz w:val="20"/>
          <w:szCs w:val="20"/>
          <w:u w:val="single"/>
          <w:lang w:val="en-US" w:eastAsia="en-US" w:bidi="ar-SA"/>
        </w:rPr>
        <w:t>Listing of Common Stock and Warrants</w:t>
      </w:r>
      <w:r w:rsidRPr="00AE3C59">
        <w:rPr>
          <w:rFonts w:ascii="Times New Roman" w:eastAsia="Times New Roman" w:hAnsi="Times New Roman" w:cs="Times New Roman"/>
          <w:sz w:val="20"/>
          <w:szCs w:val="20"/>
          <w:lang w:val="en-US" w:eastAsia="en-US" w:bidi="ar-SA"/>
        </w:rPr>
        <w:t>. The Common Stock and the Warrants have been approved for trading on the Nasdaq Capital Market. The Company agrees to use its commercially reasonable best efforts to effect and maintain the trading of the Common Stock and the Warrants on the Nasdaq Capital Market for at least three (3) years after the Closing Date; provided that such provision shall not prevent a sale, merger or similar transaction involving the Company.</w:t>
      </w:r>
    </w:p>
    <w:p w14:paraId="2BD6E40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DF7BA1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4.20  </w:t>
      </w:r>
      <w:r w:rsidRPr="00AE3C59">
        <w:rPr>
          <w:rFonts w:ascii="Times New Roman" w:eastAsia="Times New Roman" w:hAnsi="Times New Roman" w:cs="Times New Roman"/>
          <w:sz w:val="20"/>
          <w:szCs w:val="20"/>
          <w:u w:val="single"/>
          <w:lang w:val="en-US" w:eastAsia="en-US" w:bidi="ar-SA"/>
        </w:rPr>
        <w:t>Right of First Refusal</w:t>
      </w:r>
      <w:r w:rsidRPr="00AE3C59">
        <w:rPr>
          <w:rFonts w:ascii="Times New Roman" w:eastAsia="Times New Roman" w:hAnsi="Times New Roman" w:cs="Times New Roman"/>
          <w:sz w:val="20"/>
          <w:szCs w:val="20"/>
          <w:lang w:val="en-US" w:eastAsia="en-US" w:bidi="ar-SA"/>
        </w:rPr>
        <w:t>. Upon the Closing of the Offering, for a period of eighteen (18) months from such Closing, the Company grants each of Maxim and Joseph Gunnar &amp; Co., LLC (“</w:t>
      </w:r>
      <w:r w:rsidRPr="00AE3C59">
        <w:rPr>
          <w:rFonts w:ascii="Times New Roman" w:eastAsia="Times New Roman" w:hAnsi="Times New Roman" w:cs="Times New Roman"/>
          <w:sz w:val="20"/>
          <w:szCs w:val="20"/>
          <w:u w:val="single"/>
          <w:lang w:val="en-US" w:eastAsia="en-US" w:bidi="ar-SA"/>
        </w:rPr>
        <w:t>JG</w:t>
      </w:r>
      <w:r w:rsidRPr="00AE3C59">
        <w:rPr>
          <w:rFonts w:ascii="Times New Roman" w:eastAsia="Times New Roman" w:hAnsi="Times New Roman" w:cs="Times New Roman"/>
          <w:sz w:val="20"/>
          <w:szCs w:val="20"/>
          <w:lang w:val="en-US" w:eastAsia="en-US" w:bidi="ar-SA"/>
        </w:rPr>
        <w:t>”) the right of first refusal (the “</w:t>
      </w:r>
      <w:r w:rsidRPr="00AE3C59">
        <w:rPr>
          <w:rFonts w:ascii="Times New Roman" w:eastAsia="Times New Roman" w:hAnsi="Times New Roman" w:cs="Times New Roman"/>
          <w:sz w:val="20"/>
          <w:szCs w:val="20"/>
          <w:u w:val="single"/>
          <w:lang w:val="en-US" w:eastAsia="en-US" w:bidi="ar-SA"/>
        </w:rPr>
        <w:t xml:space="preserve">Right of </w:t>
      </w:r>
      <w:r w:rsidRPr="00AE3C59">
        <w:rPr>
          <w:rFonts w:ascii="Times New Roman" w:eastAsia="Times New Roman" w:hAnsi="Times New Roman" w:cs="Times New Roman"/>
          <w:sz w:val="20"/>
          <w:szCs w:val="20"/>
          <w:u w:val="single"/>
          <w:lang w:val="en-US" w:eastAsia="en-US" w:bidi="ar-SA"/>
        </w:rPr>
        <w:lastRenderedPageBreak/>
        <w:t>First Refusal</w:t>
      </w:r>
      <w:r w:rsidRPr="00AE3C59">
        <w:rPr>
          <w:rFonts w:ascii="Times New Roman" w:eastAsia="Times New Roman" w:hAnsi="Times New Roman" w:cs="Times New Roman"/>
          <w:sz w:val="20"/>
          <w:szCs w:val="20"/>
          <w:lang w:val="en-US" w:eastAsia="en-US" w:bidi="ar-SA"/>
        </w:rPr>
        <w:t>”) to act as lead managing underwriter and book-runner and/or placement agent for any and all future public or private equity, equity-linked or debt (excluding commercial bank debt) offerings undertaken during such period by the Company, any Subsidiary, or any successor to the Company (each, a “</w:t>
      </w:r>
      <w:r w:rsidRPr="00AE3C59">
        <w:rPr>
          <w:rFonts w:ascii="Times New Roman" w:eastAsia="Times New Roman" w:hAnsi="Times New Roman" w:cs="Times New Roman"/>
          <w:sz w:val="20"/>
          <w:szCs w:val="20"/>
          <w:u w:val="single"/>
          <w:lang w:val="en-US" w:eastAsia="en-US" w:bidi="ar-SA"/>
        </w:rPr>
        <w:t>Subject Transaction</w:t>
      </w:r>
      <w:r w:rsidRPr="00AE3C59">
        <w:rPr>
          <w:rFonts w:ascii="Times New Roman" w:eastAsia="Times New Roman" w:hAnsi="Times New Roman" w:cs="Times New Roman"/>
          <w:sz w:val="20"/>
          <w:szCs w:val="20"/>
          <w:lang w:val="en-US" w:eastAsia="en-US" w:bidi="ar-SA"/>
        </w:rPr>
        <w:t xml:space="preserve">”), at each of Maxim’s and JG’s sole and exclusive discretion, on terms and conditions customary to each of Maxim and JG for such Subject Transactions. The Right of First Refusal shall not apply to the private placement fund-raising efforts of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For the avoidance of doubt, the Right of First Refusal shall apply to: (a) the public equity fund-raising efforts of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and (b) solely in the event that either </w:t>
      </w:r>
      <w:proofErr w:type="spellStart"/>
      <w:r w:rsidRPr="00AE3C59">
        <w:rPr>
          <w:rFonts w:ascii="Times New Roman" w:eastAsia="Times New Roman" w:hAnsi="Times New Roman" w:cs="Times New Roman"/>
          <w:sz w:val="20"/>
          <w:szCs w:val="20"/>
          <w:lang w:val="en-US" w:eastAsia="en-US" w:bidi="ar-SA"/>
        </w:rPr>
        <w:t>Immutak’s</w:t>
      </w:r>
      <w:proofErr w:type="spellEnd"/>
      <w:r w:rsidRPr="00AE3C59">
        <w:rPr>
          <w:rFonts w:ascii="Times New Roman" w:eastAsia="Times New Roman" w:hAnsi="Times New Roman" w:cs="Times New Roman"/>
          <w:sz w:val="20"/>
          <w:szCs w:val="20"/>
          <w:lang w:val="en-US" w:eastAsia="en-US" w:bidi="ar-SA"/>
        </w:rPr>
        <w:t xml:space="preserve"> securities become publicly traded or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merges with and into the Company such that the Company’s majority operations are the operations currently conducted by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to any offerings undertaken by </w:t>
      </w: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and/or the Company. In the event that both Maxim and JG exercise their respective Right of First Refusal as to the same public equity offering, the economic participation between Maxim and JG for this Right of First Refusal on such future public equity offering shall be </w:t>
      </w:r>
      <w:r w:rsidRPr="00AE3C59">
        <w:rPr>
          <w:rFonts w:ascii="Times New Roman" w:eastAsia="Times New Roman" w:hAnsi="Times New Roman" w:cs="Times New Roman"/>
          <w:sz w:val="20"/>
          <w:szCs w:val="20"/>
          <w:lang w:eastAsia="en-US" w:bidi="ar-SA"/>
        </w:rPr>
        <w:t>75</w:t>
      </w:r>
      <w:r w:rsidRPr="00AE3C59">
        <w:rPr>
          <w:rFonts w:ascii="Times New Roman" w:eastAsia="Times New Roman" w:hAnsi="Times New Roman" w:cs="Times New Roman"/>
          <w:sz w:val="20"/>
          <w:szCs w:val="20"/>
          <w:lang w:val="en-US" w:eastAsia="en-US" w:bidi="ar-SA"/>
        </w:rPr>
        <w:t>% to Maxim and 2</w:t>
      </w:r>
      <w:r w:rsidRPr="00AE3C59">
        <w:rPr>
          <w:rFonts w:ascii="Times New Roman" w:eastAsia="Times New Roman" w:hAnsi="Times New Roman" w:cs="Times New Roman"/>
          <w:sz w:val="20"/>
          <w:szCs w:val="20"/>
          <w:lang w:eastAsia="en-US" w:bidi="ar-SA"/>
        </w:rPr>
        <w:t>5</w:t>
      </w:r>
      <w:r w:rsidRPr="00AE3C59">
        <w:rPr>
          <w:rFonts w:ascii="Times New Roman" w:eastAsia="Times New Roman" w:hAnsi="Times New Roman" w:cs="Times New Roman"/>
          <w:sz w:val="20"/>
          <w:szCs w:val="20"/>
          <w:lang w:val="en-US" w:eastAsia="en-US" w:bidi="ar-SA"/>
        </w:rPr>
        <w:t>% to JG. For the avoidance of any doubt, the Company shall not retain, engage or solicit any additional investment banker, book-runner, financial advisor, underwriter and/or placement agent in a Subject Transaction without the express written consent of Maxim and JG.</w:t>
      </w:r>
    </w:p>
    <w:p w14:paraId="53ABB9E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06FAB9"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Company shall notify Maxim and JG of its intention to pursue a Subject Transaction, including the material terms thereof, by providing written notice thereof by registered mail or overnight courier service addressed to Maxim.  If Maxim fails to exercise its Right of First Refusal with respect to any Subject Transaction within ten (10) Business Days after the mailing of such written notice, then Maxim shall have no further claim or right with respect to the Subject Transaction. If JG fails to exercise its Right of First Refusal with respect to any Subject Transaction within ten (10) Business Days after the mailing of such written notice, then JG shall have no further claim or right with respect to the Subject Transaction. Each of Maxim and JG may elect, in its sole and absolute discretion, not to exercise its Right of First Refusal with respect to any Subject Transaction; provided that any such election by Maxim or JG shall not adversely affect its Right of First Refusal with respect to any other Subject Transaction during the eighteen (18) month period agreed to above.  </w:t>
      </w:r>
    </w:p>
    <w:p w14:paraId="6CCD936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9D9F2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4.21  </w:t>
      </w:r>
      <w:r w:rsidRPr="00AE3C59">
        <w:rPr>
          <w:rFonts w:ascii="Times New Roman" w:eastAsia="Times New Roman" w:hAnsi="Times New Roman" w:cs="Times New Roman"/>
          <w:sz w:val="20"/>
          <w:szCs w:val="20"/>
          <w:u w:val="single"/>
          <w:lang w:val="en-US" w:eastAsia="en-US" w:bidi="ar-SA"/>
        </w:rPr>
        <w:t>Subsequent Equity Sales</w:t>
      </w:r>
      <w:r w:rsidRPr="00AE3C59">
        <w:rPr>
          <w:rFonts w:ascii="Times New Roman" w:eastAsia="Times New Roman" w:hAnsi="Times New Roman" w:cs="Times New Roman"/>
          <w:sz w:val="20"/>
          <w:szCs w:val="20"/>
          <w:lang w:val="en-US" w:eastAsia="en-US" w:bidi="ar-SA"/>
        </w:rPr>
        <w:t>.</w:t>
      </w:r>
    </w:p>
    <w:p w14:paraId="2AEE89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1B3600"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From the date hereof until ninety (90) days after the Closing Date, neither the Company nor any Subsidiary shall issue, enter into any agreement to issue or announce the issuance or proposed issuance of any shares of Common Stock or Common Stock Equivalents.</w:t>
      </w:r>
    </w:p>
    <w:p w14:paraId="5AF36D3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7B11724"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Notwithstanding the foregoing, this </w:t>
      </w:r>
      <w:r w:rsidRPr="00AE3C59">
        <w:rPr>
          <w:rFonts w:ascii="Times New Roman" w:eastAsia="Times New Roman" w:hAnsi="Times New Roman" w:cs="Times New Roman"/>
          <w:sz w:val="20"/>
          <w:szCs w:val="20"/>
          <w:u w:val="single"/>
          <w:lang w:val="en-US" w:eastAsia="en-US" w:bidi="ar-SA"/>
        </w:rPr>
        <w:t>Section 4.21</w:t>
      </w:r>
      <w:r w:rsidRPr="00AE3C59">
        <w:rPr>
          <w:rFonts w:ascii="Times New Roman" w:eastAsia="Times New Roman" w:hAnsi="Times New Roman" w:cs="Times New Roman"/>
          <w:sz w:val="20"/>
          <w:szCs w:val="20"/>
          <w:lang w:val="en-US" w:eastAsia="en-US" w:bidi="ar-SA"/>
        </w:rPr>
        <w:t xml:space="preserve"> shall not apply in respect of an Exempt Issuance.</w:t>
      </w:r>
    </w:p>
    <w:p w14:paraId="6FD1A3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86F0E0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4.22  </w:t>
      </w:r>
      <w:r w:rsidRPr="00AE3C59">
        <w:rPr>
          <w:rFonts w:ascii="Times New Roman" w:eastAsia="Times New Roman" w:hAnsi="Times New Roman" w:cs="Times New Roman"/>
          <w:sz w:val="20"/>
          <w:szCs w:val="20"/>
          <w:u w:val="single"/>
          <w:lang w:val="en-US" w:eastAsia="en-US" w:bidi="ar-SA"/>
        </w:rPr>
        <w:t>Capital Changes</w:t>
      </w:r>
      <w:r w:rsidRPr="00AE3C59">
        <w:rPr>
          <w:rFonts w:ascii="Times New Roman" w:eastAsia="Times New Roman" w:hAnsi="Times New Roman" w:cs="Times New Roman"/>
          <w:sz w:val="20"/>
          <w:szCs w:val="20"/>
          <w:lang w:val="en-US" w:eastAsia="en-US" w:bidi="ar-SA"/>
        </w:rPr>
        <w:t>. Until ninety (90) days after the Closing Date and except for reverse stock splits as disclosed in the Registration Statement, the Company shall not undertake a reverse or forward stock split or reclassification of the Common Stock without the prior written consent of Maxim.</w:t>
      </w:r>
    </w:p>
    <w:p w14:paraId="37792F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326E1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4.23 </w:t>
      </w:r>
      <w:r w:rsidRPr="00AE3C59">
        <w:rPr>
          <w:rFonts w:ascii="Times New Roman" w:eastAsia="Times New Roman" w:hAnsi="Times New Roman" w:cs="Times New Roman"/>
          <w:sz w:val="20"/>
          <w:szCs w:val="20"/>
          <w:u w:val="single"/>
          <w:lang w:val="en-US" w:eastAsia="en-US" w:bidi="ar-SA"/>
        </w:rPr>
        <w:t>Post Offering Investments</w:t>
      </w:r>
      <w:r w:rsidRPr="00AE3C59">
        <w:rPr>
          <w:rFonts w:ascii="Times New Roman" w:eastAsia="Times New Roman" w:hAnsi="Times New Roman" w:cs="Times New Roman"/>
          <w:sz w:val="20"/>
          <w:szCs w:val="20"/>
          <w:lang w:val="en-US" w:eastAsia="en-US" w:bidi="ar-SA"/>
        </w:rPr>
        <w:t>. Provided that the Closing Securities are sold in accordance with the terms of this Agreement, in the event any individual or entity (including affiliates of such persons) that was introduced to the Company by any Underwriter subsequently provides the Company capital via any transaction, including, but not limited to, via any exercise of the Closing Warrants or the Option Warrants (if any) issued in this Offering, during the period commencing ninety-one (91) days following the Closing Date and continuing for a period of fifteen (15) months thereafter, the Company shall be obligated to pay the applicable Underwriter a cash fee of eight percent (8%) of the gross proceeds of any such investments.</w:t>
      </w:r>
    </w:p>
    <w:p w14:paraId="0CB5AA1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4B105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4.24  </w:t>
      </w:r>
      <w:r w:rsidRPr="00AE3C59">
        <w:rPr>
          <w:rFonts w:ascii="Times New Roman" w:eastAsia="Times New Roman" w:hAnsi="Times New Roman" w:cs="Times New Roman"/>
          <w:sz w:val="20"/>
          <w:szCs w:val="20"/>
          <w:u w:val="single"/>
          <w:lang w:val="en-US" w:eastAsia="en-US" w:bidi="ar-SA"/>
        </w:rPr>
        <w:t>Financial Public Relations Firm</w:t>
      </w:r>
      <w:r w:rsidRPr="00AE3C59">
        <w:rPr>
          <w:rFonts w:ascii="Times New Roman" w:eastAsia="Times New Roman" w:hAnsi="Times New Roman" w:cs="Times New Roman"/>
          <w:sz w:val="20"/>
          <w:szCs w:val="20"/>
          <w:lang w:val="en-US" w:eastAsia="en-US" w:bidi="ar-SA"/>
        </w:rPr>
        <w:t>. As of the Execution Date, the Company has retained a financial public relations firm reasonably acceptable to the Representative and the Company, which shall initially be CoreIR, which firm is experienced in assisting issuers in public offerings of securities and in their relations with their security holders, and shall retain such firm or another firm reasonably acceptable to the Representative for a period of not less than two (2) years after the Execution Date.</w:t>
      </w:r>
    </w:p>
    <w:p w14:paraId="4ABFC21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9859AF6"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4.25  </w:t>
      </w:r>
      <w:r w:rsidRPr="00AE3C59">
        <w:rPr>
          <w:rFonts w:ascii="Times New Roman" w:eastAsia="Times New Roman" w:hAnsi="Times New Roman" w:cs="Times New Roman"/>
          <w:sz w:val="20"/>
          <w:szCs w:val="20"/>
          <w:u w:val="single"/>
          <w:lang w:val="en-US" w:eastAsia="en-US" w:bidi="ar-SA"/>
        </w:rPr>
        <w:t>Research Independence</w:t>
      </w:r>
      <w:r w:rsidRPr="00AE3C59">
        <w:rPr>
          <w:rFonts w:ascii="Times New Roman" w:eastAsia="Times New Roman" w:hAnsi="Times New Roman" w:cs="Times New Roman"/>
          <w:sz w:val="20"/>
          <w:szCs w:val="20"/>
          <w:lang w:val="en-US" w:eastAsia="en-US" w:bidi="ar-SA"/>
        </w:rPr>
        <w:t xml:space="preserve">. The Company acknowledges that each Underwriter’s research analysts and research departments, if any, are required to be independent from their respective investment banking divisions and are subject to certain regulations and internal policies, and that such Underwriter’s research analysts may hold and make statements or investment recommendations and/or publish research reports with respect to the Company and/or the Offering that differ from the views of its investment bankers. The Company hereby waives and releases, to the fullest extent permitted by law, any claims that the Company may have against such Underwriter with respect to any conflict of interest that may arise from the fact that the views expressed by their independent research analysts and research departments may be different from or inconsistent with the views or advice communicated to the Company by such Underwriter’s investment banking divisions. The Company acknowledges that each Representative is a full service securities firm and as such from time to time, subject </w:t>
      </w:r>
      <w:r w:rsidRPr="00AE3C59">
        <w:rPr>
          <w:rFonts w:ascii="Times New Roman" w:eastAsia="Times New Roman" w:hAnsi="Times New Roman" w:cs="Times New Roman"/>
          <w:sz w:val="20"/>
          <w:szCs w:val="20"/>
          <w:lang w:val="en-US" w:eastAsia="en-US" w:bidi="ar-SA"/>
        </w:rPr>
        <w:lastRenderedPageBreak/>
        <w:t>to applicable securities laws, may effect transactions for its own account or the account of its customers and hold long or short position in debt or equity securities of the Company.</w:t>
      </w:r>
    </w:p>
    <w:p w14:paraId="5596A87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C9693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V.</w:t>
      </w:r>
      <w:r w:rsidRPr="00AE3C59">
        <w:rPr>
          <w:rFonts w:ascii="Times New Roman" w:eastAsia="Times New Roman" w:hAnsi="Times New Roman" w:cs="Times New Roman"/>
          <w:sz w:val="20"/>
          <w:szCs w:val="20"/>
          <w:lang w:val="en-US" w:eastAsia="en-US" w:bidi="ar-SA"/>
        </w:rPr>
        <w:t> </w:t>
      </w:r>
    </w:p>
    <w:p w14:paraId="3CD66595"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DEFAULT BY UNDERWRITERS</w:t>
      </w:r>
    </w:p>
    <w:p w14:paraId="0803CF9D" w14:textId="77777777" w:rsidR="00AE3C59" w:rsidRPr="00AE3C59" w:rsidRDefault="00AE3C59" w:rsidP="00AE3C59">
      <w:pPr>
        <w:spacing w:after="0" w:line="240" w:lineRule="auto"/>
        <w:ind w:left="720"/>
        <w:jc w:val="both"/>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15405C4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If on the Closing Date or any Option Closing Date, if any, any Underwriter shall fail to purchase and pay for the portion of the Closing Securities or Option Securities, as the case may be, which such Underwriter has agreed to purchase and pay for on such date (otherwise than by reason of any default on the part of the Company), the Representative, or if a Representative is the defaulting Underwriter, the non-defaulting Underwriters, shall use their reasonable efforts to procure within 36 hours thereafter one or more of the other Underwriters, or any others, to purchase from the Company such amounts as may be agreed upon and upon the terms set forth herein, the Closing Securities or Option Securities, as the case may be, which the defaulting Underwriter or Underwriters failed to purchase. If during such 36 hours the Representative shall not have procured such other Underwriters, or any others, to purchase the Closing Securities or Option Securities, as the case may be, agreed to be purchased by the defaulting Underwriter or Underwriters, then (a) if the aggregate number of Closing Securities or Option Securities, as the case may be, with respect to which such default shall occur does not exceed 10% of the Closing Securities or Option Securities, as the case may be, covered hereby, the other Underwriters shall be obligated, severally, in proportion to the respective numbers of Closing Securities or Option Securities, as the case may be, which they are obligated to purchase hereunder, to purchase the Closing Securities or Option Securities, as the case may be, which such defaulting Underwriter or Underwriters failed to purchase, or (b) if the aggregate number of Closing Securities or Option Securities, as the case may be, with respect to which such default shall occur exceeds 10% of the Closing Securities or Option Securities, as the case may be, covered hereby, the Company or the Representative will have the right to terminate this Agreement without liability on the part of the non-defaulting Underwriters or of the Company except to the extent provided in Article VI hereof. In the event of a default by any Underwriter or Underwriters, as set forth in this Article V, the applicable Closing Date may be postponed for such period, not exceeding seven days, as the Representative, or if a Representative is the defaulting Underwriter, the non-defaulting Underwriters, may determine in order that the required changes in the Prospectus or in any other documents or arrangements may be effected. The term “Underwriter” includes any person substituted for a defaulting Underwriter. Any action taken under this Section shall not relieve any defaulting Underwriter from liability in respect of any default of such Underwriter under this Agreement.</w:t>
      </w:r>
    </w:p>
    <w:p w14:paraId="6120EA0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6BE1C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66A88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VI. </w:t>
      </w:r>
    </w:p>
    <w:p w14:paraId="2B5BECC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INDEMNIFICATION</w:t>
      </w:r>
    </w:p>
    <w:p w14:paraId="00976EC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C82868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6.1  </w:t>
      </w:r>
      <w:r w:rsidRPr="00AE3C59">
        <w:rPr>
          <w:rFonts w:ascii="Times New Roman" w:eastAsia="Times New Roman" w:hAnsi="Times New Roman" w:cs="Times New Roman"/>
          <w:sz w:val="20"/>
          <w:szCs w:val="20"/>
          <w:u w:val="single"/>
          <w:lang w:val="en-US" w:eastAsia="en-US" w:bidi="ar-SA"/>
        </w:rPr>
        <w:t>Indemnification of the Underwriters</w:t>
      </w:r>
      <w:r w:rsidRPr="00AE3C59">
        <w:rPr>
          <w:rFonts w:ascii="Times New Roman" w:eastAsia="Times New Roman" w:hAnsi="Times New Roman" w:cs="Times New Roman"/>
          <w:sz w:val="20"/>
          <w:szCs w:val="20"/>
          <w:lang w:val="en-US" w:eastAsia="en-US" w:bidi="ar-SA"/>
        </w:rPr>
        <w:t>. The Company shall indemnify and hold harmless each Underwriter, its affiliates, the directors, officers, employees and agents of such Underwriter and each person, if any, who controls such Underwriter within the meaning of Section 15 of the Securities Act or Section 20 of the Exchange Act from and against any and all losses, claims, liabilities, expenses and damages (including any and all investigative, legal and other expenses reasonably incurred in connection with, and any amount paid in settlement of, any action, suit or proceeding between any of the indemnified parties and any indemnifying parties or between any indemnified party and any third party, or otherwise, or any claim asserted), to which they, or any of them, may become subject under the Securities Act, the Exchange Act or other federal or state statutory law or regulation, at common law or otherwise, insofar as such losses, claims, liabilities, expenses or damages arise out of or are based on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any untrue statement or alleged untrue statement of a material fact contained in the Registration Statement (or any amendment thereto), including the information deemed to be a part of the Registration Statement at the time of effectiveness and at any subsequent time pursuant to Rules 430A and 430B of the Securities Act and the rules and regulations thereunder, as applicable, or the omission or alleged omission therefrom of a material fact required to be stated therein or necessary to make the statements therein not misleading or (ii) any untrue statement or alleged untrue statement of a material fact contained in any preliminary prospectus, any preliminary prospectus supplement, any Permitted Free Writing Prospectus or the Prospectus (or any amendment or supplement to any of the foregoing) or the omission or alleged omission therefrom of a material fact necessary in order to make the statements therein, in the light of the circumstances under which they were made, not misleading or (iii) any untrue statement or alleged untrue statement of a material fact contained in any materials or information provided to investors by, or with the approval of, the Company in connection with the marketing of the Offering of the Securities, including any roadshow or investor presentations made to investors by the Company (whether in person or electronically) (collectively, “</w:t>
      </w:r>
      <w:r w:rsidRPr="00AE3C59">
        <w:rPr>
          <w:rFonts w:ascii="Times New Roman" w:eastAsia="Times New Roman" w:hAnsi="Times New Roman" w:cs="Times New Roman"/>
          <w:sz w:val="20"/>
          <w:szCs w:val="20"/>
          <w:u w:val="single"/>
          <w:lang w:val="en-US" w:eastAsia="en-US" w:bidi="ar-SA"/>
        </w:rPr>
        <w:t>Marketing Materials</w:t>
      </w:r>
      <w:r w:rsidRPr="00AE3C59">
        <w:rPr>
          <w:rFonts w:ascii="Times New Roman" w:eastAsia="Times New Roman" w:hAnsi="Times New Roman" w:cs="Times New Roman"/>
          <w:sz w:val="20"/>
          <w:szCs w:val="20"/>
          <w:lang w:val="en-US" w:eastAsia="en-US" w:bidi="ar-SA"/>
        </w:rPr>
        <w:t xml:space="preserve">”) or the omission or alleged omission therefrom of a material fact necessary in order to make the statements therein, in the light of the circumstances under which they were made, not misleading or (iv) in whole or in part any inaccuracy in any material respect in the representations and warranties of the Company contained herein; </w:t>
      </w:r>
      <w:r w:rsidRPr="00AE3C59">
        <w:rPr>
          <w:rFonts w:ascii="Times New Roman" w:eastAsia="Times New Roman" w:hAnsi="Times New Roman" w:cs="Times New Roman"/>
          <w:i/>
          <w:iCs/>
          <w:sz w:val="20"/>
          <w:szCs w:val="20"/>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i/>
          <w:iCs/>
          <w:sz w:val="20"/>
          <w:szCs w:val="20"/>
          <w:lang w:val="en-US" w:eastAsia="en-US" w:bidi="ar-SA"/>
        </w:rPr>
        <w:t>however</w:t>
      </w:r>
      <w:r w:rsidRPr="00AE3C59">
        <w:rPr>
          <w:rFonts w:ascii="Times New Roman" w:eastAsia="Times New Roman" w:hAnsi="Times New Roman" w:cs="Times New Roman"/>
          <w:sz w:val="20"/>
          <w:szCs w:val="20"/>
          <w:lang w:val="en-US" w:eastAsia="en-US" w:bidi="ar-SA"/>
        </w:rPr>
        <w:t xml:space="preserve">, that the Company shall not be liable to the extent that such loss, claim, liability, expense or damage is based on any untrue statement or omission or alleged </w:t>
      </w:r>
      <w:r w:rsidRPr="00AE3C59">
        <w:rPr>
          <w:rFonts w:ascii="Times New Roman" w:eastAsia="Times New Roman" w:hAnsi="Times New Roman" w:cs="Times New Roman"/>
          <w:sz w:val="20"/>
          <w:szCs w:val="20"/>
          <w:lang w:val="en-US" w:eastAsia="en-US" w:bidi="ar-SA"/>
        </w:rPr>
        <w:lastRenderedPageBreak/>
        <w:t>untrue statement or omission made in reliance on and in conformity with Underwriters’ Information. This indemnity agreement will be in addition to any liability that the Company might otherwise have. For all purposes of this Agreement, the information set forth in the Prospectus in the “Discretionary Accounts,” “Price Stabilization, Short Positions and Penalty Bids” and “Electronic Distribution” sections under the caption “Underwriting” constitutes the only information (the “</w:t>
      </w:r>
      <w:r w:rsidRPr="00AE3C59">
        <w:rPr>
          <w:rFonts w:ascii="Times New Roman" w:eastAsia="Times New Roman" w:hAnsi="Times New Roman" w:cs="Times New Roman"/>
          <w:sz w:val="20"/>
          <w:szCs w:val="20"/>
          <w:u w:val="single"/>
          <w:lang w:val="en-US" w:eastAsia="en-US" w:bidi="ar-SA"/>
        </w:rPr>
        <w:t>Underwriters’ Information</w:t>
      </w:r>
      <w:r w:rsidRPr="00AE3C59">
        <w:rPr>
          <w:rFonts w:ascii="Times New Roman" w:eastAsia="Times New Roman" w:hAnsi="Times New Roman" w:cs="Times New Roman"/>
          <w:sz w:val="20"/>
          <w:szCs w:val="20"/>
          <w:lang w:val="en-US" w:eastAsia="en-US" w:bidi="ar-SA"/>
        </w:rPr>
        <w:t>”) relating to the Underwriters furnished in writing to the Company by the Underwriters through the Representative specifically for inclusion in the preliminary prospectus, the Registration Statement or the Prospectus.</w:t>
      </w:r>
    </w:p>
    <w:p w14:paraId="466F39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40AC1C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6.2  </w:t>
      </w:r>
      <w:r w:rsidRPr="00AE3C59">
        <w:rPr>
          <w:rFonts w:ascii="Times New Roman" w:eastAsia="Times New Roman" w:hAnsi="Times New Roman" w:cs="Times New Roman"/>
          <w:sz w:val="20"/>
          <w:szCs w:val="20"/>
          <w:u w:val="single"/>
          <w:lang w:val="en-US" w:eastAsia="en-US" w:bidi="ar-SA"/>
        </w:rPr>
        <w:t>Indemnification of the Company</w:t>
      </w:r>
      <w:r w:rsidRPr="00AE3C59">
        <w:rPr>
          <w:rFonts w:ascii="Times New Roman" w:eastAsia="Times New Roman" w:hAnsi="Times New Roman" w:cs="Times New Roman"/>
          <w:sz w:val="20"/>
          <w:szCs w:val="20"/>
          <w:lang w:val="en-US" w:eastAsia="en-US" w:bidi="ar-SA"/>
        </w:rPr>
        <w:t xml:space="preserve">. Each Underwriter, severally and not jointly, agrees to indemnify and hold harmless the Company, its affiliates, the directors, officers, employees and agents of the Company and each other person or entity, if any, who controls the Company within the meaning of Section 15 of the Securities Act or Section 20 of the Exchange Act, against any losses, liabilities, claims, damages and expenses whatsoever, as incurred (including but not limited to reasonable attorneys’ fees and any and all reasonable expenses whatsoever, incurred in investigating, preparing or defending against any litigation, commenced or threatened, or any claim whatsoever, and any and all amounts paid in settlement of any claim or litigation), joint or several, to which they or any of them may become subject under the Securities Act, the Exchange Act or otherwise, insofar as such losses, liabilities, claims, damages or expenses (or actions in respect thereof) arise out of or are based upon an untrue statement or alleged untrue statement of a material fact contained in the Registration Statement at the time of effectiveness and at any subsequent time pursuant to Rules 430A and 430B of the Securities Act and the rules and regulations thereunder, any Preliminary Prospectus, the Prospectus, or any amendment or supplement to any of them, or arise out of or are based upon the omission or alleged omission to state therein a material fact required to be stated therein or necessary to make the statements therein not misleading, in each case to the extent, but only to the extent, that any such loss, liability, claim, damage or expense (or action in respect thereof) arises out of or is based upon any such untrue statement or alleged untrue statement or omission or alleged omission made therein in reliance upon the Underwriters’ Information; </w:t>
      </w:r>
      <w:r w:rsidRPr="00AE3C59">
        <w:rPr>
          <w:rFonts w:ascii="Times New Roman" w:eastAsia="Times New Roman" w:hAnsi="Times New Roman" w:cs="Times New Roman"/>
          <w:sz w:val="20"/>
          <w:szCs w:val="20"/>
          <w:u w:val="single"/>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however</w:t>
      </w:r>
      <w:r w:rsidRPr="00AE3C59">
        <w:rPr>
          <w:rFonts w:ascii="Times New Roman" w:eastAsia="Times New Roman" w:hAnsi="Times New Roman" w:cs="Times New Roman"/>
          <w:sz w:val="20"/>
          <w:szCs w:val="20"/>
          <w:lang w:val="en-US" w:eastAsia="en-US" w:bidi="ar-SA"/>
        </w:rPr>
        <w:t>, that in no case shall any Underwriter be liable or responsible for any amount in excess of the underwriting discount and commissions applicable to the Securities purchased by such Underwriter hereunder.</w:t>
      </w:r>
    </w:p>
    <w:p w14:paraId="1BB8AC8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6BEE06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6.3  </w:t>
      </w:r>
      <w:r w:rsidRPr="00AE3C59">
        <w:rPr>
          <w:rFonts w:ascii="Times New Roman" w:eastAsia="Times New Roman" w:hAnsi="Times New Roman" w:cs="Times New Roman"/>
          <w:sz w:val="20"/>
          <w:szCs w:val="20"/>
          <w:u w:val="single"/>
          <w:lang w:val="en-US" w:eastAsia="en-US" w:bidi="ar-SA"/>
        </w:rPr>
        <w:t>Indemnification Procedures</w:t>
      </w:r>
      <w:r w:rsidRPr="00AE3C59">
        <w:rPr>
          <w:rFonts w:ascii="Times New Roman" w:eastAsia="Times New Roman" w:hAnsi="Times New Roman" w:cs="Times New Roman"/>
          <w:sz w:val="20"/>
          <w:szCs w:val="20"/>
          <w:lang w:val="en-US" w:eastAsia="en-US" w:bidi="ar-SA"/>
        </w:rPr>
        <w:t xml:space="preserve">. Any party that proposes to assert the right to be indemnified under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shall, promptly after receipt of notice of commencement of any action against such party in respect of which a claim is to be made against an indemnifying party or parties under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notify each such indemnifying party of the commencement of such action, enclosing a copy of all papers served, but the omission so to notify such indemnifying party shall not relieve the indemnifying party from any liability that it may have to any indemnified party under the foregoing provisions of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unless, and only to the extent that, such omission results in the forfeiture of substantive rights or defenses by the indemnifying party. If any such action is brought against any indemnified party and it notifies the indemnifying party of its commencement, the indemnifying party will be entitled to participate in and, to the extent that it elects by delivering written notice to the indemnified party promptly after receiving notice of the commencement of the action from the indemnified party, jointly with any other indemnifying party similarly notified, to assume the defense of the action, with counsel satisfactory to the indemnified party, and after notice from the indemnifying party to the indemnified party of its election to assume the defense, the indemnifying party will not be liable to the indemnified party for any legal or other expenses except as provided below and except for the reasonable out-of-pocket costs of investigation subsequently incurred by the indemnified party in connection with the defense. The indemnified party will have the right to employ its own counsel in any such action, but the fees, expenses and other charges of such counsel will be at the expense of such indemnified party unless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employment of counsel by the indemnified party has been authorized in writing by one of the indemnifying parties in connection with the defense of such action, (ii) the indemnified party has reasonably concluded (based on advice of counsel) that there may be legal defenses available to it or other indemnified parties that are different from or in addition to those available to the indemnifying party, (iii) the indemnified party has reasonably concluded that a conflict or potential conflict exists (based on advice of counsel to the indemnified party) between the indemnified party and the indemnifying party (in which case the indemnifying party shall not have the right to direct the defense of such action on behalf of the indemnified party), (iv) the indemnifying party does not diligently defend the action after assumption of the defense, or (v) the indemnifying party has not in fact employed counsel satisfactory to the indemnified party to assume the defense of such action within a reasonable time after receiving notice of the commencement of the action, in each of which cases the reasonable fees, disbursements and other charges of counsel shall be at the expense of the indemnifying party or parties. It is understood that the indemnifying party or parties shall not, in connection with any proceeding or related proceedings in the same jurisdiction, be liable for the reasonable fees, disbursements and other charges of more than one separate firm admitted to practice in such jurisdiction at any one time for all such indemnified party or parties. All such fees, disbursements and other charges shall be reimbursed by the indemnifying party promptly as they are incurred. An indemnifying party shall not be liable for any settlement of any action or claim effected without its written consent (which consent will not be unreasonably withheld or delayed). No indemnifying party shall, without the prior written consent of each indemnified party, settle or compromise or consent to the entry of any judgment in any pending or threatened claim, action or proceeding relating to the matters contemplated by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(whether or not any indemnified party is a party thereto), unless (x) such settlement, </w:t>
      </w:r>
      <w:r w:rsidRPr="00AE3C59">
        <w:rPr>
          <w:rFonts w:ascii="Times New Roman" w:eastAsia="Times New Roman" w:hAnsi="Times New Roman" w:cs="Times New Roman"/>
          <w:sz w:val="20"/>
          <w:szCs w:val="20"/>
          <w:lang w:val="en-US" w:eastAsia="en-US" w:bidi="ar-SA"/>
        </w:rPr>
        <w:lastRenderedPageBreak/>
        <w:t>compromise or consent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includes an unconditional release of each indemnified party from all liability arising or that may arise out of such claim, action or proceeding and (ii) does not include a statement as to or an admission of fault, culpability or a failure to act by or on behalf of any indemnified party, and (y) the indemnifying party confirms in writing its indemnification obligations hereunder with respect to such settlement, compromise or judgment. Notwithstanding the foregoing, if at any time an indemnified party shall have requested an indemnifying party to reimburse the indemnified party for fees and expenses of counsel, such indemnifying party agrees that it shall be liable for any settlement of the nature contemplated by </w:t>
      </w:r>
      <w:r w:rsidRPr="00AE3C59">
        <w:rPr>
          <w:rFonts w:ascii="Times New Roman" w:eastAsia="Times New Roman" w:hAnsi="Times New Roman" w:cs="Times New Roman"/>
          <w:sz w:val="20"/>
          <w:szCs w:val="20"/>
          <w:u w:val="single"/>
          <w:lang w:val="en-US" w:eastAsia="en-US" w:bidi="ar-SA"/>
        </w:rPr>
        <w:t>Section 6(a)</w:t>
      </w:r>
      <w:r w:rsidRPr="00AE3C59">
        <w:rPr>
          <w:rFonts w:ascii="Times New Roman" w:eastAsia="Times New Roman" w:hAnsi="Times New Roman" w:cs="Times New Roman"/>
          <w:sz w:val="20"/>
          <w:szCs w:val="20"/>
          <w:lang w:val="en-US" w:eastAsia="en-US" w:bidi="ar-SA"/>
        </w:rPr>
        <w:t xml:space="preserve"> effected without its written consent if (A) such settlement is entered into more than 45 days after receipt by such indemnifying party of the aforesaid request, (B) such indemnifying party shall have received notice of the terms of such settlement at least 30 days prior to such settlement being entered into and (iii) such indemnifying party shall not have reimbursed such indemnified party in accordance with such request prior to the date of such settlement.</w:t>
      </w:r>
    </w:p>
    <w:p w14:paraId="33B4905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1120BCF" w14:textId="77777777" w:rsidR="00AE3C59" w:rsidRPr="00AE3C59" w:rsidRDefault="00AE3C59" w:rsidP="00AE3C59">
      <w:pPr>
        <w:tabs>
          <w:tab w:val="left" w:pos="3864"/>
          <w:tab w:val="center" w:pos="4968"/>
        </w:tabs>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b/>
      </w:r>
    </w:p>
    <w:p w14:paraId="1C5BD28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6.4  </w:t>
      </w:r>
      <w:r w:rsidRPr="00AE3C59">
        <w:rPr>
          <w:rFonts w:ascii="Times New Roman" w:eastAsia="Times New Roman" w:hAnsi="Times New Roman" w:cs="Times New Roman"/>
          <w:sz w:val="20"/>
          <w:szCs w:val="20"/>
          <w:u w:val="single"/>
          <w:lang w:val="en-US" w:eastAsia="en-US" w:bidi="ar-SA"/>
        </w:rPr>
        <w:t>Contribution</w:t>
      </w:r>
      <w:r w:rsidRPr="00AE3C59">
        <w:rPr>
          <w:rFonts w:ascii="Times New Roman" w:eastAsia="Times New Roman" w:hAnsi="Times New Roman" w:cs="Times New Roman"/>
          <w:sz w:val="20"/>
          <w:szCs w:val="20"/>
          <w:lang w:val="en-US" w:eastAsia="en-US" w:bidi="ar-SA"/>
        </w:rPr>
        <w:t xml:space="preserve">. In order to provide for just and equitable contribution in circumstances in which the indemnification provided for in the foregoing paragraphs of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is applicable in accordance with its terms but for any reason is held to be unavailable, the Company and the Underwriters shall contribute to the total losses, claims, liabilities, expenses and damages (including any investigative, legal and other expenses reasonably incurred in connection with, and any amount paid in settlement of, any action, suit or proceeding or any claim asserted, but after deducting any contribution received by the Company from persons other than the Underwriters, such as persons who control the Company within the meaning of the Securities Act, officers of the Company who signed the Registration Statement and directors of the Company, who may also be liable for contribution), to which the Company and the Underwriter may be subject in such proportion as shall be appropriate to reflect the relative benefits received by the Company on the one hand and the Underwriters on the other from the Offering of the Securities pursuant to this Agreement. The relative benefits received by the Company and the Underwriters shall be deemed to be in the same proportion as (x) the total proceeds from the Offering (net of underwriting discount and commissions but before deducting expenses) received by the Company bears to (y) the underwriting discount and commissions received by the Underwriters, in each case as set forth in the table on the cover page of the Prospectus. If, but only if, the allocation provided by the foregoing sentence is not permitted by applicable law, the allocation of contribution shall be made in such proportion as is appropriate to reflect not only the relative benefits referred to in the foregoing sentence but also the relative fault of the Company, on the one hand, and the Underwriters, on the other, with respect to the statements or omissions which resulted in such loss, claim, liability, expense or damage, or action in respect thereof, as well as any other relevant equitable considerations with respect to such offering. Such relative fault shall be determined by reference to whether the untrue or alleged untrue statement of a material fact or omission or alleged omission to state a material fact relates to information supplied by the Company or the Underwriters, the intent of the parties and their relative knowledge, access to information and opportunity to correct or prevent such statement or omission. The Company and the Underwriters agree that it would not be just and equitable if contributions pursuant to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were to be determined by pro rata allocation or by any other method of allocation (even if the Underwriters were treated as one entity for such purpose) which does not take into account the equitable considerations referred to herein. The amount paid or payable by an indemnified party as a result of the loss, claim, liability, expense or damage, or action in respect thereof, referred to above in this </w:t>
      </w:r>
      <w:r w:rsidRPr="00AE3C59">
        <w:rPr>
          <w:rFonts w:ascii="Times New Roman" w:eastAsia="Times New Roman" w:hAnsi="Times New Roman" w:cs="Times New Roman"/>
          <w:sz w:val="20"/>
          <w:szCs w:val="20"/>
          <w:u w:val="single"/>
          <w:lang w:val="en-US" w:eastAsia="en-US" w:bidi="ar-SA"/>
        </w:rPr>
        <w:t xml:space="preserve">Section 6.4 </w:t>
      </w:r>
      <w:r w:rsidRPr="00AE3C59">
        <w:rPr>
          <w:rFonts w:ascii="Times New Roman" w:eastAsia="Times New Roman" w:hAnsi="Times New Roman" w:cs="Times New Roman"/>
          <w:sz w:val="20"/>
          <w:szCs w:val="20"/>
          <w:lang w:val="en-US" w:eastAsia="en-US" w:bidi="ar-SA"/>
        </w:rPr>
        <w:t xml:space="preserve">shall be deemed to include, for purpose of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any legal or other expenses reasonably incurred by such indemnified party in connection with investigating or defending any such action or claim. Notwithstanding the provisions of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no Underwriter shall be required to contribute any amount in excess of the underwriting discounts and commissions received by it. No person found guilty of fraudulent misrepresentation (within the meaning of Section 11(f) of the Securities Act) shall be entitled to contribution from any person who was not guilty of such fraudulent misrepresentation. For purposes of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any person who controls a party to this Agreement within the meaning of the Securities Act will have the same rights to contribution as that party, and each officer of the Company who signed the Registration Statement will have the same rights to contribution as the Company, and each director, officer, employee, counsel or agent of an Underwriter will have the same rights to contribution as such Underwriter, subject in each case to the provisions hereof. Any party entitled to contribution, promptly after receipt of notice of commencement of any action against such party in respect of which a claim for contribution may be made under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will notify any such party or parties from whom contribution may be sought, but the omission so to notify will not relieve the party or parties from whom contribution may be sought from any other obligation it or they may have under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The obligations of the Underwriters to contribute pursuant to this </w:t>
      </w:r>
      <w:r w:rsidRPr="00AE3C59">
        <w:rPr>
          <w:rFonts w:ascii="Times New Roman" w:eastAsia="Times New Roman" w:hAnsi="Times New Roman" w:cs="Times New Roman"/>
          <w:sz w:val="20"/>
          <w:szCs w:val="20"/>
          <w:u w:val="single"/>
          <w:lang w:val="en-US" w:eastAsia="en-US" w:bidi="ar-SA"/>
        </w:rPr>
        <w:t>Section 6.4</w:t>
      </w:r>
      <w:r w:rsidRPr="00AE3C59">
        <w:rPr>
          <w:rFonts w:ascii="Times New Roman" w:eastAsia="Times New Roman" w:hAnsi="Times New Roman" w:cs="Times New Roman"/>
          <w:sz w:val="20"/>
          <w:szCs w:val="20"/>
          <w:lang w:val="en-US" w:eastAsia="en-US" w:bidi="ar-SA"/>
        </w:rPr>
        <w:t xml:space="preserve"> are several in proportion to the respective number of Securities to be purchased by each of the Underwriters hereunder and not joint. No party will be liable for contribution with respect to any action or claim settled without its written consent (which consent will not be unreasonably withheld).</w:t>
      </w:r>
    </w:p>
    <w:p w14:paraId="09A74B3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FD918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6.5  </w:t>
      </w:r>
      <w:r w:rsidRPr="00AE3C59">
        <w:rPr>
          <w:rFonts w:ascii="Times New Roman" w:eastAsia="Times New Roman" w:hAnsi="Times New Roman" w:cs="Times New Roman"/>
          <w:sz w:val="20"/>
          <w:szCs w:val="20"/>
          <w:u w:val="single"/>
          <w:lang w:val="en-US" w:eastAsia="en-US" w:bidi="ar-SA"/>
        </w:rPr>
        <w:t>Survival</w:t>
      </w:r>
      <w:r w:rsidRPr="00AE3C59">
        <w:rPr>
          <w:rFonts w:ascii="Times New Roman" w:eastAsia="Times New Roman" w:hAnsi="Times New Roman" w:cs="Times New Roman"/>
          <w:sz w:val="20"/>
          <w:szCs w:val="20"/>
          <w:lang w:val="en-US" w:eastAsia="en-US" w:bidi="ar-SA"/>
        </w:rPr>
        <w:t xml:space="preserve">. The indemnity and contribution agreements contained in this </w:t>
      </w:r>
      <w:r w:rsidRPr="00AE3C59">
        <w:rPr>
          <w:rFonts w:ascii="Times New Roman" w:eastAsia="Times New Roman" w:hAnsi="Times New Roman" w:cs="Times New Roman"/>
          <w:sz w:val="20"/>
          <w:szCs w:val="20"/>
          <w:u w:val="single"/>
          <w:lang w:val="en-US" w:eastAsia="en-US" w:bidi="ar-SA"/>
        </w:rPr>
        <w:t>Section 6</w:t>
      </w:r>
      <w:r w:rsidRPr="00AE3C59">
        <w:rPr>
          <w:rFonts w:ascii="Times New Roman" w:eastAsia="Times New Roman" w:hAnsi="Times New Roman" w:cs="Times New Roman"/>
          <w:sz w:val="20"/>
          <w:szCs w:val="20"/>
          <w:lang w:val="en-US" w:eastAsia="en-US" w:bidi="ar-SA"/>
        </w:rPr>
        <w:t xml:space="preserve"> and the representations and warranties of the Company contained in this Agreement shall remain operative and in full force and effect regardless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any investigation made by or on behalf of any Underwriter or any controlling Person thereof, (ii) acceptance of any of the Securities and payment therefor or (iii) any termination of this Agreement.</w:t>
      </w:r>
    </w:p>
    <w:p w14:paraId="27C6229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77290C2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C55C6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ARTICLE VII.</w:t>
      </w:r>
    </w:p>
    <w:p w14:paraId="3A77135E"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MISCELLANEOUS</w:t>
      </w:r>
    </w:p>
    <w:p w14:paraId="052ED44B"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092FE3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7.1  </w:t>
      </w:r>
      <w:r w:rsidRPr="00AE3C59">
        <w:rPr>
          <w:rFonts w:ascii="Times New Roman" w:eastAsia="Times New Roman" w:hAnsi="Times New Roman" w:cs="Times New Roman"/>
          <w:sz w:val="20"/>
          <w:szCs w:val="20"/>
          <w:u w:val="single"/>
          <w:lang w:val="en-US" w:eastAsia="en-US" w:bidi="ar-SA"/>
        </w:rPr>
        <w:t>Termination</w:t>
      </w:r>
      <w:r w:rsidRPr="00AE3C59">
        <w:rPr>
          <w:rFonts w:ascii="Times New Roman" w:eastAsia="Times New Roman" w:hAnsi="Times New Roman" w:cs="Times New Roman"/>
          <w:sz w:val="20"/>
          <w:szCs w:val="20"/>
          <w:lang w:val="en-US" w:eastAsia="en-US" w:bidi="ar-SA"/>
        </w:rPr>
        <w:t>.</w:t>
      </w:r>
    </w:p>
    <w:p w14:paraId="52303E7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D8CF52"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  </w:t>
      </w:r>
      <w:r w:rsidRPr="00AE3C59">
        <w:rPr>
          <w:rFonts w:ascii="Times New Roman" w:eastAsia="Times New Roman" w:hAnsi="Times New Roman" w:cs="Times New Roman"/>
          <w:sz w:val="20"/>
          <w:szCs w:val="20"/>
          <w:u w:val="single"/>
          <w:lang w:val="en-US" w:eastAsia="en-US" w:bidi="ar-SA"/>
        </w:rPr>
        <w:t>Termination Right</w:t>
      </w:r>
      <w:r w:rsidRPr="00AE3C59">
        <w:rPr>
          <w:rFonts w:ascii="Times New Roman" w:eastAsia="Times New Roman" w:hAnsi="Times New Roman" w:cs="Times New Roman"/>
          <w:sz w:val="20"/>
          <w:szCs w:val="20"/>
          <w:lang w:val="en-US" w:eastAsia="en-US" w:bidi="ar-SA"/>
        </w:rPr>
        <w:t>. The Representative shall have the right to terminate this Agreement by notifying the Company at any time prior to any Closing Date,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if any domestic or international event or act or occurrence has materially disrupted, or in their opinion will in the immediate future materially disrupt, general securities markets in the United States; or (ii) if trading on any Trading Market shall have been suspended or materially limited, or minimum or maximum prices for trading shall have been fixed, or maximum ranges for prices for securities shall have been required by FINRA or by order of the Commission or any other government authority having jurisdiction, or (iii) if the United States shall have become involved in a new war or an increase in major hostilities, or (iv) if a banking moratorium has been declared by a New York State or federal authority, or (v) if a moratorium on foreign exchange trading has been declared which materially adversely impacts the United States securities markets, or (vi) if the Company shall have sustained a material loss by fire, flood, accident, hurricane, earthquake, theft, sabotage or other calamity or malicious act which, whether or not such loss shall have been insured, will, in the Representative’s opinion, make it inadvisable to proceed with the delivery of the Securities, or (vii) if the Company is in material breach of any of its representations, warranties or covenants hereunder, or (viii) if the Representative shall have become aware after the date hereof of such a material adverse change in the conditions or prospects of the Company, or such adverse material change in general market conditions as in the Representative’s judgment would make it impracticable to proceed with the Offering, sale and/or delivery of the Securities or to enforce contracts made by the Underwriters for the sale of the Securities.</w:t>
      </w:r>
    </w:p>
    <w:p w14:paraId="5B9634D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C75CA7D"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  </w:t>
      </w:r>
      <w:r w:rsidRPr="00AE3C59">
        <w:rPr>
          <w:rFonts w:ascii="Times New Roman" w:eastAsia="Times New Roman" w:hAnsi="Times New Roman" w:cs="Times New Roman"/>
          <w:sz w:val="20"/>
          <w:szCs w:val="20"/>
          <w:u w:val="single"/>
          <w:lang w:val="en-US" w:eastAsia="en-US" w:bidi="ar-SA"/>
        </w:rPr>
        <w:t>Expenses</w:t>
      </w:r>
      <w:r w:rsidRPr="00AE3C59">
        <w:rPr>
          <w:rFonts w:ascii="Times New Roman" w:eastAsia="Times New Roman" w:hAnsi="Times New Roman" w:cs="Times New Roman"/>
          <w:sz w:val="20"/>
          <w:szCs w:val="20"/>
          <w:lang w:val="en-US" w:eastAsia="en-US" w:bidi="ar-SA"/>
        </w:rPr>
        <w:t xml:space="preserve">. In the event this Agreement shall be terminated pursuant to </w:t>
      </w:r>
      <w:r w:rsidRPr="00AE3C59">
        <w:rPr>
          <w:rFonts w:ascii="Times New Roman" w:eastAsia="Times New Roman" w:hAnsi="Times New Roman" w:cs="Times New Roman"/>
          <w:sz w:val="20"/>
          <w:szCs w:val="20"/>
          <w:u w:val="single"/>
          <w:lang w:val="en-US" w:eastAsia="en-US" w:bidi="ar-SA"/>
        </w:rPr>
        <w:t>Section 7.1(a)</w:t>
      </w:r>
      <w:r w:rsidRPr="00AE3C59">
        <w:rPr>
          <w:rFonts w:ascii="Times New Roman" w:eastAsia="Times New Roman" w:hAnsi="Times New Roman" w:cs="Times New Roman"/>
          <w:sz w:val="20"/>
          <w:szCs w:val="20"/>
          <w:lang w:val="en-US" w:eastAsia="en-US" w:bidi="ar-SA"/>
        </w:rPr>
        <w:t>, within the time specified herein or any extensions thereof pursuant to the terms herein, the Company shall be obligated to pay to Maxim its actual and accountable out of pocket expenses related to the transactions contemplated herein then due and payable up to $25,000 (</w:t>
      </w:r>
      <w:r w:rsidRPr="00AE3C59">
        <w:rPr>
          <w:rFonts w:ascii="Times New Roman" w:eastAsia="Times New Roman" w:hAnsi="Times New Roman" w:cs="Times New Roman"/>
          <w:sz w:val="20"/>
          <w:szCs w:val="20"/>
          <w:u w:val="single"/>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however</w:t>
      </w:r>
      <w:r w:rsidRPr="00AE3C59">
        <w:rPr>
          <w:rFonts w:ascii="Times New Roman" w:eastAsia="Times New Roman" w:hAnsi="Times New Roman" w:cs="Times New Roman"/>
          <w:sz w:val="20"/>
          <w:szCs w:val="20"/>
          <w:lang w:val="en-US" w:eastAsia="en-US" w:bidi="ar-SA"/>
        </w:rPr>
        <w:t>, that such expense cap in no way limits or impairs the indemnification and contribution provisions of this Agreement). Notwithstanding the foregoing, any Advance received by the Representative will be reimbursed to the Company to the extent not actually incurred in compliance with FINRA Rule 5110(f)(2)(C).</w:t>
      </w:r>
    </w:p>
    <w:p w14:paraId="3DE5E19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70C694C" w14:textId="77777777" w:rsidR="00AE3C59" w:rsidRPr="00AE3C59" w:rsidRDefault="00AE3C59" w:rsidP="00AE3C59">
      <w:pPr>
        <w:spacing w:after="0" w:line="240" w:lineRule="auto"/>
        <w:ind w:left="720"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(c)  </w:t>
      </w:r>
      <w:r w:rsidRPr="00AE3C59">
        <w:rPr>
          <w:rFonts w:ascii="Times New Roman" w:eastAsia="Times New Roman" w:hAnsi="Times New Roman" w:cs="Times New Roman"/>
          <w:sz w:val="20"/>
          <w:szCs w:val="20"/>
          <w:u w:val="single"/>
          <w:lang w:val="en-US" w:eastAsia="en-US" w:bidi="ar-SA"/>
        </w:rPr>
        <w:t>Indemnification</w:t>
      </w:r>
      <w:r w:rsidRPr="00AE3C59">
        <w:rPr>
          <w:rFonts w:ascii="Times New Roman" w:eastAsia="Times New Roman" w:hAnsi="Times New Roman" w:cs="Times New Roman"/>
          <w:sz w:val="20"/>
          <w:szCs w:val="20"/>
          <w:lang w:val="en-US" w:eastAsia="en-US" w:bidi="ar-SA"/>
        </w:rPr>
        <w:t>. Notwithstanding any contrary provision contained in this Agreement, any election hereunder or any termination of this Agreement, and whether or not this Agreement is otherwise carried out, the provisions of Article VI shall not be in any way effected by such election or termination or failure to carry out the terms of this Agreement or any part hereof.</w:t>
      </w:r>
    </w:p>
    <w:p w14:paraId="723063B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56E854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7.2  </w:t>
      </w:r>
      <w:r w:rsidRPr="00AE3C59">
        <w:rPr>
          <w:rFonts w:ascii="Times New Roman" w:eastAsia="Times New Roman" w:hAnsi="Times New Roman" w:cs="Times New Roman"/>
          <w:sz w:val="20"/>
          <w:szCs w:val="20"/>
          <w:u w:val="single"/>
          <w:lang w:val="en-US" w:eastAsia="en-US" w:bidi="ar-SA"/>
        </w:rPr>
        <w:t>Entire Agreement</w:t>
      </w:r>
      <w:r w:rsidRPr="00AE3C59">
        <w:rPr>
          <w:rFonts w:ascii="Times New Roman" w:eastAsia="Times New Roman" w:hAnsi="Times New Roman" w:cs="Times New Roman"/>
          <w:sz w:val="20"/>
          <w:szCs w:val="20"/>
          <w:lang w:val="en-US" w:eastAsia="en-US" w:bidi="ar-SA"/>
        </w:rPr>
        <w:t>. The Transaction Documents, together with the exhibits and schedules thereto, any Preliminary Prospectus and the Prospectus, contain the entire understanding of the parties with respect to the subject matter hereof and thereof and supersede all prior agreements and understandings, oral or written, with respect to such matters, which the parties acknowledge have been merged into such documents, exhibits and schedules. Notwithstanding anything herein to the contrary, the Engagement Agreement dated May 6, 2020 by and between the Company and Maxim and the Engagement Agreement, dated June 12, 2020 (collectively, the “</w:t>
      </w:r>
      <w:r w:rsidRPr="00AE3C59">
        <w:rPr>
          <w:rFonts w:ascii="Times New Roman" w:eastAsia="Times New Roman" w:hAnsi="Times New Roman" w:cs="Times New Roman"/>
          <w:sz w:val="20"/>
          <w:szCs w:val="20"/>
          <w:u w:val="single"/>
          <w:lang w:val="en-US" w:eastAsia="en-US" w:bidi="ar-SA"/>
        </w:rPr>
        <w:t>Engagement Agreements</w:t>
      </w:r>
      <w:r w:rsidRPr="00AE3C59">
        <w:rPr>
          <w:rFonts w:ascii="Times New Roman" w:eastAsia="Times New Roman" w:hAnsi="Times New Roman" w:cs="Times New Roman"/>
          <w:sz w:val="20"/>
          <w:szCs w:val="20"/>
          <w:lang w:val="en-US" w:eastAsia="en-US" w:bidi="ar-SA"/>
        </w:rPr>
        <w:t>”), by and between the Company and Maxim, shall continue to be effective and the terms therein, shall continue to survive and be enforceable by Maxim in accordance with its terms, provided that, in the event of a conflict between the terms of the foregoing agreements and this Agreement, the terms of this Agreement shall prevail.</w:t>
      </w:r>
    </w:p>
    <w:p w14:paraId="3BFAC86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EE6332B"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7.3  </w:t>
      </w:r>
      <w:r w:rsidRPr="00AE3C59">
        <w:rPr>
          <w:rFonts w:ascii="Times New Roman" w:eastAsia="Times New Roman" w:hAnsi="Times New Roman" w:cs="Times New Roman"/>
          <w:sz w:val="20"/>
          <w:szCs w:val="20"/>
          <w:u w:val="single"/>
          <w:lang w:val="en-US" w:eastAsia="en-US" w:bidi="ar-SA"/>
        </w:rPr>
        <w:t>Notices</w:t>
      </w:r>
      <w:r w:rsidRPr="00AE3C59">
        <w:rPr>
          <w:rFonts w:ascii="Times New Roman" w:eastAsia="Times New Roman" w:hAnsi="Times New Roman" w:cs="Times New Roman"/>
          <w:sz w:val="20"/>
          <w:szCs w:val="20"/>
          <w:lang w:val="en-US" w:eastAsia="en-US" w:bidi="ar-SA"/>
        </w:rPr>
        <w:t>. Any and all notices or other communications or deliveries required or permitted to be provided hereunder shall be in writing and shall be deemed given and effective on the earliest of: (a) the date of transmission, if such notice or communication is delivered via facsimile at the facsimile number or e-mail attachment at the email address set forth on the signature pages attached hereto at or prior to 5:30 p.m. (New York City time) on a Trading Day, (b) the next Trading Day after the date of transmission, if such notice or communication is delivered via facsimile at the facsimile number or e-mail attachment at the e-mail address as set forth on the signature pages attached hereto on a day that is not a Trading Day or later than 5:30 p.m. (New York City time) on any Trading Day, (c) the second (2</w:t>
      </w:r>
      <w:r w:rsidRPr="00AE3C59">
        <w:rPr>
          <w:rFonts w:ascii="Times New Roman" w:eastAsia="Times New Roman" w:hAnsi="Times New Roman" w:cs="Times New Roman"/>
          <w:sz w:val="17"/>
          <w:szCs w:val="17"/>
          <w:lang w:val="en-US" w:eastAsia="en-US" w:bidi="ar-SA"/>
        </w:rPr>
        <w:t>nd</w:t>
      </w:r>
      <w:r w:rsidRPr="00AE3C59">
        <w:rPr>
          <w:rFonts w:ascii="Times New Roman" w:eastAsia="Times New Roman" w:hAnsi="Times New Roman" w:cs="Times New Roman"/>
          <w:sz w:val="20"/>
          <w:szCs w:val="20"/>
          <w:lang w:val="en-US" w:eastAsia="en-US" w:bidi="ar-SA"/>
        </w:rPr>
        <w:t>) Trading Day following the date of mailing, if sent by U.S. nationally recognized overnight courier service or (d) upon actual receipt by the party to whom such notice is required to be given. The address for such notices and communications shall be as set forth on the signature pages attached hereto.</w:t>
      </w:r>
    </w:p>
    <w:p w14:paraId="0045AAC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0BB44F16"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7.4  </w:t>
      </w:r>
      <w:r w:rsidRPr="00AE3C59">
        <w:rPr>
          <w:rFonts w:ascii="Times New Roman" w:eastAsia="Times New Roman" w:hAnsi="Times New Roman" w:cs="Times New Roman"/>
          <w:sz w:val="20"/>
          <w:szCs w:val="20"/>
          <w:u w:val="single"/>
          <w:lang w:val="en-US" w:eastAsia="en-US" w:bidi="ar-SA"/>
        </w:rPr>
        <w:t>Amendments; Waivers</w:t>
      </w:r>
      <w:r w:rsidRPr="00AE3C59">
        <w:rPr>
          <w:rFonts w:ascii="Times New Roman" w:eastAsia="Times New Roman" w:hAnsi="Times New Roman" w:cs="Times New Roman"/>
          <w:sz w:val="20"/>
          <w:szCs w:val="20"/>
          <w:lang w:val="en-US" w:eastAsia="en-US" w:bidi="ar-SA"/>
        </w:rPr>
        <w:t>. No provision of this Agreement may be waived, modified, supplemented or amended except in a written instrument signed, in the case of an amendment, by the Company and Maxim. No waiver of any default with respect to any provision, condition or requirement of this Agreement shall be deemed to be a continuing waiver in the future or a waiver of any subsequent default or a waiver of any other provision, condition or requirement hereof, nor shall any delay or omission of any party to exercise any right hereunder in any manner impair the exercise of any such right.</w:t>
      </w:r>
    </w:p>
    <w:p w14:paraId="1F4AAF7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3A8AD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7.5  </w:t>
      </w:r>
      <w:r w:rsidRPr="00AE3C59">
        <w:rPr>
          <w:rFonts w:ascii="Times New Roman" w:eastAsia="Times New Roman" w:hAnsi="Times New Roman" w:cs="Times New Roman"/>
          <w:sz w:val="20"/>
          <w:szCs w:val="20"/>
          <w:u w:val="single"/>
          <w:lang w:val="en-US" w:eastAsia="en-US" w:bidi="ar-SA"/>
        </w:rPr>
        <w:t>Headings</w:t>
      </w:r>
      <w:r w:rsidRPr="00AE3C59">
        <w:rPr>
          <w:rFonts w:ascii="Times New Roman" w:eastAsia="Times New Roman" w:hAnsi="Times New Roman" w:cs="Times New Roman"/>
          <w:sz w:val="20"/>
          <w:szCs w:val="20"/>
          <w:lang w:val="en-US" w:eastAsia="en-US" w:bidi="ar-SA"/>
        </w:rPr>
        <w:t>. The headings herein are for convenience only, do not constitute a part of this Agreement and shall not be deemed to limit or affect any of the provisions hereof.</w:t>
      </w:r>
    </w:p>
    <w:p w14:paraId="53EC44A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A12E99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7.6  </w:t>
      </w:r>
      <w:r w:rsidRPr="00AE3C59">
        <w:rPr>
          <w:rFonts w:ascii="Times New Roman" w:eastAsia="Times New Roman" w:hAnsi="Times New Roman" w:cs="Times New Roman"/>
          <w:sz w:val="20"/>
          <w:szCs w:val="20"/>
          <w:u w:val="single"/>
          <w:lang w:val="en-US" w:eastAsia="en-US" w:bidi="ar-SA"/>
        </w:rPr>
        <w:t>Successors and Assigns</w:t>
      </w:r>
      <w:r w:rsidRPr="00AE3C59">
        <w:rPr>
          <w:rFonts w:ascii="Times New Roman" w:eastAsia="Times New Roman" w:hAnsi="Times New Roman" w:cs="Times New Roman"/>
          <w:sz w:val="20"/>
          <w:szCs w:val="20"/>
          <w:lang w:val="en-US" w:eastAsia="en-US" w:bidi="ar-SA"/>
        </w:rPr>
        <w:t>. This Agreement shall be binding upon and inure to the benefit of the parties and their successors and permitted assigns.</w:t>
      </w:r>
    </w:p>
    <w:p w14:paraId="32980E1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613FBB"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7.7  </w:t>
      </w:r>
      <w:r w:rsidRPr="00AE3C59">
        <w:rPr>
          <w:rFonts w:ascii="Times New Roman" w:eastAsia="Times New Roman" w:hAnsi="Times New Roman" w:cs="Times New Roman"/>
          <w:sz w:val="20"/>
          <w:szCs w:val="20"/>
          <w:u w:val="single"/>
          <w:lang w:val="en-US" w:eastAsia="en-US" w:bidi="ar-SA"/>
        </w:rPr>
        <w:t>Governing Law</w:t>
      </w:r>
      <w:r w:rsidRPr="00AE3C59">
        <w:rPr>
          <w:rFonts w:ascii="Times New Roman" w:eastAsia="Times New Roman" w:hAnsi="Times New Roman" w:cs="Times New Roman"/>
          <w:sz w:val="20"/>
          <w:szCs w:val="20"/>
          <w:lang w:val="en-US" w:eastAsia="en-US" w:bidi="ar-SA"/>
        </w:rPr>
        <w:t>. All questions concerning the construction, validity, enforcement and interpretation of the Transaction Documents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Agreement and any other Transaction Documents (whether brought against a party hereto or its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action, suit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Agreement and agrees that such service shall constitute good and sufficient service of process and notice thereof. Nothing contained herein shall be deemed to limit in any way any right to serve process in any other manner permitted by law. If either party shall commence an action or proceeding to enforce any provisions of the Transaction Documents, then, in addition to the obligations of the Company under Article VI, the prevailing party in such action, suit or proceeding shall be reimbursed by the other party for its reasonable attorneys’ fees and other costs and expenses incurred with the investigation, preparation and prosecution of such action or proceeding.</w:t>
      </w:r>
    </w:p>
    <w:p w14:paraId="43D6A55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914A6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7.8  </w:t>
      </w:r>
      <w:r w:rsidRPr="00AE3C59">
        <w:rPr>
          <w:rFonts w:ascii="Times New Roman" w:eastAsia="Times New Roman" w:hAnsi="Times New Roman" w:cs="Times New Roman"/>
          <w:sz w:val="20"/>
          <w:szCs w:val="20"/>
          <w:u w:val="single"/>
          <w:lang w:val="en-US" w:eastAsia="en-US" w:bidi="ar-SA"/>
        </w:rPr>
        <w:t>Survival</w:t>
      </w:r>
      <w:r w:rsidRPr="00AE3C59">
        <w:rPr>
          <w:rFonts w:ascii="Times New Roman" w:eastAsia="Times New Roman" w:hAnsi="Times New Roman" w:cs="Times New Roman"/>
          <w:sz w:val="20"/>
          <w:szCs w:val="20"/>
          <w:lang w:val="en-US" w:eastAsia="en-US" w:bidi="ar-SA"/>
        </w:rPr>
        <w:t>. The representations and warranties contained herein shall survive the Closing and the Option Closing, if any, and the delivery of the Securities.</w:t>
      </w:r>
    </w:p>
    <w:p w14:paraId="0CE1194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29499C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7.9  </w:t>
      </w:r>
      <w:r w:rsidRPr="00AE3C59">
        <w:rPr>
          <w:rFonts w:ascii="Times New Roman" w:eastAsia="Times New Roman" w:hAnsi="Times New Roman" w:cs="Times New Roman"/>
          <w:sz w:val="20"/>
          <w:szCs w:val="20"/>
          <w:u w:val="single"/>
          <w:lang w:val="en-US" w:eastAsia="en-US" w:bidi="ar-SA"/>
        </w:rPr>
        <w:t>Execution</w:t>
      </w:r>
      <w:r w:rsidRPr="00AE3C59">
        <w:rPr>
          <w:rFonts w:ascii="Times New Roman" w:eastAsia="Times New Roman" w:hAnsi="Times New Roman" w:cs="Times New Roman"/>
          <w:sz w:val="20"/>
          <w:szCs w:val="20"/>
          <w:lang w:val="en-US" w:eastAsia="en-US" w:bidi="ar-SA"/>
        </w:rPr>
        <w:t>. This Agreement may be executed in two or more counterparts, all of which when taken together shall be considered one and the same agreement and shall become effective when counterparts have been signed by each party and delivered to each other party, it being understood that the parties need not sign the same counterpart.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09DC5C5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CEF81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7.10  </w:t>
      </w:r>
      <w:r w:rsidRPr="00AE3C59">
        <w:rPr>
          <w:rFonts w:ascii="Times New Roman" w:eastAsia="Times New Roman" w:hAnsi="Times New Roman" w:cs="Times New Roman"/>
          <w:sz w:val="20"/>
          <w:szCs w:val="20"/>
          <w:u w:val="single"/>
          <w:lang w:val="en-US" w:eastAsia="en-US" w:bidi="ar-SA"/>
        </w:rPr>
        <w:t>Severability</w:t>
      </w:r>
      <w:r w:rsidRPr="00AE3C59">
        <w:rPr>
          <w:rFonts w:ascii="Times New Roman" w:eastAsia="Times New Roman" w:hAnsi="Times New Roman" w:cs="Times New Roman"/>
          <w:sz w:val="20"/>
          <w:szCs w:val="20"/>
          <w:lang w:val="en-US" w:eastAsia="en-US" w:bidi="ar-SA"/>
        </w:rPr>
        <w:t>. 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covenants and restrictions without including any of such that may be hereafter declared invalid, illegal, void or unenforceable.</w:t>
      </w:r>
    </w:p>
    <w:p w14:paraId="500FF0E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0E98CAD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7.11  </w:t>
      </w:r>
      <w:r w:rsidRPr="00AE3C59">
        <w:rPr>
          <w:rFonts w:ascii="Times New Roman" w:eastAsia="Times New Roman" w:hAnsi="Times New Roman" w:cs="Times New Roman"/>
          <w:sz w:val="20"/>
          <w:szCs w:val="20"/>
          <w:u w:val="single"/>
          <w:lang w:val="en-US" w:eastAsia="en-US" w:bidi="ar-SA"/>
        </w:rPr>
        <w:t>Remedies</w:t>
      </w:r>
      <w:r w:rsidRPr="00AE3C59">
        <w:rPr>
          <w:rFonts w:ascii="Times New Roman" w:eastAsia="Times New Roman" w:hAnsi="Times New Roman" w:cs="Times New Roman"/>
          <w:sz w:val="20"/>
          <w:szCs w:val="20"/>
          <w:lang w:val="en-US" w:eastAsia="en-US" w:bidi="ar-SA"/>
        </w:rPr>
        <w:t>. In addition to being entitled to exercise all rights provided herein or granted by law, including recovery of damages, the Underwriters and the Company will be entitled to specific performance under the Transaction Documents. The parties agree that monetary damages may not be adequate compensation for any loss incurred by reason of any breach of obligations contained in the Transaction Documents and hereby agree to waive and not to assert in any action for specific performance of any such obligation the defense that a remedy at law would be adequate.</w:t>
      </w:r>
    </w:p>
    <w:p w14:paraId="16AB8C6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E36188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xml:space="preserve">7.12  </w:t>
      </w:r>
      <w:r w:rsidRPr="00AE3C59">
        <w:rPr>
          <w:rFonts w:ascii="Times New Roman" w:eastAsia="Times New Roman" w:hAnsi="Times New Roman" w:cs="Times New Roman"/>
          <w:sz w:val="20"/>
          <w:szCs w:val="20"/>
          <w:u w:val="single"/>
          <w:lang w:val="en-US" w:eastAsia="en-US" w:bidi="ar-SA"/>
        </w:rPr>
        <w:t>Saturdays, Sundays, Holidays, etc</w:t>
      </w:r>
      <w:r w:rsidRPr="00AE3C59">
        <w:rPr>
          <w:rFonts w:ascii="Times New Roman" w:eastAsia="Times New Roman" w:hAnsi="Times New Roman" w:cs="Times New Roman"/>
          <w:sz w:val="20"/>
          <w:szCs w:val="20"/>
          <w:lang w:val="en-US" w:eastAsia="en-US" w:bidi="ar-SA"/>
        </w:rPr>
        <w:t>. If the last or appointed day for the taking of any action or the expiration of any right required or granted herein shall not be a Business Day, then such action may be taken or such right may be exercised on the next succeeding Business Day.</w:t>
      </w:r>
    </w:p>
    <w:p w14:paraId="0C577CA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3553649"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7.13  </w:t>
      </w:r>
      <w:r w:rsidRPr="00AE3C59">
        <w:rPr>
          <w:rFonts w:ascii="Times New Roman" w:eastAsia="Times New Roman" w:hAnsi="Times New Roman" w:cs="Times New Roman"/>
          <w:sz w:val="20"/>
          <w:szCs w:val="20"/>
          <w:u w:val="single"/>
          <w:lang w:val="en-US" w:eastAsia="en-US" w:bidi="ar-SA"/>
        </w:rPr>
        <w:t>Construction</w:t>
      </w:r>
      <w:r w:rsidRPr="00AE3C59">
        <w:rPr>
          <w:rFonts w:ascii="Times New Roman" w:eastAsia="Times New Roman" w:hAnsi="Times New Roman" w:cs="Times New Roman"/>
          <w:sz w:val="20"/>
          <w:szCs w:val="20"/>
          <w:lang w:val="en-US" w:eastAsia="en-US" w:bidi="ar-SA"/>
        </w:rPr>
        <w:t>. The parties agree that each of them and/or their respective counsel have reviewed and had an opportunity to revise the Transaction Documents and, therefore, the normal rule of construction to the effect that any ambiguities are to be resolved against the drafting party shall not be employed in the interpretation of the Transaction Documents or any amendments thereto. In addition, each and every reference to share prices and shares of Common Stock in any Transaction Document shall be subject to adjustment for reverse and forward stock splits, stock dividends, stock combinations and other similar transactions of the Common Stock that occur after the date of this Agreement.</w:t>
      </w:r>
    </w:p>
    <w:p w14:paraId="4710436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5F742D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7.14  </w:t>
      </w:r>
      <w:r w:rsidRPr="00AE3C59">
        <w:rPr>
          <w:rFonts w:ascii="Times New Roman" w:eastAsia="Times New Roman" w:hAnsi="Times New Roman" w:cs="Times New Roman"/>
          <w:b/>
          <w:bCs/>
          <w:sz w:val="20"/>
          <w:szCs w:val="20"/>
          <w:u w:val="single"/>
          <w:lang w:val="en-US" w:eastAsia="en-US" w:bidi="ar-SA"/>
        </w:rPr>
        <w:t>WAIVER OF JURY TRIAL</w:t>
      </w:r>
      <w:r w:rsidRPr="00AE3C59">
        <w:rPr>
          <w:rFonts w:ascii="Times New Roman" w:eastAsia="Times New Roman" w:hAnsi="Times New Roman" w:cs="Times New Roman"/>
          <w:b/>
          <w:bCs/>
          <w:sz w:val="20"/>
          <w:szCs w:val="20"/>
          <w:lang w:val="en-US" w:eastAsia="en-US" w:bidi="ar-SA"/>
        </w:rPr>
        <w:t>. IN ANY ACTION, SUIT, OR PROCEEDING IN ANY JURISDICTION BROUGHT BY ANY PARTY AGAINST ANY OTHER PARTY ARISING OUT OF OR RELATING TO THIS AGREEMENT OR THE TRANSACTIONS CONTEMPLATED HEREBY, THE PARTIES EACH KNOWINGLY AND INTENTIONALLY, TO THE GREATEST EXTENT PERMITTED BY APPLICABLE LAW, HEREBY ABSOLUTELY, UNCONDITIONALLY, IRREVOCABLY AND EXPRESSLY WAIVE FOREVER ANY RIGHT TO TRIAL BY JURY.</w:t>
      </w:r>
    </w:p>
    <w:p w14:paraId="09CC7D04" w14:textId="77777777" w:rsidR="00AE3C59" w:rsidRPr="00AE3C59" w:rsidRDefault="00AE3C59" w:rsidP="00AE3C59">
      <w:pPr>
        <w:spacing w:after="0" w:line="240" w:lineRule="auto"/>
        <w:ind w:firstLine="720"/>
        <w:jc w:val="both"/>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04E4B17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 7.15 </w:t>
      </w:r>
      <w:r w:rsidRPr="00AE3C59">
        <w:rPr>
          <w:rFonts w:ascii="Times New Roman" w:eastAsia="Times New Roman" w:hAnsi="Times New Roman" w:cs="Times New Roman"/>
          <w:sz w:val="20"/>
          <w:szCs w:val="20"/>
          <w:u w:val="single"/>
          <w:lang w:val="en-US" w:eastAsia="en-US" w:bidi="ar-SA"/>
        </w:rPr>
        <w:t>No Third Party Beneficiaries</w:t>
      </w:r>
      <w:r w:rsidRPr="00AE3C59">
        <w:rPr>
          <w:rFonts w:ascii="Times New Roman" w:eastAsia="Times New Roman" w:hAnsi="Times New Roman" w:cs="Times New Roman"/>
          <w:sz w:val="20"/>
          <w:szCs w:val="20"/>
          <w:lang w:val="en-US" w:eastAsia="en-US" w:bidi="ar-SA"/>
        </w:rPr>
        <w:t>. The provisions of this Agreement shall be binding upon and shall inure solely to the benefit of the parties hereto, are not intended to confer upon any Person other than the parties hereto, and the Underwriters where so indicated any rights, benefits, remedies, obligations or liabilities hereunder.</w:t>
      </w:r>
    </w:p>
    <w:p w14:paraId="5477C4E4"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1C9494E" w14:textId="77777777" w:rsidR="00AE3C59" w:rsidRPr="00AE3C59" w:rsidRDefault="00AE3C59" w:rsidP="00AE3C59">
      <w:pPr>
        <w:spacing w:after="0" w:line="240" w:lineRule="auto"/>
        <w:jc w:val="center"/>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(Signature Pages Follow)</w:t>
      </w:r>
    </w:p>
    <w:p w14:paraId="720DED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i/>
          <w:iCs/>
          <w:sz w:val="20"/>
          <w:szCs w:val="20"/>
          <w:lang w:val="en-US" w:eastAsia="en-US" w:bidi="ar-SA"/>
        </w:rPr>
        <w:br w:type="page"/>
      </w:r>
      <w:r w:rsidRPr="00AE3C59">
        <w:rPr>
          <w:rFonts w:ascii="Times New Roman" w:eastAsia="Times New Roman" w:hAnsi="Times New Roman" w:cs="Times New Roman"/>
          <w:sz w:val="20"/>
          <w:szCs w:val="20"/>
          <w:lang w:val="en-US" w:eastAsia="en-US" w:bidi="ar-SA"/>
        </w:rPr>
        <w:lastRenderedPageBreak/>
        <w:t>If the foregoing correctly sets forth the understanding between the Underwriters and the Company, please so indicate in the space provided below for that purpose, whereupon this letter shall constitute a binding agreement among the Company and the several Underwriters in accordance with its terms.</w:t>
      </w:r>
    </w:p>
    <w:p w14:paraId="1B4D1DD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7F7C07"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6156"/>
        <w:gridCol w:w="308"/>
        <w:gridCol w:w="3472"/>
      </w:tblGrid>
      <w:tr w:rsidR="00AE3C59" w:rsidRPr="00AE3C59" w14:paraId="5AAC332D" w14:textId="77777777" w:rsidTr="00EB26FE">
        <w:tc>
          <w:tcPr>
            <w:tcW w:w="3095" w:type="pct"/>
            <w:tcBorders>
              <w:left w:val="nil"/>
              <w:right w:val="nil"/>
            </w:tcBorders>
            <w:tcMar>
              <w:top w:w="0" w:type="dxa"/>
              <w:left w:w="0" w:type="dxa"/>
              <w:bottom w:w="0" w:type="dxa"/>
              <w:right w:w="0" w:type="dxa"/>
            </w:tcMar>
          </w:tcPr>
          <w:p w14:paraId="4DC6031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900" w:type="pct"/>
            <w:gridSpan w:val="2"/>
            <w:tcBorders>
              <w:top w:val="nil"/>
              <w:left w:val="nil"/>
              <w:bottom w:val="nil"/>
              <w:right w:val="nil"/>
            </w:tcBorders>
            <w:tcMar>
              <w:top w:w="0" w:type="dxa"/>
              <w:left w:w="0" w:type="dxa"/>
              <w:bottom w:w="0" w:type="dxa"/>
              <w:right w:w="0" w:type="dxa"/>
            </w:tcMar>
          </w:tcPr>
          <w:p w14:paraId="40716E9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Very truly yours,</w:t>
            </w:r>
          </w:p>
        </w:tc>
      </w:tr>
      <w:tr w:rsidR="00AE3C59" w:rsidRPr="00AE3C59" w14:paraId="65E13C12" w14:textId="77777777" w:rsidTr="00EB26FE">
        <w:tc>
          <w:tcPr>
            <w:tcW w:w="3095" w:type="pct"/>
            <w:tcBorders>
              <w:left w:val="nil"/>
              <w:right w:val="nil"/>
            </w:tcBorders>
            <w:tcMar>
              <w:top w:w="0" w:type="dxa"/>
              <w:left w:w="0" w:type="dxa"/>
              <w:bottom w:w="0" w:type="dxa"/>
              <w:right w:w="0" w:type="dxa"/>
            </w:tcMar>
          </w:tcPr>
          <w:p w14:paraId="1B34388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3D68DA6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7A8F48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F239BEB" w14:textId="77777777" w:rsidTr="00EB26FE">
        <w:tc>
          <w:tcPr>
            <w:tcW w:w="3095" w:type="pct"/>
            <w:tcBorders>
              <w:left w:val="nil"/>
              <w:right w:val="nil"/>
            </w:tcBorders>
            <w:tcMar>
              <w:top w:w="0" w:type="dxa"/>
              <w:left w:w="0" w:type="dxa"/>
              <w:bottom w:w="0" w:type="dxa"/>
              <w:right w:w="0" w:type="dxa"/>
            </w:tcMar>
          </w:tcPr>
          <w:p w14:paraId="0CCA6FC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900" w:type="pct"/>
            <w:gridSpan w:val="2"/>
            <w:tcBorders>
              <w:top w:val="nil"/>
              <w:left w:val="nil"/>
              <w:bottom w:val="nil"/>
              <w:right w:val="nil"/>
            </w:tcBorders>
            <w:tcMar>
              <w:top w:w="0" w:type="dxa"/>
              <w:left w:w="0" w:type="dxa"/>
              <w:bottom w:w="0" w:type="dxa"/>
              <w:right w:w="0" w:type="dxa"/>
            </w:tcMar>
          </w:tcPr>
          <w:p w14:paraId="4D2E2A8F"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tc>
      </w:tr>
      <w:tr w:rsidR="00AE3C59" w:rsidRPr="00AE3C59" w14:paraId="0B13A9EA" w14:textId="77777777" w:rsidTr="00EB26FE">
        <w:tc>
          <w:tcPr>
            <w:tcW w:w="3095" w:type="pct"/>
            <w:tcBorders>
              <w:left w:val="nil"/>
              <w:right w:val="nil"/>
            </w:tcBorders>
            <w:tcMar>
              <w:top w:w="0" w:type="dxa"/>
              <w:left w:w="0" w:type="dxa"/>
              <w:bottom w:w="0" w:type="dxa"/>
              <w:right w:w="0" w:type="dxa"/>
            </w:tcMar>
          </w:tcPr>
          <w:p w14:paraId="14217CC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63BBF80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3D268D9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44B2178A" w14:textId="77777777" w:rsidTr="00EB26FE">
        <w:tc>
          <w:tcPr>
            <w:tcW w:w="3095" w:type="pct"/>
            <w:tcBorders>
              <w:left w:val="nil"/>
              <w:right w:val="nil"/>
            </w:tcBorders>
            <w:tcMar>
              <w:top w:w="0" w:type="dxa"/>
              <w:left w:w="0" w:type="dxa"/>
              <w:bottom w:w="0" w:type="dxa"/>
              <w:right w:w="0" w:type="dxa"/>
            </w:tcMar>
          </w:tcPr>
          <w:p w14:paraId="0C6A1C6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5DCF425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w:t>
            </w:r>
          </w:p>
        </w:tc>
        <w:tc>
          <w:tcPr>
            <w:tcW w:w="1745" w:type="pct"/>
            <w:tcBorders>
              <w:left w:val="nil"/>
              <w:bottom w:val="single" w:sz="6" w:space="0" w:color="000000"/>
              <w:right w:val="nil"/>
            </w:tcBorders>
            <w:tcMar>
              <w:top w:w="0" w:type="dxa"/>
              <w:left w:w="0" w:type="dxa"/>
              <w:bottom w:w="0" w:type="dxa"/>
              <w:right w:w="0" w:type="dxa"/>
            </w:tcMar>
          </w:tcPr>
          <w:p w14:paraId="7331485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F07F33D" w14:textId="77777777" w:rsidTr="00EB26FE">
        <w:tc>
          <w:tcPr>
            <w:tcW w:w="3095" w:type="pct"/>
            <w:tcBorders>
              <w:left w:val="nil"/>
              <w:right w:val="nil"/>
            </w:tcBorders>
            <w:tcMar>
              <w:top w:w="0" w:type="dxa"/>
              <w:left w:w="0" w:type="dxa"/>
              <w:bottom w:w="0" w:type="dxa"/>
              <w:right w:w="0" w:type="dxa"/>
            </w:tcMar>
          </w:tcPr>
          <w:p w14:paraId="7F3DD76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027E900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4C68E4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David A. Dodd</w:t>
            </w:r>
          </w:p>
        </w:tc>
      </w:tr>
      <w:tr w:rsidR="00AE3C59" w:rsidRPr="00AE3C59" w14:paraId="0DA4CAED" w14:textId="77777777" w:rsidTr="00EB26FE">
        <w:tc>
          <w:tcPr>
            <w:tcW w:w="3095" w:type="pct"/>
            <w:tcBorders>
              <w:left w:val="nil"/>
              <w:right w:val="nil"/>
            </w:tcBorders>
            <w:tcMar>
              <w:top w:w="0" w:type="dxa"/>
              <w:left w:w="0" w:type="dxa"/>
              <w:bottom w:w="0" w:type="dxa"/>
              <w:right w:w="0" w:type="dxa"/>
            </w:tcMar>
          </w:tcPr>
          <w:p w14:paraId="1F0B532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10822A3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6C9AE7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Chairman, President, and Chief</w:t>
            </w:r>
            <w:r w:rsidRPr="00AE3C59">
              <w:rPr>
                <w:rFonts w:ascii="Times New Roman" w:eastAsia="Times New Roman" w:hAnsi="Times New Roman" w:cs="Times New Roman"/>
                <w:sz w:val="20"/>
                <w:szCs w:val="20"/>
                <w:lang w:val="en-US" w:eastAsia="en-US" w:bidi="ar-SA"/>
              </w:rPr>
              <w:br/>
              <w:t>Executive Officer</w:t>
            </w:r>
          </w:p>
        </w:tc>
      </w:tr>
    </w:tbl>
    <w:p w14:paraId="0609A48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F91B3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Address for Notice:</w:t>
      </w:r>
    </w:p>
    <w:p w14:paraId="01950C5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E06D11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GeoVax Labs, Inc.</w:t>
      </w:r>
    </w:p>
    <w:p w14:paraId="768FA89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1900 Lake Park Drive, Suite 380</w:t>
      </w:r>
    </w:p>
    <w:p w14:paraId="004349E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Smyrna, GA 30080</w:t>
      </w:r>
    </w:p>
    <w:p w14:paraId="3076DA7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Attention: David A. Dodd, Chairman, President and Chief Executive Officer</w:t>
      </w:r>
    </w:p>
    <w:p w14:paraId="5AA6EB6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Email: ddodd@geovax.com</w:t>
      </w:r>
    </w:p>
    <w:p w14:paraId="50A0D7A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57E25B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Copy to:</w:t>
      </w:r>
    </w:p>
    <w:p w14:paraId="1378D31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D46E06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Womble Bond Dickinson (US) LLP</w:t>
      </w:r>
    </w:p>
    <w:p w14:paraId="431B17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271 17</w:t>
      </w:r>
      <w:r w:rsidRPr="00AE3C59">
        <w:rPr>
          <w:rFonts w:ascii="Times New Roman" w:eastAsia="Times New Roman" w:hAnsi="Times New Roman" w:cs="Times New Roman"/>
          <w:sz w:val="17"/>
          <w:szCs w:val="17"/>
          <w:lang w:val="en-US" w:eastAsia="en-US" w:bidi="ar-SA"/>
        </w:rPr>
        <w:t>th</w:t>
      </w:r>
      <w:r w:rsidRPr="00AE3C59">
        <w:rPr>
          <w:rFonts w:ascii="Times New Roman" w:eastAsia="Times New Roman" w:hAnsi="Times New Roman" w:cs="Times New Roman"/>
          <w:sz w:val="20"/>
          <w:szCs w:val="20"/>
          <w:lang w:val="en-US" w:eastAsia="en-US" w:bidi="ar-SA"/>
        </w:rPr>
        <w:t xml:space="preserve"> Street NW, Suite 2400</w:t>
      </w:r>
    </w:p>
    <w:p w14:paraId="015996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Atlanta, Georgia 30363</w:t>
      </w:r>
    </w:p>
    <w:p w14:paraId="64F268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Telephone: (404) 879-2455</w:t>
      </w:r>
    </w:p>
    <w:p w14:paraId="42A6CEE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Attention: T. Clark Fitzgerald III, Esq.</w:t>
      </w:r>
    </w:p>
    <w:p w14:paraId="145C44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Email: clark.fitzgerald@wbd-us.com</w:t>
      </w:r>
    </w:p>
    <w:p w14:paraId="32B2CD9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0854C1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Accepted by the Representative, acting for themselves and as</w:t>
      </w:r>
      <w:r w:rsidRPr="00AE3C59">
        <w:rPr>
          <w:rFonts w:ascii="Times New Roman" w:eastAsia="Times New Roman" w:hAnsi="Times New Roman" w:cs="Times New Roman"/>
          <w:sz w:val="20"/>
          <w:szCs w:val="20"/>
          <w:lang w:val="en-US" w:eastAsia="en-US" w:bidi="ar-SA"/>
        </w:rPr>
        <w:br/>
        <w:t xml:space="preserve">Representative of the Underwriters named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hereto,</w:t>
      </w:r>
    </w:p>
    <w:p w14:paraId="64C486A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as of the date first above written:</w:t>
      </w:r>
    </w:p>
    <w:p w14:paraId="626E00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08"/>
        <w:gridCol w:w="3472"/>
        <w:gridCol w:w="6156"/>
      </w:tblGrid>
      <w:tr w:rsidR="00AE3C59" w:rsidRPr="00AE3C59" w14:paraId="37BAA316" w14:textId="77777777" w:rsidTr="00EB26FE">
        <w:tc>
          <w:tcPr>
            <w:tcW w:w="1900" w:type="pct"/>
            <w:gridSpan w:val="2"/>
            <w:tcBorders>
              <w:top w:val="nil"/>
              <w:left w:val="nil"/>
              <w:bottom w:val="nil"/>
              <w:right w:val="nil"/>
            </w:tcBorders>
            <w:tcMar>
              <w:top w:w="0" w:type="dxa"/>
              <w:left w:w="0" w:type="dxa"/>
              <w:bottom w:w="0" w:type="dxa"/>
              <w:right w:w="0" w:type="dxa"/>
            </w:tcMar>
          </w:tcPr>
          <w:p w14:paraId="310B387D" w14:textId="77777777" w:rsidR="00AE3C59" w:rsidRPr="00AE3C59" w:rsidRDefault="00AE3C59" w:rsidP="00AE3C59">
            <w:pPr>
              <w:spacing w:after="0" w:line="240" w:lineRule="auto"/>
              <w:rPr>
                <w:rFonts w:ascii="Times New Roman" w:eastAsia="Times New Roman" w:hAnsi="Times New Roman" w:cs="Times New Roman"/>
                <w:b/>
                <w:bCs/>
                <w:caps/>
                <w:sz w:val="20"/>
                <w:szCs w:val="20"/>
                <w:lang w:val="en-US" w:eastAsia="en-US" w:bidi="ar-SA"/>
              </w:rPr>
            </w:pPr>
            <w:r w:rsidRPr="00AE3C59">
              <w:rPr>
                <w:rFonts w:ascii="Times New Roman" w:eastAsia="Times New Roman" w:hAnsi="Times New Roman" w:cs="Times New Roman"/>
                <w:b/>
                <w:bCs/>
                <w:caps/>
                <w:sz w:val="20"/>
                <w:szCs w:val="20"/>
                <w:lang w:val="en-US" w:eastAsia="en-US" w:bidi="ar-SA"/>
              </w:rPr>
              <w:t>MAXIM GROUP LLC</w:t>
            </w:r>
          </w:p>
        </w:tc>
        <w:tc>
          <w:tcPr>
            <w:tcW w:w="3095" w:type="pct"/>
            <w:tcBorders>
              <w:left w:val="nil"/>
              <w:right w:val="nil"/>
            </w:tcBorders>
            <w:tcMar>
              <w:top w:w="0" w:type="dxa"/>
              <w:left w:w="0" w:type="dxa"/>
              <w:bottom w:w="0" w:type="dxa"/>
              <w:right w:w="0" w:type="dxa"/>
            </w:tcMar>
          </w:tcPr>
          <w:p w14:paraId="1682EC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50B43F3F" w14:textId="77777777" w:rsidTr="00EB26FE">
        <w:tc>
          <w:tcPr>
            <w:tcW w:w="155" w:type="pct"/>
            <w:tcBorders>
              <w:left w:val="nil"/>
              <w:right w:val="nil"/>
            </w:tcBorders>
            <w:tcMar>
              <w:top w:w="0" w:type="dxa"/>
              <w:left w:w="0" w:type="dxa"/>
              <w:bottom w:w="0" w:type="dxa"/>
              <w:right w:w="0" w:type="dxa"/>
            </w:tcMar>
          </w:tcPr>
          <w:p w14:paraId="0E0F5B1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7E270C0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095" w:type="pct"/>
            <w:tcBorders>
              <w:left w:val="nil"/>
              <w:right w:val="nil"/>
            </w:tcBorders>
            <w:tcMar>
              <w:top w:w="0" w:type="dxa"/>
              <w:left w:w="0" w:type="dxa"/>
              <w:bottom w:w="0" w:type="dxa"/>
              <w:right w:w="0" w:type="dxa"/>
            </w:tcMar>
          </w:tcPr>
          <w:p w14:paraId="3B052DA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531AB63" w14:textId="77777777" w:rsidTr="00EB26FE">
        <w:tc>
          <w:tcPr>
            <w:tcW w:w="155" w:type="pct"/>
            <w:tcBorders>
              <w:left w:val="nil"/>
              <w:right w:val="nil"/>
            </w:tcBorders>
            <w:tcMar>
              <w:top w:w="0" w:type="dxa"/>
              <w:left w:w="0" w:type="dxa"/>
              <w:bottom w:w="0" w:type="dxa"/>
              <w:right w:w="0" w:type="dxa"/>
            </w:tcMar>
          </w:tcPr>
          <w:p w14:paraId="2DEB31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w:t>
            </w:r>
          </w:p>
        </w:tc>
        <w:tc>
          <w:tcPr>
            <w:tcW w:w="1745" w:type="pct"/>
            <w:tcBorders>
              <w:left w:val="nil"/>
              <w:bottom w:val="single" w:sz="6" w:space="0" w:color="000000"/>
              <w:right w:val="nil"/>
            </w:tcBorders>
            <w:tcMar>
              <w:top w:w="0" w:type="dxa"/>
              <w:left w:w="0" w:type="dxa"/>
              <w:bottom w:w="0" w:type="dxa"/>
              <w:right w:w="0" w:type="dxa"/>
            </w:tcMar>
          </w:tcPr>
          <w:p w14:paraId="32E4232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095" w:type="pct"/>
            <w:tcBorders>
              <w:left w:val="nil"/>
              <w:right w:val="nil"/>
            </w:tcBorders>
            <w:tcMar>
              <w:top w:w="0" w:type="dxa"/>
              <w:left w:w="0" w:type="dxa"/>
              <w:bottom w:w="0" w:type="dxa"/>
              <w:right w:w="0" w:type="dxa"/>
            </w:tcMar>
          </w:tcPr>
          <w:p w14:paraId="752485E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C01CAB5" w14:textId="77777777" w:rsidTr="00EB26FE">
        <w:tc>
          <w:tcPr>
            <w:tcW w:w="155" w:type="pct"/>
            <w:tcBorders>
              <w:left w:val="nil"/>
              <w:right w:val="nil"/>
            </w:tcBorders>
            <w:tcMar>
              <w:top w:w="0" w:type="dxa"/>
              <w:left w:w="0" w:type="dxa"/>
              <w:bottom w:w="0" w:type="dxa"/>
              <w:right w:w="0" w:type="dxa"/>
            </w:tcMar>
          </w:tcPr>
          <w:p w14:paraId="2D88BE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721121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Clifford A. Teller</w:t>
            </w:r>
          </w:p>
        </w:tc>
        <w:tc>
          <w:tcPr>
            <w:tcW w:w="3095" w:type="pct"/>
            <w:tcBorders>
              <w:left w:val="nil"/>
              <w:right w:val="nil"/>
            </w:tcBorders>
            <w:tcMar>
              <w:top w:w="0" w:type="dxa"/>
              <w:left w:w="0" w:type="dxa"/>
              <w:bottom w:w="0" w:type="dxa"/>
              <w:right w:w="0" w:type="dxa"/>
            </w:tcMar>
          </w:tcPr>
          <w:p w14:paraId="164F51C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0EF03C9" w14:textId="77777777" w:rsidTr="00EB26FE">
        <w:tc>
          <w:tcPr>
            <w:tcW w:w="155" w:type="pct"/>
            <w:tcBorders>
              <w:left w:val="nil"/>
              <w:right w:val="nil"/>
            </w:tcBorders>
            <w:tcMar>
              <w:top w:w="0" w:type="dxa"/>
              <w:left w:w="0" w:type="dxa"/>
              <w:bottom w:w="0" w:type="dxa"/>
              <w:right w:w="0" w:type="dxa"/>
            </w:tcMar>
          </w:tcPr>
          <w:p w14:paraId="6BCA8C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45" w:type="pct"/>
            <w:tcBorders>
              <w:left w:val="nil"/>
              <w:right w:val="nil"/>
            </w:tcBorders>
            <w:tcMar>
              <w:top w:w="0" w:type="dxa"/>
              <w:left w:w="0" w:type="dxa"/>
              <w:bottom w:w="0" w:type="dxa"/>
              <w:right w:w="0" w:type="dxa"/>
            </w:tcMar>
          </w:tcPr>
          <w:p w14:paraId="547DB37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Executive Managing Director,</w:t>
            </w:r>
          </w:p>
          <w:p w14:paraId="7559C9E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Investment Banking</w:t>
            </w:r>
          </w:p>
        </w:tc>
        <w:tc>
          <w:tcPr>
            <w:tcW w:w="3095" w:type="pct"/>
            <w:tcBorders>
              <w:left w:val="nil"/>
              <w:right w:val="nil"/>
            </w:tcBorders>
            <w:tcMar>
              <w:top w:w="0" w:type="dxa"/>
              <w:left w:w="0" w:type="dxa"/>
              <w:bottom w:w="0" w:type="dxa"/>
              <w:right w:w="0" w:type="dxa"/>
            </w:tcMar>
          </w:tcPr>
          <w:p w14:paraId="10A339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4C711A9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val="en-US" w:eastAsia="en-US" w:bidi="ar-SA"/>
        </w:rPr>
        <w:br/>
        <w:t>Address for Notice:</w:t>
      </w:r>
    </w:p>
    <w:p w14:paraId="2A154A1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C892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405 Lexington Avenue</w:t>
      </w:r>
    </w:p>
    <w:p w14:paraId="62BB37E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New York, New York 10174</w:t>
      </w:r>
    </w:p>
    <w:p w14:paraId="435C131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Facsimile: (212) 895-3783</w:t>
      </w:r>
    </w:p>
    <w:p w14:paraId="3E5493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Attention: Clifford A. Teller</w:t>
      </w:r>
    </w:p>
    <w:p w14:paraId="4DA3AAD1"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Email: </w:t>
      </w:r>
      <w:r w:rsidRPr="00AE3C59">
        <w:rPr>
          <w:rFonts w:ascii="Times New Roman" w:eastAsia="Times New Roman" w:hAnsi="Times New Roman" w:cs="Times New Roman"/>
          <w:sz w:val="20"/>
          <w:szCs w:val="20"/>
          <w:lang w:eastAsia="en-US" w:bidi="ar-SA"/>
        </w:rPr>
        <w:t>cteller@maximgrp.com</w:t>
      </w:r>
    </w:p>
    <w:p w14:paraId="1ADCF67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E7BAE0"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Copy to: </w:t>
      </w:r>
    </w:p>
    <w:p w14:paraId="39F8EB1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w:t>
      </w:r>
      <w:r w:rsidRPr="00AE3C59">
        <w:rPr>
          <w:rFonts w:ascii="Times New Roman" w:eastAsia="Times New Roman" w:hAnsi="Times New Roman" w:cs="Times New Roman"/>
          <w:sz w:val="20"/>
          <w:szCs w:val="20"/>
          <w:lang w:val="en-US" w:eastAsia="en-US" w:bidi="ar-SA"/>
        </w:rPr>
        <w:br/>
        <w:t>101 Wood Avenue South, 5</w:t>
      </w:r>
      <w:r w:rsidRPr="00AE3C59">
        <w:rPr>
          <w:rFonts w:ascii="Times New Roman" w:eastAsia="Times New Roman" w:hAnsi="Times New Roman" w:cs="Times New Roman"/>
          <w:sz w:val="17"/>
          <w:szCs w:val="17"/>
          <w:lang w:val="en-US" w:eastAsia="en-US" w:bidi="ar-SA"/>
        </w:rPr>
        <w:t>th</w:t>
      </w:r>
      <w:r w:rsidRPr="00AE3C59">
        <w:rPr>
          <w:rFonts w:ascii="Times New Roman" w:eastAsia="Times New Roman" w:hAnsi="Times New Roman" w:cs="Times New Roman"/>
          <w:sz w:val="20"/>
          <w:szCs w:val="20"/>
          <w:lang w:val="en-US" w:eastAsia="en-US" w:bidi="ar-SA"/>
        </w:rPr>
        <w:t xml:space="preserve"> Floor</w:t>
      </w:r>
    </w:p>
    <w:p w14:paraId="1D5F57F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Woodbridge, New Jersey 08830</w:t>
      </w:r>
      <w:r w:rsidRPr="00AE3C59">
        <w:rPr>
          <w:rFonts w:ascii="Times New Roman" w:eastAsia="Times New Roman" w:hAnsi="Times New Roman" w:cs="Times New Roman"/>
          <w:sz w:val="20"/>
          <w:szCs w:val="20"/>
          <w:lang w:val="en-US" w:eastAsia="en-US" w:bidi="ar-SA"/>
        </w:rPr>
        <w:br/>
        <w:t>Telephone: (732) 395-4400</w:t>
      </w:r>
      <w:r w:rsidRPr="00AE3C59">
        <w:rPr>
          <w:rFonts w:ascii="Times New Roman" w:eastAsia="Times New Roman" w:hAnsi="Times New Roman" w:cs="Times New Roman"/>
          <w:sz w:val="20"/>
          <w:szCs w:val="20"/>
          <w:lang w:val="en-US" w:eastAsia="en-US" w:bidi="ar-SA"/>
        </w:rPr>
        <w:br/>
        <w:t xml:space="preserve">Attention: Joseph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Esq.</w:t>
      </w:r>
    </w:p>
    <w:p w14:paraId="6DBDDE8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Email: </w:t>
      </w:r>
      <w:r w:rsidRPr="00AE3C59">
        <w:rPr>
          <w:rFonts w:ascii="Times New Roman" w:eastAsia="Times New Roman" w:hAnsi="Times New Roman" w:cs="Times New Roman"/>
          <w:sz w:val="20"/>
          <w:szCs w:val="20"/>
          <w:lang w:eastAsia="en-US" w:bidi="ar-SA"/>
        </w:rPr>
        <w:t>jlucosky@lucbro.com</w:t>
      </w:r>
    </w:p>
    <w:p w14:paraId="280E549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8D09274"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p>
    <w:p w14:paraId="048F454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62A106"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SCHEDULE I</w:t>
      </w:r>
    </w:p>
    <w:p w14:paraId="6DC814E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D7DF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ACDB60" w14:textId="77777777" w:rsidR="00AE3C59" w:rsidRPr="00AE3C59" w:rsidRDefault="00AE3C59" w:rsidP="00AE3C59">
      <w:pPr>
        <w:spacing w:after="0" w:line="240" w:lineRule="auto"/>
        <w:jc w:val="center"/>
        <w:rPr>
          <w:rFonts w:ascii="Times New Roman" w:eastAsia="Times New Roman" w:hAnsi="Times New Roman" w:cs="Times New Roman"/>
          <w:smallCaps/>
          <w:sz w:val="20"/>
          <w:szCs w:val="20"/>
          <w:lang w:val="en-US" w:eastAsia="en-US" w:bidi="ar-SA"/>
        </w:rPr>
      </w:pPr>
      <w:r w:rsidRPr="00AE3C59">
        <w:rPr>
          <w:rFonts w:ascii="Times New Roman" w:eastAsia="Times New Roman" w:hAnsi="Times New Roman" w:cs="Times New Roman"/>
          <w:smallCaps/>
          <w:sz w:val="20"/>
          <w:szCs w:val="20"/>
          <w:lang w:val="en-US" w:eastAsia="en-US" w:bidi="ar-SA"/>
        </w:rPr>
        <w:t>Schedule of Underwriters</w:t>
      </w:r>
    </w:p>
    <w:p w14:paraId="0D689818" w14:textId="77777777" w:rsidR="00AE3C59" w:rsidRPr="00AE3C59" w:rsidRDefault="00AE3C59" w:rsidP="00AE3C59">
      <w:pPr>
        <w:spacing w:after="0" w:line="240" w:lineRule="auto"/>
        <w:jc w:val="center"/>
        <w:rPr>
          <w:rFonts w:ascii="Times New Roman" w:eastAsia="Times New Roman" w:hAnsi="Times New Roman" w:cs="Times New Roman"/>
          <w:smallCaps/>
          <w:sz w:val="20"/>
          <w:szCs w:val="20"/>
          <w:lang w:val="en-US" w:eastAsia="en-US" w:bidi="ar-SA"/>
        </w:rPr>
      </w:pPr>
      <w:r w:rsidRPr="00AE3C59">
        <w:rPr>
          <w:rFonts w:ascii="Times New Roman" w:eastAsia="Times New Roman" w:hAnsi="Times New Roman" w:cs="Times New Roman"/>
          <w:smallCaps/>
          <w:sz w:val="20"/>
          <w:szCs w:val="20"/>
          <w:lang w:val="en-US" w:eastAsia="en-US" w:bidi="ar-SA"/>
        </w:rPr>
        <w:t> </w:t>
      </w:r>
    </w:p>
    <w:p w14:paraId="009F764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1804"/>
        <w:gridCol w:w="956"/>
        <w:gridCol w:w="3098"/>
        <w:gridCol w:w="1258"/>
        <w:gridCol w:w="1258"/>
        <w:gridCol w:w="1562"/>
      </w:tblGrid>
      <w:tr w:rsidR="00AE3C59" w:rsidRPr="00AE3C59" w14:paraId="00378FC3" w14:textId="77777777" w:rsidTr="00EB26FE">
        <w:tc>
          <w:tcPr>
            <w:tcW w:w="908" w:type="pct"/>
            <w:tcBorders>
              <w:left w:val="nil"/>
              <w:right w:val="nil"/>
            </w:tcBorders>
            <w:tcMar>
              <w:top w:w="0" w:type="dxa"/>
              <w:left w:w="0" w:type="dxa"/>
              <w:bottom w:w="0" w:type="dxa"/>
              <w:right w:w="0" w:type="dxa"/>
            </w:tcMar>
          </w:tcPr>
          <w:p w14:paraId="00889BE5"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Underwriters</w:t>
            </w:r>
          </w:p>
        </w:tc>
        <w:tc>
          <w:tcPr>
            <w:tcW w:w="481" w:type="pct"/>
            <w:tcBorders>
              <w:left w:val="nil"/>
              <w:right w:val="nil"/>
            </w:tcBorders>
            <w:tcMar>
              <w:top w:w="0" w:type="dxa"/>
              <w:left w:w="0" w:type="dxa"/>
              <w:bottom w:w="0" w:type="dxa"/>
              <w:right w:w="0" w:type="dxa"/>
            </w:tcMar>
          </w:tcPr>
          <w:p w14:paraId="13D1527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Closing</w:t>
            </w:r>
            <w:r w:rsidRPr="00AE3C59">
              <w:rPr>
                <w:rFonts w:ascii="Times New Roman" w:eastAsia="Times New Roman" w:hAnsi="Times New Roman" w:cs="Times New Roman"/>
                <w:b/>
                <w:bCs/>
                <w:sz w:val="20"/>
                <w:szCs w:val="20"/>
                <w:u w:val="single"/>
                <w:lang w:val="en-US" w:eastAsia="en-US" w:bidi="ar-SA"/>
              </w:rPr>
              <w:br/>
              <w:t>Units</w:t>
            </w:r>
          </w:p>
        </w:tc>
        <w:tc>
          <w:tcPr>
            <w:tcW w:w="1559" w:type="pct"/>
            <w:tcBorders>
              <w:left w:val="nil"/>
              <w:right w:val="nil"/>
            </w:tcBorders>
            <w:tcMar>
              <w:top w:w="0" w:type="dxa"/>
              <w:left w:w="0" w:type="dxa"/>
              <w:bottom w:w="0" w:type="dxa"/>
              <w:right w:w="0" w:type="dxa"/>
            </w:tcMar>
          </w:tcPr>
          <w:p w14:paraId="6055A65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Closing Shares</w:t>
            </w:r>
          </w:p>
        </w:tc>
        <w:tc>
          <w:tcPr>
            <w:tcW w:w="633" w:type="pct"/>
            <w:tcBorders>
              <w:left w:val="nil"/>
              <w:right w:val="nil"/>
            </w:tcBorders>
          </w:tcPr>
          <w:p w14:paraId="50DC040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eastAsia="en-US" w:bidi="ar-SA"/>
              </w:rPr>
            </w:pPr>
            <w:r w:rsidRPr="00AE3C59">
              <w:rPr>
                <w:rFonts w:ascii="Times New Roman" w:eastAsia="Times New Roman" w:hAnsi="Times New Roman" w:cs="Times New Roman"/>
                <w:b/>
                <w:bCs/>
                <w:sz w:val="20"/>
                <w:szCs w:val="20"/>
                <w:u w:val="single"/>
                <w:lang w:eastAsia="en-US" w:bidi="ar-SA"/>
              </w:rPr>
              <w:t>Closing Pre-Funded Warrants</w:t>
            </w:r>
          </w:p>
        </w:tc>
        <w:tc>
          <w:tcPr>
            <w:tcW w:w="633" w:type="pct"/>
            <w:tcBorders>
              <w:left w:val="nil"/>
              <w:right w:val="nil"/>
            </w:tcBorders>
            <w:tcMar>
              <w:top w:w="0" w:type="dxa"/>
              <w:left w:w="0" w:type="dxa"/>
              <w:bottom w:w="0" w:type="dxa"/>
              <w:right w:w="0" w:type="dxa"/>
            </w:tcMar>
          </w:tcPr>
          <w:p w14:paraId="23937895"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Closing</w:t>
            </w:r>
            <w:r w:rsidRPr="00AE3C59">
              <w:rPr>
                <w:rFonts w:ascii="Times New Roman" w:eastAsia="Times New Roman" w:hAnsi="Times New Roman" w:cs="Times New Roman"/>
                <w:b/>
                <w:bCs/>
                <w:sz w:val="20"/>
                <w:szCs w:val="20"/>
                <w:u w:val="single"/>
                <w:lang w:val="en-US" w:eastAsia="en-US" w:bidi="ar-SA"/>
              </w:rPr>
              <w:br/>
              <w:t>Warrants</w:t>
            </w:r>
          </w:p>
        </w:tc>
        <w:tc>
          <w:tcPr>
            <w:tcW w:w="786" w:type="pct"/>
            <w:tcBorders>
              <w:left w:val="nil"/>
              <w:right w:val="nil"/>
            </w:tcBorders>
            <w:tcMar>
              <w:top w:w="0" w:type="dxa"/>
              <w:left w:w="0" w:type="dxa"/>
              <w:bottom w:w="0" w:type="dxa"/>
              <w:right w:w="0" w:type="dxa"/>
            </w:tcMar>
          </w:tcPr>
          <w:p w14:paraId="6B859F2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Closing Purchase</w:t>
            </w:r>
            <w:r w:rsidRPr="00AE3C59">
              <w:rPr>
                <w:rFonts w:ascii="Times New Roman" w:eastAsia="Times New Roman" w:hAnsi="Times New Roman" w:cs="Times New Roman"/>
                <w:b/>
                <w:bCs/>
                <w:sz w:val="20"/>
                <w:szCs w:val="20"/>
                <w:u w:val="single"/>
                <w:lang w:val="en-US" w:eastAsia="en-US" w:bidi="ar-SA"/>
              </w:rPr>
              <w:br/>
              <w:t>Price</w:t>
            </w:r>
          </w:p>
        </w:tc>
      </w:tr>
      <w:tr w:rsidR="00AE3C59" w:rsidRPr="00AE3C59" w14:paraId="7416111D" w14:textId="77777777" w:rsidTr="00EB26FE">
        <w:tc>
          <w:tcPr>
            <w:tcW w:w="908" w:type="pct"/>
            <w:tcBorders>
              <w:left w:val="nil"/>
              <w:right w:val="nil"/>
            </w:tcBorders>
            <w:tcMar>
              <w:top w:w="0" w:type="dxa"/>
              <w:left w:w="0" w:type="dxa"/>
              <w:bottom w:w="0" w:type="dxa"/>
              <w:right w:w="0" w:type="dxa"/>
            </w:tcMar>
          </w:tcPr>
          <w:p w14:paraId="6E92D13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481" w:type="pct"/>
            <w:tcBorders>
              <w:left w:val="nil"/>
              <w:right w:val="nil"/>
            </w:tcBorders>
            <w:tcMar>
              <w:top w:w="0" w:type="dxa"/>
              <w:left w:w="0" w:type="dxa"/>
              <w:bottom w:w="0" w:type="dxa"/>
              <w:right w:w="0" w:type="dxa"/>
            </w:tcMar>
          </w:tcPr>
          <w:p w14:paraId="1171906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tc>
        <w:tc>
          <w:tcPr>
            <w:tcW w:w="1559" w:type="pct"/>
            <w:tcBorders>
              <w:left w:val="nil"/>
              <w:right w:val="nil"/>
            </w:tcBorders>
            <w:tcMar>
              <w:top w:w="0" w:type="dxa"/>
              <w:left w:w="0" w:type="dxa"/>
              <w:bottom w:w="0" w:type="dxa"/>
              <w:right w:w="0" w:type="dxa"/>
            </w:tcMar>
          </w:tcPr>
          <w:p w14:paraId="4CBDFB6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tc>
        <w:tc>
          <w:tcPr>
            <w:tcW w:w="633" w:type="pct"/>
            <w:tcBorders>
              <w:left w:val="nil"/>
              <w:right w:val="nil"/>
            </w:tcBorders>
          </w:tcPr>
          <w:p w14:paraId="2F62E13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p>
        </w:tc>
        <w:tc>
          <w:tcPr>
            <w:tcW w:w="633" w:type="pct"/>
            <w:tcBorders>
              <w:left w:val="nil"/>
              <w:right w:val="nil"/>
            </w:tcBorders>
            <w:tcMar>
              <w:top w:w="0" w:type="dxa"/>
              <w:left w:w="0" w:type="dxa"/>
              <w:bottom w:w="0" w:type="dxa"/>
              <w:right w:w="0" w:type="dxa"/>
            </w:tcMar>
          </w:tcPr>
          <w:p w14:paraId="7F67787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tc>
        <w:tc>
          <w:tcPr>
            <w:tcW w:w="786" w:type="pct"/>
            <w:tcBorders>
              <w:left w:val="nil"/>
              <w:right w:val="nil"/>
            </w:tcBorders>
            <w:tcMar>
              <w:top w:w="0" w:type="dxa"/>
              <w:left w:w="0" w:type="dxa"/>
              <w:bottom w:w="0" w:type="dxa"/>
              <w:right w:w="0" w:type="dxa"/>
            </w:tcMar>
          </w:tcPr>
          <w:p w14:paraId="3F85338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tc>
      </w:tr>
      <w:tr w:rsidR="00AE3C59" w:rsidRPr="00AE3C59" w14:paraId="7691A70F" w14:textId="77777777" w:rsidTr="00EB26FE">
        <w:tc>
          <w:tcPr>
            <w:tcW w:w="908" w:type="pct"/>
            <w:tcBorders>
              <w:left w:val="nil"/>
              <w:right w:val="nil"/>
            </w:tcBorders>
            <w:shd w:val="clear" w:color="auto" w:fill="CCEEFF"/>
            <w:tcMar>
              <w:top w:w="0" w:type="dxa"/>
              <w:left w:w="0" w:type="dxa"/>
              <w:bottom w:w="0" w:type="dxa"/>
              <w:right w:w="0" w:type="dxa"/>
            </w:tcMar>
          </w:tcPr>
          <w:p w14:paraId="0D9B6E4A"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Maxim Group LLC</w:t>
            </w:r>
          </w:p>
        </w:tc>
        <w:tc>
          <w:tcPr>
            <w:tcW w:w="481" w:type="pct"/>
            <w:tcBorders>
              <w:left w:val="nil"/>
              <w:right w:val="nil"/>
            </w:tcBorders>
            <w:shd w:val="clear" w:color="auto" w:fill="CCEEFF"/>
            <w:tcMar>
              <w:top w:w="0" w:type="dxa"/>
              <w:left w:w="0" w:type="dxa"/>
              <w:bottom w:w="0" w:type="dxa"/>
              <w:right w:w="0" w:type="dxa"/>
            </w:tcMar>
          </w:tcPr>
          <w:p w14:paraId="1EE2BDF7"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1,920,000</w:t>
            </w:r>
          </w:p>
        </w:tc>
        <w:tc>
          <w:tcPr>
            <w:tcW w:w="1559" w:type="pct"/>
            <w:tcBorders>
              <w:left w:val="nil"/>
              <w:right w:val="nil"/>
            </w:tcBorders>
            <w:shd w:val="clear" w:color="auto" w:fill="CCEEFF"/>
            <w:tcMar>
              <w:top w:w="0" w:type="dxa"/>
              <w:left w:w="0" w:type="dxa"/>
              <w:bottom w:w="0" w:type="dxa"/>
              <w:right w:w="0" w:type="dxa"/>
            </w:tcMar>
          </w:tcPr>
          <w:p w14:paraId="7B9E5F3B"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1,732,500</w:t>
            </w:r>
          </w:p>
        </w:tc>
        <w:tc>
          <w:tcPr>
            <w:tcW w:w="633" w:type="pct"/>
            <w:tcBorders>
              <w:left w:val="nil"/>
              <w:right w:val="nil"/>
            </w:tcBorders>
            <w:shd w:val="clear" w:color="auto" w:fill="CCEEFF"/>
          </w:tcPr>
          <w:p w14:paraId="05B8449C"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187,500</w:t>
            </w:r>
          </w:p>
        </w:tc>
        <w:tc>
          <w:tcPr>
            <w:tcW w:w="633" w:type="pct"/>
            <w:tcBorders>
              <w:left w:val="nil"/>
              <w:right w:val="nil"/>
            </w:tcBorders>
            <w:shd w:val="clear" w:color="auto" w:fill="CCEEFF"/>
            <w:tcMar>
              <w:top w:w="0" w:type="dxa"/>
              <w:left w:w="0" w:type="dxa"/>
              <w:bottom w:w="0" w:type="dxa"/>
              <w:right w:w="0" w:type="dxa"/>
            </w:tcMar>
          </w:tcPr>
          <w:p w14:paraId="092CD6FD"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1,920,000</w:t>
            </w:r>
          </w:p>
        </w:tc>
        <w:tc>
          <w:tcPr>
            <w:tcW w:w="786" w:type="pct"/>
            <w:tcBorders>
              <w:left w:val="nil"/>
              <w:right w:val="nil"/>
            </w:tcBorders>
            <w:shd w:val="clear" w:color="auto" w:fill="CCEEFF"/>
            <w:tcMar>
              <w:top w:w="0" w:type="dxa"/>
              <w:left w:w="0" w:type="dxa"/>
              <w:bottom w:w="0" w:type="dxa"/>
              <w:right w:w="0" w:type="dxa"/>
            </w:tcMar>
          </w:tcPr>
          <w:p w14:paraId="184051DF"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$4.60 (Shares) or $4.59 (Pre-Funded Warrants)</w:t>
            </w:r>
          </w:p>
        </w:tc>
      </w:tr>
      <w:tr w:rsidR="00AE3C59" w:rsidRPr="00AE3C59" w14:paraId="2707B511" w14:textId="77777777" w:rsidTr="00EB26FE">
        <w:tc>
          <w:tcPr>
            <w:tcW w:w="908" w:type="pct"/>
            <w:tcBorders>
              <w:left w:val="nil"/>
              <w:right w:val="nil"/>
            </w:tcBorders>
            <w:shd w:val="clear" w:color="auto" w:fill="FFFFFF"/>
            <w:tcMar>
              <w:top w:w="0" w:type="dxa"/>
              <w:left w:w="0" w:type="dxa"/>
              <w:bottom w:w="0" w:type="dxa"/>
              <w:right w:w="0" w:type="dxa"/>
            </w:tcMar>
          </w:tcPr>
          <w:p w14:paraId="4CC2DC7D"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Joseph Gunnar &amp; Co., LLC</w:t>
            </w:r>
          </w:p>
        </w:tc>
        <w:tc>
          <w:tcPr>
            <w:tcW w:w="481" w:type="pct"/>
            <w:tcBorders>
              <w:left w:val="nil"/>
              <w:right w:val="nil"/>
            </w:tcBorders>
            <w:shd w:val="clear" w:color="auto" w:fill="FFFFFF"/>
            <w:tcMar>
              <w:top w:w="0" w:type="dxa"/>
              <w:left w:w="0" w:type="dxa"/>
              <w:bottom w:w="0" w:type="dxa"/>
              <w:right w:w="0" w:type="dxa"/>
            </w:tcMar>
          </w:tcPr>
          <w:p w14:paraId="6A9192EE"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 xml:space="preserve">     640,000</w:t>
            </w:r>
          </w:p>
        </w:tc>
        <w:tc>
          <w:tcPr>
            <w:tcW w:w="1559" w:type="pct"/>
            <w:tcBorders>
              <w:left w:val="nil"/>
              <w:right w:val="nil"/>
            </w:tcBorders>
            <w:shd w:val="clear" w:color="auto" w:fill="FFFFFF"/>
            <w:tcMar>
              <w:top w:w="0" w:type="dxa"/>
              <w:left w:w="0" w:type="dxa"/>
              <w:bottom w:w="0" w:type="dxa"/>
              <w:right w:w="0" w:type="dxa"/>
            </w:tcMar>
          </w:tcPr>
          <w:p w14:paraId="6DBEA766"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 xml:space="preserve">                         577,500</w:t>
            </w:r>
          </w:p>
        </w:tc>
        <w:tc>
          <w:tcPr>
            <w:tcW w:w="633" w:type="pct"/>
            <w:tcBorders>
              <w:left w:val="nil"/>
              <w:right w:val="nil"/>
            </w:tcBorders>
            <w:shd w:val="clear" w:color="auto" w:fill="FFFFFF"/>
          </w:tcPr>
          <w:p w14:paraId="4628E652"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 xml:space="preserve">       62,500</w:t>
            </w:r>
          </w:p>
        </w:tc>
        <w:tc>
          <w:tcPr>
            <w:tcW w:w="633" w:type="pct"/>
            <w:tcBorders>
              <w:left w:val="nil"/>
              <w:right w:val="nil"/>
            </w:tcBorders>
            <w:shd w:val="clear" w:color="auto" w:fill="FFFFFF"/>
            <w:tcMar>
              <w:top w:w="0" w:type="dxa"/>
              <w:left w:w="0" w:type="dxa"/>
              <w:bottom w:w="0" w:type="dxa"/>
              <w:right w:w="0" w:type="dxa"/>
            </w:tcMar>
          </w:tcPr>
          <w:p w14:paraId="2A18B1C8"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 xml:space="preserve">        640,000</w:t>
            </w:r>
          </w:p>
        </w:tc>
        <w:tc>
          <w:tcPr>
            <w:tcW w:w="786" w:type="pct"/>
            <w:tcBorders>
              <w:left w:val="nil"/>
              <w:right w:val="nil"/>
            </w:tcBorders>
            <w:shd w:val="clear" w:color="auto" w:fill="FFFFFF"/>
            <w:tcMar>
              <w:top w:w="0" w:type="dxa"/>
              <w:left w:w="0" w:type="dxa"/>
              <w:bottom w:w="0" w:type="dxa"/>
              <w:right w:w="0" w:type="dxa"/>
            </w:tcMar>
          </w:tcPr>
          <w:p w14:paraId="1068FEE8"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 xml:space="preserve">  $4.60 (Shares) or $4.59 (Pre-Funded Warrants)</w:t>
            </w:r>
          </w:p>
        </w:tc>
      </w:tr>
      <w:tr w:rsidR="00AE3C59" w:rsidRPr="00AE3C59" w14:paraId="67A8189B" w14:textId="77777777" w:rsidTr="00EB26FE">
        <w:tc>
          <w:tcPr>
            <w:tcW w:w="908" w:type="pct"/>
            <w:tcBorders>
              <w:left w:val="nil"/>
              <w:right w:val="nil"/>
            </w:tcBorders>
            <w:shd w:val="clear" w:color="auto" w:fill="CCEEFF"/>
            <w:tcMar>
              <w:top w:w="0" w:type="dxa"/>
              <w:left w:w="0" w:type="dxa"/>
              <w:bottom w:w="0" w:type="dxa"/>
              <w:right w:w="0" w:type="dxa"/>
            </w:tcMar>
          </w:tcPr>
          <w:p w14:paraId="6DBA1C26" w14:textId="77777777" w:rsidR="00AE3C59" w:rsidRPr="00AE3C59" w:rsidRDefault="00AE3C59" w:rsidP="00AE3C59">
            <w:pPr>
              <w:shd w:val="clear" w:color="auto" w:fill="CCEEFF"/>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Total</w:t>
            </w:r>
          </w:p>
        </w:tc>
        <w:tc>
          <w:tcPr>
            <w:tcW w:w="481" w:type="pct"/>
            <w:tcBorders>
              <w:left w:val="nil"/>
              <w:right w:val="nil"/>
            </w:tcBorders>
            <w:shd w:val="clear" w:color="auto" w:fill="CCEEFF"/>
            <w:tcMar>
              <w:top w:w="0" w:type="dxa"/>
              <w:left w:w="0" w:type="dxa"/>
              <w:bottom w:w="0" w:type="dxa"/>
              <w:right w:w="0" w:type="dxa"/>
            </w:tcMar>
          </w:tcPr>
          <w:p w14:paraId="17D6C8E1"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eastAsia="en-US" w:bidi="ar-SA"/>
              </w:rPr>
              <w:t>2,560,000</w:t>
            </w:r>
            <w:r w:rsidRPr="00AE3C59">
              <w:rPr>
                <w:rFonts w:ascii="Times New Roman" w:eastAsia="Times New Roman" w:hAnsi="Times New Roman" w:cs="Times New Roman"/>
                <w:b/>
                <w:bCs/>
                <w:sz w:val="20"/>
                <w:szCs w:val="20"/>
                <w:lang w:val="en-US" w:eastAsia="en-US" w:bidi="ar-SA"/>
              </w:rPr>
              <w:t> </w:t>
            </w:r>
          </w:p>
        </w:tc>
        <w:tc>
          <w:tcPr>
            <w:tcW w:w="1559" w:type="pct"/>
            <w:tcBorders>
              <w:left w:val="nil"/>
              <w:right w:val="nil"/>
            </w:tcBorders>
            <w:shd w:val="clear" w:color="auto" w:fill="CCEEFF"/>
            <w:tcMar>
              <w:top w:w="0" w:type="dxa"/>
              <w:left w:w="0" w:type="dxa"/>
              <w:bottom w:w="0" w:type="dxa"/>
              <w:right w:w="0" w:type="dxa"/>
            </w:tcMar>
          </w:tcPr>
          <w:p w14:paraId="25E528F2"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eastAsia="en-US" w:bidi="ar-SA"/>
              </w:rPr>
              <w:t>2,310,000</w:t>
            </w:r>
            <w:r w:rsidRPr="00AE3C59">
              <w:rPr>
                <w:rFonts w:ascii="Times New Roman" w:eastAsia="Times New Roman" w:hAnsi="Times New Roman" w:cs="Times New Roman"/>
                <w:b/>
                <w:bCs/>
                <w:sz w:val="20"/>
                <w:szCs w:val="20"/>
                <w:lang w:val="en-US" w:eastAsia="en-US" w:bidi="ar-SA"/>
              </w:rPr>
              <w:t> </w:t>
            </w:r>
          </w:p>
        </w:tc>
        <w:tc>
          <w:tcPr>
            <w:tcW w:w="633" w:type="pct"/>
            <w:tcBorders>
              <w:left w:val="nil"/>
              <w:right w:val="nil"/>
            </w:tcBorders>
            <w:shd w:val="clear" w:color="auto" w:fill="CCEEFF"/>
          </w:tcPr>
          <w:p w14:paraId="63609125"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b/>
                <w:bCs/>
                <w:sz w:val="20"/>
                <w:szCs w:val="20"/>
                <w:lang w:eastAsia="en-US" w:bidi="ar-SA"/>
              </w:rPr>
            </w:pPr>
            <w:r w:rsidRPr="00AE3C59">
              <w:rPr>
                <w:rFonts w:ascii="Times New Roman" w:eastAsia="Times New Roman" w:hAnsi="Times New Roman" w:cs="Times New Roman"/>
                <w:b/>
                <w:bCs/>
                <w:sz w:val="20"/>
                <w:szCs w:val="20"/>
                <w:lang w:eastAsia="en-US" w:bidi="ar-SA"/>
              </w:rPr>
              <w:t>250,000</w:t>
            </w:r>
          </w:p>
        </w:tc>
        <w:tc>
          <w:tcPr>
            <w:tcW w:w="633" w:type="pct"/>
            <w:tcBorders>
              <w:left w:val="nil"/>
              <w:right w:val="nil"/>
            </w:tcBorders>
            <w:shd w:val="clear" w:color="auto" w:fill="CCEEFF"/>
            <w:tcMar>
              <w:top w:w="0" w:type="dxa"/>
              <w:left w:w="0" w:type="dxa"/>
              <w:bottom w:w="0" w:type="dxa"/>
              <w:right w:w="0" w:type="dxa"/>
            </w:tcMar>
          </w:tcPr>
          <w:p w14:paraId="0AAD325A"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eastAsia="en-US" w:bidi="ar-SA"/>
              </w:rPr>
              <w:t>2,560,000</w:t>
            </w:r>
            <w:r w:rsidRPr="00AE3C59">
              <w:rPr>
                <w:rFonts w:ascii="Times New Roman" w:eastAsia="Times New Roman" w:hAnsi="Times New Roman" w:cs="Times New Roman"/>
                <w:b/>
                <w:bCs/>
                <w:sz w:val="20"/>
                <w:szCs w:val="20"/>
                <w:lang w:val="en-US" w:eastAsia="en-US" w:bidi="ar-SA"/>
              </w:rPr>
              <w:t> </w:t>
            </w:r>
          </w:p>
        </w:tc>
        <w:tc>
          <w:tcPr>
            <w:tcW w:w="786" w:type="pct"/>
            <w:tcBorders>
              <w:left w:val="nil"/>
              <w:right w:val="nil"/>
            </w:tcBorders>
            <w:shd w:val="clear" w:color="auto" w:fill="CCEEFF"/>
            <w:tcMar>
              <w:top w:w="0" w:type="dxa"/>
              <w:left w:w="0" w:type="dxa"/>
              <w:bottom w:w="0" w:type="dxa"/>
              <w:right w:w="0" w:type="dxa"/>
            </w:tcMar>
          </w:tcPr>
          <w:p w14:paraId="31716E7A"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b/>
                <w:bCs/>
                <w:sz w:val="20"/>
                <w:szCs w:val="20"/>
                <w:lang w:eastAsia="en-US" w:bidi="ar-SA"/>
              </w:rPr>
            </w:pPr>
          </w:p>
        </w:tc>
      </w:tr>
    </w:tbl>
    <w:p w14:paraId="36C4EDC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E3456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p>
    <w:p w14:paraId="18EA9D9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lastRenderedPageBreak/>
        <w:t>SCHEDULE II</w:t>
      </w:r>
    </w:p>
    <w:p w14:paraId="7BAD9362"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4CFC0066"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Pricing Information</w:t>
      </w:r>
    </w:p>
    <w:p w14:paraId="7AA8352C" w14:textId="77777777" w:rsidR="00AE3C59" w:rsidRPr="00AE3C59" w:rsidRDefault="00AE3C59" w:rsidP="00AE3C59">
      <w:pPr>
        <w:spacing w:after="0" w:line="240" w:lineRule="auto"/>
        <w:ind w:firstLine="55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20CDD4F"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Number of Closing Units:</w:t>
      </w:r>
      <w:r w:rsidRPr="00AE3C59">
        <w:rPr>
          <w:rFonts w:ascii="Times New Roman" w:eastAsia="Times New Roman" w:hAnsi="Times New Roman" w:cs="Times New Roman"/>
          <w:sz w:val="20"/>
          <w:szCs w:val="20"/>
          <w:lang w:eastAsia="en-US" w:bidi="ar-SA"/>
        </w:rPr>
        <w:t xml:space="preserve"> 2,560,000</w:t>
      </w:r>
    </w:p>
    <w:p w14:paraId="6292F12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3A034A"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Number of Closing Shares:</w:t>
      </w:r>
      <w:r w:rsidRPr="00AE3C59">
        <w:rPr>
          <w:rFonts w:ascii="Times New Roman" w:eastAsia="Times New Roman" w:hAnsi="Times New Roman" w:cs="Times New Roman"/>
          <w:sz w:val="20"/>
          <w:szCs w:val="20"/>
          <w:lang w:eastAsia="en-US" w:bidi="ar-SA"/>
        </w:rPr>
        <w:t xml:space="preserve"> 2,310,000</w:t>
      </w:r>
    </w:p>
    <w:p w14:paraId="5E9D0878"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p>
    <w:p w14:paraId="495AD49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eastAsia="en-US" w:bidi="ar-SA"/>
        </w:rPr>
        <w:t>Number of Closing Pre-Funded Warrants: 250,000</w:t>
      </w:r>
    </w:p>
    <w:p w14:paraId="3C9A550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BD0C3F"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Number of Closing Warrants:</w:t>
      </w:r>
      <w:r w:rsidRPr="00AE3C59">
        <w:rPr>
          <w:rFonts w:ascii="Times New Roman" w:eastAsia="Times New Roman" w:hAnsi="Times New Roman" w:cs="Times New Roman"/>
          <w:sz w:val="20"/>
          <w:szCs w:val="20"/>
          <w:lang w:eastAsia="en-US" w:bidi="ar-SA"/>
        </w:rPr>
        <w:t xml:space="preserve"> 2,560,000</w:t>
      </w:r>
    </w:p>
    <w:p w14:paraId="7A8B756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24945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Number of Option Shares or Option Pre-Funded Warrants:</w:t>
      </w:r>
      <w:r w:rsidRPr="00AE3C59">
        <w:rPr>
          <w:rFonts w:ascii="Times New Roman" w:eastAsia="Times New Roman" w:hAnsi="Times New Roman" w:cs="Times New Roman"/>
          <w:sz w:val="20"/>
          <w:szCs w:val="20"/>
          <w:lang w:eastAsia="en-US" w:bidi="ar-SA"/>
        </w:rPr>
        <w:t xml:space="preserve"> 384,000</w:t>
      </w:r>
    </w:p>
    <w:p w14:paraId="3D5B9AD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50A7CF"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Number of Option Warrants:</w:t>
      </w:r>
      <w:r w:rsidRPr="00AE3C59">
        <w:rPr>
          <w:rFonts w:ascii="Times New Roman" w:eastAsia="Times New Roman" w:hAnsi="Times New Roman" w:cs="Times New Roman"/>
          <w:sz w:val="20"/>
          <w:szCs w:val="20"/>
          <w:lang w:eastAsia="en-US" w:bidi="ar-SA"/>
        </w:rPr>
        <w:t xml:space="preserve"> 384,000</w:t>
      </w:r>
    </w:p>
    <w:p w14:paraId="7742B1B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4A9EED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Public Offering Price per Closing Uni</w:t>
      </w:r>
      <w:r w:rsidRPr="00AE3C59">
        <w:rPr>
          <w:rFonts w:ascii="Times New Roman" w:eastAsia="Times New Roman" w:hAnsi="Times New Roman" w:cs="Times New Roman"/>
          <w:sz w:val="20"/>
          <w:szCs w:val="20"/>
          <w:lang w:eastAsia="en-US" w:bidi="ar-SA"/>
        </w:rPr>
        <w:t>t with Closing Shares</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5.00</w:t>
      </w:r>
    </w:p>
    <w:p w14:paraId="163C6ABA"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p>
    <w:p w14:paraId="26D7130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Public Offering Price per Closing Uni</w:t>
      </w:r>
      <w:r w:rsidRPr="00AE3C59">
        <w:rPr>
          <w:rFonts w:ascii="Times New Roman" w:eastAsia="Times New Roman" w:hAnsi="Times New Roman" w:cs="Times New Roman"/>
          <w:sz w:val="20"/>
          <w:szCs w:val="20"/>
          <w:lang w:eastAsia="en-US" w:bidi="ar-SA"/>
        </w:rPr>
        <w:t>t with Closing Pre-Funded Warrants</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4.99</w:t>
      </w:r>
    </w:p>
    <w:p w14:paraId="2401A28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p>
    <w:p w14:paraId="6DC4C43F" w14:textId="77777777" w:rsidR="00AE3C59" w:rsidRPr="00AE3C59" w:rsidRDefault="00AE3C59" w:rsidP="00AE3C59">
      <w:pPr>
        <w:tabs>
          <w:tab w:val="left" w:pos="4220"/>
        </w:tabs>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Public Offering Price per Closing </w:t>
      </w:r>
      <w:r w:rsidRPr="00AE3C59">
        <w:rPr>
          <w:rFonts w:ascii="Times New Roman" w:eastAsia="Times New Roman" w:hAnsi="Times New Roman" w:cs="Times New Roman"/>
          <w:sz w:val="20"/>
          <w:szCs w:val="20"/>
          <w:lang w:eastAsia="en-US" w:bidi="ar-SA"/>
        </w:rPr>
        <w:t>Share</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4.99</w:t>
      </w:r>
      <w:r w:rsidRPr="00AE3C59">
        <w:rPr>
          <w:rFonts w:ascii="Times New Roman" w:eastAsia="Times New Roman" w:hAnsi="Times New Roman" w:cs="Times New Roman"/>
          <w:sz w:val="20"/>
          <w:szCs w:val="20"/>
          <w:lang w:eastAsia="en-US" w:bidi="ar-SA"/>
        </w:rPr>
        <w:tab/>
      </w:r>
    </w:p>
    <w:p w14:paraId="30A98F5C" w14:textId="77777777" w:rsidR="00AE3C59" w:rsidRPr="00AE3C59" w:rsidRDefault="00AE3C59" w:rsidP="00AE3C59">
      <w:pPr>
        <w:tabs>
          <w:tab w:val="left" w:pos="4220"/>
        </w:tabs>
        <w:spacing w:after="0" w:line="240" w:lineRule="auto"/>
        <w:rPr>
          <w:rFonts w:ascii="Times New Roman" w:eastAsia="Times New Roman" w:hAnsi="Times New Roman" w:cs="Times New Roman"/>
          <w:sz w:val="20"/>
          <w:szCs w:val="20"/>
          <w:lang w:eastAsia="en-US" w:bidi="ar-SA"/>
        </w:rPr>
      </w:pPr>
    </w:p>
    <w:p w14:paraId="73ED9A9B"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Public Offering Price per </w:t>
      </w:r>
      <w:r w:rsidRPr="00AE3C59">
        <w:rPr>
          <w:rFonts w:ascii="Times New Roman" w:eastAsia="Times New Roman" w:hAnsi="Times New Roman" w:cs="Times New Roman"/>
          <w:sz w:val="20"/>
          <w:szCs w:val="20"/>
          <w:lang w:eastAsia="en-US" w:bidi="ar-SA"/>
        </w:rPr>
        <w:t>Closing</w:t>
      </w:r>
      <w:r w:rsidRPr="00AE3C59">
        <w:rPr>
          <w:rFonts w:ascii="Times New Roman" w:eastAsia="Times New Roman" w:hAnsi="Times New Roman" w:cs="Times New Roman"/>
          <w:sz w:val="20"/>
          <w:szCs w:val="20"/>
          <w:lang w:val="en-US" w:eastAsia="en-US" w:bidi="ar-SA"/>
        </w:rPr>
        <w:t xml:space="preserve"> Pre-Funded Warrant: $</w:t>
      </w:r>
      <w:r w:rsidRPr="00AE3C59">
        <w:rPr>
          <w:rFonts w:ascii="Times New Roman" w:eastAsia="Times New Roman" w:hAnsi="Times New Roman" w:cs="Times New Roman"/>
          <w:sz w:val="20"/>
          <w:szCs w:val="20"/>
          <w:lang w:eastAsia="en-US" w:bidi="ar-SA"/>
        </w:rPr>
        <w:t>4.98</w:t>
      </w:r>
    </w:p>
    <w:p w14:paraId="7D511282"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p>
    <w:p w14:paraId="2A3FFC24"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Public Offering Price per </w:t>
      </w:r>
      <w:r w:rsidRPr="00AE3C59">
        <w:rPr>
          <w:rFonts w:ascii="Times New Roman" w:eastAsia="Times New Roman" w:hAnsi="Times New Roman" w:cs="Times New Roman"/>
          <w:sz w:val="20"/>
          <w:szCs w:val="20"/>
          <w:lang w:eastAsia="en-US" w:bidi="ar-SA"/>
        </w:rPr>
        <w:t>Closing</w:t>
      </w:r>
      <w:r w:rsidRPr="00AE3C59">
        <w:rPr>
          <w:rFonts w:ascii="Times New Roman" w:eastAsia="Times New Roman" w:hAnsi="Times New Roman" w:cs="Times New Roman"/>
          <w:sz w:val="20"/>
          <w:szCs w:val="20"/>
          <w:lang w:val="en-US" w:eastAsia="en-US" w:bidi="ar-SA"/>
        </w:rPr>
        <w:t xml:space="preserve"> Warrant: $</w:t>
      </w:r>
      <w:r w:rsidRPr="00AE3C59">
        <w:rPr>
          <w:rFonts w:ascii="Times New Roman" w:eastAsia="Times New Roman" w:hAnsi="Times New Roman" w:cs="Times New Roman"/>
          <w:sz w:val="20"/>
          <w:szCs w:val="20"/>
          <w:lang w:eastAsia="en-US" w:bidi="ar-SA"/>
        </w:rPr>
        <w:t>0.01</w:t>
      </w:r>
    </w:p>
    <w:p w14:paraId="73B8AEBE" w14:textId="77777777" w:rsidR="00AE3C59" w:rsidRPr="00AE3C59" w:rsidRDefault="00AE3C59" w:rsidP="00AE3C59">
      <w:pPr>
        <w:spacing w:after="0" w:line="240" w:lineRule="auto"/>
        <w:ind w:firstLine="55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149BAC"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Public Offering Price per Option Share: $</w:t>
      </w:r>
      <w:r w:rsidRPr="00AE3C59">
        <w:rPr>
          <w:rFonts w:ascii="Times New Roman" w:eastAsia="Times New Roman" w:hAnsi="Times New Roman" w:cs="Times New Roman"/>
          <w:sz w:val="20"/>
          <w:szCs w:val="20"/>
          <w:lang w:eastAsia="en-US" w:bidi="ar-SA"/>
        </w:rPr>
        <w:t>4.99</w:t>
      </w:r>
    </w:p>
    <w:p w14:paraId="24A4D7A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2F1BDB0"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Public Offering Price per Option Pre-Funded Warrant: $</w:t>
      </w:r>
      <w:r w:rsidRPr="00AE3C59">
        <w:rPr>
          <w:rFonts w:ascii="Times New Roman" w:eastAsia="Times New Roman" w:hAnsi="Times New Roman" w:cs="Times New Roman"/>
          <w:sz w:val="20"/>
          <w:szCs w:val="20"/>
          <w:lang w:eastAsia="en-US" w:bidi="ar-SA"/>
        </w:rPr>
        <w:t>4.98</w:t>
      </w:r>
    </w:p>
    <w:p w14:paraId="6F07069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B94C025"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Public Offering Price per Option Warrant: $</w:t>
      </w:r>
      <w:r w:rsidRPr="00AE3C59">
        <w:rPr>
          <w:rFonts w:ascii="Times New Roman" w:eastAsia="Times New Roman" w:hAnsi="Times New Roman" w:cs="Times New Roman"/>
          <w:sz w:val="20"/>
          <w:szCs w:val="20"/>
          <w:lang w:eastAsia="en-US" w:bidi="ar-SA"/>
        </w:rPr>
        <w:t>0.01</w:t>
      </w:r>
    </w:p>
    <w:p w14:paraId="149C3DD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8FDE27C"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Underwriting Discount per Closing Unit</w:t>
      </w:r>
      <w:r w:rsidRPr="00AE3C59">
        <w:rPr>
          <w:rFonts w:ascii="Times New Roman" w:eastAsia="Times New Roman" w:hAnsi="Times New Roman" w:cs="Times New Roman"/>
          <w:sz w:val="20"/>
          <w:szCs w:val="20"/>
          <w:lang w:eastAsia="en-US" w:bidi="ar-SA"/>
        </w:rPr>
        <w:t xml:space="preserve"> with Closing Shares</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0.40</w:t>
      </w:r>
    </w:p>
    <w:p w14:paraId="4EE6866A"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p>
    <w:p w14:paraId="7CBF6267"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Underwriting Discount per Closing Unit</w:t>
      </w:r>
      <w:r w:rsidRPr="00AE3C59">
        <w:rPr>
          <w:rFonts w:ascii="Times New Roman" w:eastAsia="Times New Roman" w:hAnsi="Times New Roman" w:cs="Times New Roman"/>
          <w:sz w:val="20"/>
          <w:szCs w:val="20"/>
          <w:lang w:eastAsia="en-US" w:bidi="ar-SA"/>
        </w:rPr>
        <w:t xml:space="preserve"> with Closing Pre-Funded Warrants</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eastAsia="en-US" w:bidi="ar-SA"/>
        </w:rPr>
        <w:t>0.40</w:t>
      </w:r>
    </w:p>
    <w:p w14:paraId="552EF7B6" w14:textId="77777777" w:rsidR="00AE3C59" w:rsidRPr="00AE3C59" w:rsidRDefault="00AE3C59" w:rsidP="00AE3C59">
      <w:pPr>
        <w:spacing w:after="0" w:line="240" w:lineRule="auto"/>
        <w:ind w:firstLine="55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5E1E959"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Underwriting Discount per Option Share: $</w:t>
      </w:r>
      <w:r w:rsidRPr="00AE3C59">
        <w:rPr>
          <w:rFonts w:ascii="Times New Roman" w:eastAsia="Times New Roman" w:hAnsi="Times New Roman" w:cs="Times New Roman"/>
          <w:sz w:val="20"/>
          <w:szCs w:val="20"/>
          <w:lang w:eastAsia="en-US" w:bidi="ar-SA"/>
        </w:rPr>
        <w:t>0.40</w:t>
      </w:r>
    </w:p>
    <w:p w14:paraId="46C1A1D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6AC33F"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Underwriting Discount per Option Pre-Funded Warrant: $</w:t>
      </w:r>
      <w:r w:rsidRPr="00AE3C59">
        <w:rPr>
          <w:rFonts w:ascii="Times New Roman" w:eastAsia="Times New Roman" w:hAnsi="Times New Roman" w:cs="Times New Roman"/>
          <w:sz w:val="20"/>
          <w:szCs w:val="20"/>
          <w:lang w:eastAsia="en-US" w:bidi="ar-SA"/>
        </w:rPr>
        <w:t>0.40</w:t>
      </w:r>
    </w:p>
    <w:p w14:paraId="53D1115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6922A91"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Underwriting Discount per Option Warrant: $</w:t>
      </w:r>
      <w:r w:rsidRPr="00AE3C59">
        <w:rPr>
          <w:rFonts w:ascii="Times New Roman" w:eastAsia="Times New Roman" w:hAnsi="Times New Roman" w:cs="Times New Roman"/>
          <w:sz w:val="20"/>
          <w:szCs w:val="20"/>
          <w:lang w:eastAsia="en-US" w:bidi="ar-SA"/>
        </w:rPr>
        <w:t>0.00</w:t>
      </w:r>
    </w:p>
    <w:p w14:paraId="0077C3D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A197D5"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Proceeds to Company per Closing Unit </w:t>
      </w:r>
      <w:r w:rsidRPr="00AE3C59">
        <w:rPr>
          <w:rFonts w:ascii="Times New Roman" w:eastAsia="Times New Roman" w:hAnsi="Times New Roman" w:cs="Times New Roman"/>
          <w:sz w:val="20"/>
          <w:szCs w:val="20"/>
          <w:lang w:eastAsia="en-US" w:bidi="ar-SA"/>
        </w:rPr>
        <w:t xml:space="preserve">with Closing Shares </w:t>
      </w:r>
      <w:r w:rsidRPr="00AE3C59">
        <w:rPr>
          <w:rFonts w:ascii="Times New Roman" w:eastAsia="Times New Roman" w:hAnsi="Times New Roman" w:cs="Times New Roman"/>
          <w:sz w:val="20"/>
          <w:szCs w:val="20"/>
          <w:lang w:val="en-US" w:eastAsia="en-US" w:bidi="ar-SA"/>
        </w:rPr>
        <w:t>(before expenses): $</w:t>
      </w:r>
      <w:r w:rsidRPr="00AE3C59">
        <w:rPr>
          <w:rFonts w:ascii="Times New Roman" w:eastAsia="Times New Roman" w:hAnsi="Times New Roman" w:cs="Times New Roman"/>
          <w:sz w:val="20"/>
          <w:szCs w:val="20"/>
          <w:lang w:eastAsia="en-US" w:bidi="ar-SA"/>
        </w:rPr>
        <w:t>4.60</w:t>
      </w:r>
    </w:p>
    <w:p w14:paraId="0B4A6FBE" w14:textId="77777777" w:rsidR="00AE3C59" w:rsidRPr="00AE3C59" w:rsidRDefault="00AE3C59" w:rsidP="00AE3C59">
      <w:pPr>
        <w:spacing w:after="0" w:line="240" w:lineRule="auto"/>
        <w:ind w:firstLine="55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1AD9531"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 xml:space="preserve">Proceeds to Company per Closing Unit </w:t>
      </w:r>
      <w:r w:rsidRPr="00AE3C59">
        <w:rPr>
          <w:rFonts w:ascii="Times New Roman" w:eastAsia="Times New Roman" w:hAnsi="Times New Roman" w:cs="Times New Roman"/>
          <w:sz w:val="20"/>
          <w:szCs w:val="20"/>
          <w:lang w:eastAsia="en-US" w:bidi="ar-SA"/>
        </w:rPr>
        <w:t xml:space="preserve">with Closing Pre-Funded Warrants </w:t>
      </w:r>
      <w:r w:rsidRPr="00AE3C59">
        <w:rPr>
          <w:rFonts w:ascii="Times New Roman" w:eastAsia="Times New Roman" w:hAnsi="Times New Roman" w:cs="Times New Roman"/>
          <w:sz w:val="20"/>
          <w:szCs w:val="20"/>
          <w:lang w:val="en-US" w:eastAsia="en-US" w:bidi="ar-SA"/>
        </w:rPr>
        <w:t>(before expenses): $</w:t>
      </w:r>
      <w:r w:rsidRPr="00AE3C59">
        <w:rPr>
          <w:rFonts w:ascii="Times New Roman" w:eastAsia="Times New Roman" w:hAnsi="Times New Roman" w:cs="Times New Roman"/>
          <w:sz w:val="20"/>
          <w:szCs w:val="20"/>
          <w:lang w:eastAsia="en-US" w:bidi="ar-SA"/>
        </w:rPr>
        <w:t>4.59</w:t>
      </w:r>
    </w:p>
    <w:p w14:paraId="3B414DB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534FE7AF"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Proceeds to Company per Option Share (before expenses): $</w:t>
      </w:r>
      <w:r w:rsidRPr="00AE3C59">
        <w:rPr>
          <w:rFonts w:ascii="Times New Roman" w:eastAsia="Times New Roman" w:hAnsi="Times New Roman" w:cs="Times New Roman"/>
          <w:sz w:val="20"/>
          <w:szCs w:val="20"/>
          <w:lang w:eastAsia="en-US" w:bidi="ar-SA"/>
        </w:rPr>
        <w:t>4.59</w:t>
      </w:r>
    </w:p>
    <w:p w14:paraId="3B77FBD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5063E95"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Proceeds to Company per Option Pre-Funded Warrant (before expenses): $</w:t>
      </w:r>
      <w:r w:rsidRPr="00AE3C59">
        <w:rPr>
          <w:rFonts w:ascii="Times New Roman" w:eastAsia="Times New Roman" w:hAnsi="Times New Roman" w:cs="Times New Roman"/>
          <w:sz w:val="20"/>
          <w:szCs w:val="20"/>
          <w:lang w:eastAsia="en-US" w:bidi="ar-SA"/>
        </w:rPr>
        <w:t>4.58</w:t>
      </w:r>
    </w:p>
    <w:p w14:paraId="5B9B7FD1" w14:textId="77777777" w:rsidR="00AE3C59" w:rsidRPr="00AE3C59" w:rsidRDefault="00AE3C59" w:rsidP="00AE3C59">
      <w:pPr>
        <w:tabs>
          <w:tab w:val="left" w:pos="5731"/>
        </w:tabs>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val="en-US" w:eastAsia="en-US" w:bidi="ar-SA"/>
        </w:rPr>
        <w:tab/>
      </w:r>
    </w:p>
    <w:p w14:paraId="77835CC6" w14:textId="77777777" w:rsidR="00AE3C59" w:rsidRPr="00AE3C59" w:rsidRDefault="00AE3C59" w:rsidP="00AE3C59">
      <w:pPr>
        <w:spacing w:after="0" w:line="240" w:lineRule="auto"/>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Proceeds to Company per Option Warrant (before expenses): $</w:t>
      </w:r>
      <w:r w:rsidRPr="00AE3C59">
        <w:rPr>
          <w:rFonts w:ascii="Times New Roman" w:eastAsia="Times New Roman" w:hAnsi="Times New Roman" w:cs="Times New Roman"/>
          <w:sz w:val="20"/>
          <w:szCs w:val="20"/>
          <w:lang w:eastAsia="en-US" w:bidi="ar-SA"/>
        </w:rPr>
        <w:t>0.01</w:t>
      </w:r>
    </w:p>
    <w:p w14:paraId="058B0EB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2BF7265"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b/>
          <w:bCs/>
          <w:sz w:val="20"/>
          <w:szCs w:val="20"/>
          <w:u w:val="single"/>
          <w:lang w:val="en-US" w:eastAsia="en-US" w:bidi="ar-SA"/>
        </w:rPr>
        <w:lastRenderedPageBreak/>
        <w:t>EXHIBIT A</w:t>
      </w:r>
    </w:p>
    <w:p w14:paraId="45945B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77C349B"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22FB002B"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FORM OF LOCK-UP AGREEMENT</w:t>
      </w:r>
    </w:p>
    <w:p w14:paraId="12422DA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0FDDB304" w14:textId="77777777" w:rsidR="00AE3C59" w:rsidRPr="00AE3C59" w:rsidRDefault="00AE3C59" w:rsidP="00AE3C59">
      <w:pPr>
        <w:spacing w:after="0" w:line="240" w:lineRule="auto"/>
        <w:ind w:left="2160" w:firstLine="720"/>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 2020</w:t>
      </w:r>
    </w:p>
    <w:p w14:paraId="47294A0A" w14:textId="77777777" w:rsidR="00AE3C59" w:rsidRPr="00AE3C59" w:rsidRDefault="00AE3C59" w:rsidP="00AE3C59">
      <w:pPr>
        <w:spacing w:after="0" w:line="240" w:lineRule="auto"/>
        <w:ind w:left="2160" w:firstLine="720"/>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60A34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818F2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5E74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Maxim Group LLC</w:t>
      </w:r>
    </w:p>
    <w:p w14:paraId="33A789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405 Lexington Avenue</w:t>
      </w:r>
    </w:p>
    <w:p w14:paraId="3D4AF0B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New York, New York 10174</w:t>
      </w:r>
    </w:p>
    <w:p w14:paraId="7F008619"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522558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DB0DFCA"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xml:space="preserve">Re: GeoVax Labs, Inc.—Public Offering </w:t>
      </w:r>
    </w:p>
    <w:p w14:paraId="0586312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817BCC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Ladies and Gentlemen:</w:t>
      </w:r>
    </w:p>
    <w:p w14:paraId="11B2909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A629AD9"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an officer, director and/or holder of common stock, par value $0.001 per share (the “</w:t>
      </w:r>
      <w:r w:rsidRPr="00AE3C59">
        <w:rPr>
          <w:rFonts w:ascii="Times New Roman" w:eastAsia="Times New Roman" w:hAnsi="Times New Roman" w:cs="Times New Roman"/>
          <w:b/>
          <w:bCs/>
          <w:sz w:val="20"/>
          <w:szCs w:val="20"/>
          <w:lang w:val="en-US" w:eastAsia="en-US" w:bidi="ar-SA"/>
        </w:rPr>
        <w:t>Common Stock</w:t>
      </w:r>
      <w:r w:rsidRPr="00AE3C59">
        <w:rPr>
          <w:rFonts w:ascii="Times New Roman" w:eastAsia="Times New Roman" w:hAnsi="Times New Roman" w:cs="Times New Roman"/>
          <w:sz w:val="20"/>
          <w:szCs w:val="20"/>
          <w:lang w:val="en-US" w:eastAsia="en-US" w:bidi="ar-SA"/>
        </w:rPr>
        <w:t>”), or rights to acquire shares of Common Stock (the “</w:t>
      </w:r>
      <w:r w:rsidRPr="00AE3C59">
        <w:rPr>
          <w:rFonts w:ascii="Times New Roman" w:eastAsia="Times New Roman" w:hAnsi="Times New Roman" w:cs="Times New Roman"/>
          <w:b/>
          <w:bCs/>
          <w:sz w:val="20"/>
          <w:szCs w:val="20"/>
          <w:lang w:val="en-US" w:eastAsia="en-US" w:bidi="ar-SA"/>
        </w:rPr>
        <w:t>Shares</w:t>
      </w:r>
      <w:r w:rsidRPr="00AE3C59">
        <w:rPr>
          <w:rFonts w:ascii="Times New Roman" w:eastAsia="Times New Roman" w:hAnsi="Times New Roman" w:cs="Times New Roman"/>
          <w:sz w:val="20"/>
          <w:szCs w:val="20"/>
          <w:lang w:val="en-US" w:eastAsia="en-US" w:bidi="ar-SA"/>
        </w:rPr>
        <w:t>”), of GeoVax Labs, Inc. (the “</w:t>
      </w:r>
      <w:r w:rsidRPr="00AE3C59">
        <w:rPr>
          <w:rFonts w:ascii="Times New Roman" w:eastAsia="Times New Roman" w:hAnsi="Times New Roman" w:cs="Times New Roman"/>
          <w:b/>
          <w:bCs/>
          <w:sz w:val="20"/>
          <w:szCs w:val="20"/>
          <w:lang w:val="en-US" w:eastAsia="en-US" w:bidi="ar-SA"/>
        </w:rPr>
        <w:t>Company</w:t>
      </w:r>
      <w:r w:rsidRPr="00AE3C59">
        <w:rPr>
          <w:rFonts w:ascii="Times New Roman" w:eastAsia="Times New Roman" w:hAnsi="Times New Roman" w:cs="Times New Roman"/>
          <w:sz w:val="20"/>
          <w:szCs w:val="20"/>
          <w:lang w:val="en-US" w:eastAsia="en-US" w:bidi="ar-SA"/>
        </w:rPr>
        <w:t>”), understands that you are the representative (the “</w:t>
      </w:r>
      <w:r w:rsidRPr="00AE3C59">
        <w:rPr>
          <w:rFonts w:ascii="Times New Roman" w:eastAsia="Times New Roman" w:hAnsi="Times New Roman" w:cs="Times New Roman"/>
          <w:b/>
          <w:bCs/>
          <w:sz w:val="20"/>
          <w:szCs w:val="20"/>
          <w:lang w:val="en-US" w:eastAsia="en-US" w:bidi="ar-SA"/>
        </w:rPr>
        <w:t>Representative</w:t>
      </w:r>
      <w:r w:rsidRPr="00AE3C59">
        <w:rPr>
          <w:rFonts w:ascii="Times New Roman" w:eastAsia="Times New Roman" w:hAnsi="Times New Roman" w:cs="Times New Roman"/>
          <w:sz w:val="20"/>
          <w:szCs w:val="20"/>
          <w:lang w:val="en-US" w:eastAsia="en-US" w:bidi="ar-SA"/>
        </w:rPr>
        <w:t>”) of the several underwriters, if any (collectively, the “</w:t>
      </w:r>
      <w:r w:rsidRPr="00AE3C59">
        <w:rPr>
          <w:rFonts w:ascii="Times New Roman" w:eastAsia="Times New Roman" w:hAnsi="Times New Roman" w:cs="Times New Roman"/>
          <w:b/>
          <w:bCs/>
          <w:sz w:val="20"/>
          <w:szCs w:val="20"/>
          <w:lang w:val="en-US" w:eastAsia="en-US" w:bidi="ar-SA"/>
        </w:rPr>
        <w:t>Underwriters</w:t>
      </w:r>
      <w:r w:rsidRPr="00AE3C59">
        <w:rPr>
          <w:rFonts w:ascii="Times New Roman" w:eastAsia="Times New Roman" w:hAnsi="Times New Roman" w:cs="Times New Roman"/>
          <w:sz w:val="20"/>
          <w:szCs w:val="20"/>
          <w:lang w:val="en-US" w:eastAsia="en-US" w:bidi="ar-SA"/>
        </w:rPr>
        <w:t xml:space="preserve">”), named or to be named in the final form of </w:t>
      </w:r>
      <w:r w:rsidRPr="00AE3C59">
        <w:rPr>
          <w:rFonts w:ascii="Times New Roman" w:eastAsia="Times New Roman" w:hAnsi="Times New Roman" w:cs="Times New Roman"/>
          <w:b/>
          <w:bCs/>
          <w:sz w:val="20"/>
          <w:szCs w:val="20"/>
          <w:lang w:val="en-US" w:eastAsia="en-US" w:bidi="ar-SA"/>
        </w:rPr>
        <w:t>Schedule I</w:t>
      </w:r>
      <w:r w:rsidRPr="00AE3C59">
        <w:rPr>
          <w:rFonts w:ascii="Times New Roman" w:eastAsia="Times New Roman" w:hAnsi="Times New Roman" w:cs="Times New Roman"/>
          <w:sz w:val="20"/>
          <w:szCs w:val="20"/>
          <w:lang w:val="en-US" w:eastAsia="en-US" w:bidi="ar-SA"/>
        </w:rPr>
        <w:t xml:space="preserve"> to the underwriting agreement (the “</w:t>
      </w:r>
      <w:r w:rsidRPr="00AE3C59">
        <w:rPr>
          <w:rFonts w:ascii="Times New Roman" w:eastAsia="Times New Roman" w:hAnsi="Times New Roman" w:cs="Times New Roman"/>
          <w:b/>
          <w:bCs/>
          <w:sz w:val="20"/>
          <w:szCs w:val="20"/>
          <w:lang w:val="en-US" w:eastAsia="en-US" w:bidi="ar-SA"/>
        </w:rPr>
        <w:t>Underwriting Agreement</w:t>
      </w:r>
      <w:r w:rsidRPr="00AE3C59">
        <w:rPr>
          <w:rFonts w:ascii="Times New Roman" w:eastAsia="Times New Roman" w:hAnsi="Times New Roman" w:cs="Times New Roman"/>
          <w:sz w:val="20"/>
          <w:szCs w:val="20"/>
          <w:lang w:val="en-US" w:eastAsia="en-US" w:bidi="ar-SA"/>
        </w:rPr>
        <w:t>”) to be entered into among the Underwriters and the Company, providing for the public offering (the “</w:t>
      </w:r>
      <w:r w:rsidRPr="00AE3C59">
        <w:rPr>
          <w:rFonts w:ascii="Times New Roman" w:eastAsia="Times New Roman" w:hAnsi="Times New Roman" w:cs="Times New Roman"/>
          <w:b/>
          <w:bCs/>
          <w:sz w:val="20"/>
          <w:szCs w:val="20"/>
          <w:lang w:val="en-US" w:eastAsia="en-US" w:bidi="ar-SA"/>
        </w:rPr>
        <w:t>Public Offering</w:t>
      </w:r>
      <w:r w:rsidRPr="00AE3C59">
        <w:rPr>
          <w:rFonts w:ascii="Times New Roman" w:eastAsia="Times New Roman" w:hAnsi="Times New Roman" w:cs="Times New Roman"/>
          <w:sz w:val="20"/>
          <w:szCs w:val="20"/>
          <w:lang w:val="en-US" w:eastAsia="en-US" w:bidi="ar-SA"/>
        </w:rPr>
        <w:t>”) of Shares and warrants to purchase Shares (collectively, the “</w:t>
      </w:r>
      <w:r w:rsidRPr="00AE3C59">
        <w:rPr>
          <w:rFonts w:ascii="Times New Roman" w:eastAsia="Times New Roman" w:hAnsi="Times New Roman" w:cs="Times New Roman"/>
          <w:b/>
          <w:bCs/>
          <w:sz w:val="20"/>
          <w:szCs w:val="20"/>
          <w:lang w:val="en-US" w:eastAsia="en-US" w:bidi="ar-SA"/>
        </w:rPr>
        <w:t>Securities</w:t>
      </w:r>
      <w:r w:rsidRPr="00AE3C59">
        <w:rPr>
          <w:rFonts w:ascii="Times New Roman" w:eastAsia="Times New Roman" w:hAnsi="Times New Roman" w:cs="Times New Roman"/>
          <w:sz w:val="20"/>
          <w:szCs w:val="20"/>
          <w:lang w:val="en-US" w:eastAsia="en-US" w:bidi="ar-SA"/>
        </w:rPr>
        <w:t>”) pursuant to a registration statement filed or to be filed with the U.S. Securities and Exchange Commission (the “</w:t>
      </w:r>
      <w:r w:rsidRPr="00AE3C59">
        <w:rPr>
          <w:rFonts w:ascii="Times New Roman" w:eastAsia="Times New Roman" w:hAnsi="Times New Roman" w:cs="Times New Roman"/>
          <w:b/>
          <w:bCs/>
          <w:sz w:val="20"/>
          <w:szCs w:val="20"/>
          <w:lang w:val="en-US" w:eastAsia="en-US" w:bidi="ar-SA"/>
        </w:rPr>
        <w:t>SEC</w:t>
      </w:r>
      <w:r w:rsidRPr="00AE3C59">
        <w:rPr>
          <w:rFonts w:ascii="Times New Roman" w:eastAsia="Times New Roman" w:hAnsi="Times New Roman" w:cs="Times New Roman"/>
          <w:sz w:val="20"/>
          <w:szCs w:val="20"/>
          <w:lang w:val="en-US" w:eastAsia="en-US" w:bidi="ar-SA"/>
        </w:rPr>
        <w:t>”). Capitalized terms used herein and not otherwise defined shall have the meanings set forth in the Underwriting Agreement.</w:t>
      </w:r>
    </w:p>
    <w:p w14:paraId="03DB391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C2930E6"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 consideration of the Underwriters’ agreement to enter into the Underwriting Agreement and to proceed with the Public Offering of the Securities, and for other good and valuable consideration, receipt of which is hereby acknowledged, the undersigned hereby agrees, for the benefit of the Company, the Representative and the other Underwriters that, without the prior written consent of the Representative, the undersigned will not, during the period specified in the following paragraph (the “</w:t>
      </w:r>
      <w:r w:rsidRPr="00AE3C59">
        <w:rPr>
          <w:rFonts w:ascii="Times New Roman" w:eastAsia="Times New Roman" w:hAnsi="Times New Roman" w:cs="Times New Roman"/>
          <w:b/>
          <w:bCs/>
          <w:sz w:val="20"/>
          <w:szCs w:val="20"/>
          <w:lang w:val="en-US" w:eastAsia="en-US" w:bidi="ar-SA"/>
        </w:rPr>
        <w:t>Lock-Up Period</w:t>
      </w:r>
      <w:r w:rsidRPr="00AE3C59">
        <w:rPr>
          <w:rFonts w:ascii="Times New Roman" w:eastAsia="Times New Roman" w:hAnsi="Times New Roman" w:cs="Times New Roman"/>
          <w:sz w:val="20"/>
          <w:szCs w:val="20"/>
          <w:lang w:val="en-US" w:eastAsia="en-US" w:bidi="ar-SA"/>
        </w:rPr>
        <w:t>”), directly or indirectly, unless otherwise provided herein, (a) offer, sell, agree to offer or sell, solicit offers to purchase, grant any call option or purchase any put option with respect to, pledge, encumber, assign, borrow or otherwise dispose of (each a “</w:t>
      </w:r>
      <w:r w:rsidRPr="00AE3C59">
        <w:rPr>
          <w:rFonts w:ascii="Times New Roman" w:eastAsia="Times New Roman" w:hAnsi="Times New Roman" w:cs="Times New Roman"/>
          <w:b/>
          <w:bCs/>
          <w:sz w:val="20"/>
          <w:szCs w:val="20"/>
          <w:lang w:val="en-US" w:eastAsia="en-US" w:bidi="ar-SA"/>
        </w:rPr>
        <w:t>Transfer</w:t>
      </w:r>
      <w:r w:rsidRPr="00AE3C59">
        <w:rPr>
          <w:rFonts w:ascii="Times New Roman" w:eastAsia="Times New Roman" w:hAnsi="Times New Roman" w:cs="Times New Roman"/>
          <w:sz w:val="20"/>
          <w:szCs w:val="20"/>
          <w:lang w:val="en-US" w:eastAsia="en-US" w:bidi="ar-SA"/>
        </w:rPr>
        <w:t>”) any Relevant Security (as defined below) or otherwise publicly disclose the intention to do so, or (b) establish or increase any “put equivalent position” or liquidate or decrease any “call equivalent position” with respect to any Relevant Security (in each case within the meaning of Section 16 of the Securities Exchange Act of 1934, as amended (the “</w:t>
      </w:r>
      <w:r w:rsidRPr="00AE3C59">
        <w:rPr>
          <w:rFonts w:ascii="Times New Roman" w:eastAsia="Times New Roman" w:hAnsi="Times New Roman" w:cs="Times New Roman"/>
          <w:b/>
          <w:bCs/>
          <w:sz w:val="20"/>
          <w:szCs w:val="20"/>
          <w:lang w:val="en-US" w:eastAsia="en-US" w:bidi="ar-SA"/>
        </w:rPr>
        <w:t>Exchange Act</w:t>
      </w:r>
      <w:r w:rsidRPr="00AE3C59">
        <w:rPr>
          <w:rFonts w:ascii="Times New Roman" w:eastAsia="Times New Roman" w:hAnsi="Times New Roman" w:cs="Times New Roman"/>
          <w:sz w:val="20"/>
          <w:szCs w:val="20"/>
          <w:lang w:val="en-US" w:eastAsia="en-US" w:bidi="ar-SA"/>
        </w:rPr>
        <w:t>”), and the rules and regulations thereunder) with respect to any Relevant Security or otherwise enter into any swap, derivative or other transaction or arrangement that Transfers to another, in whole or in part, any economic consequence of ownership of a Relevant Security, whether or not such transaction is to be settled by the delivery of Relevant Securities, other securities, cash or other consideration, or otherwise publicly disclose the intention to do so. As used herein, the term “</w:t>
      </w:r>
      <w:r w:rsidRPr="00AE3C59">
        <w:rPr>
          <w:rFonts w:ascii="Times New Roman" w:eastAsia="Times New Roman" w:hAnsi="Times New Roman" w:cs="Times New Roman"/>
          <w:b/>
          <w:bCs/>
          <w:sz w:val="20"/>
          <w:szCs w:val="20"/>
          <w:lang w:val="en-US" w:eastAsia="en-US" w:bidi="ar-SA"/>
        </w:rPr>
        <w:t>Relevant Security</w:t>
      </w:r>
      <w:r w:rsidRPr="00AE3C59">
        <w:rPr>
          <w:rFonts w:ascii="Times New Roman" w:eastAsia="Times New Roman" w:hAnsi="Times New Roman" w:cs="Times New Roman"/>
          <w:sz w:val="20"/>
          <w:szCs w:val="20"/>
          <w:lang w:val="en-US" w:eastAsia="en-US" w:bidi="ar-SA"/>
        </w:rPr>
        <w:t>” means any Share, any warrant to purchase Shares or any other security of the Company or any other entity that is convertible into, or exercisable or exchangeable for, Shares or any other equity security of the Company, in each case owned beneficially or otherwise by the undersigned on the date of closing of the Public Offering or acquired by the undersigned during the Lock-Up Period.</w:t>
      </w:r>
    </w:p>
    <w:p w14:paraId="2345945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597F1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restrictions in the foregoing paragraph shall not apply to (a) any exercise (including a cashless exercise or broker-assisted exercise and payment of tax obligations) of options or warrants to purchase Shares; provided that any Shares received upon such exercise, conversion or exchange will be subject to the Lock-Up Period, (b) any establishment of a trading plan pursuant to Rule 10b5-1 under the Exchange Act for the transfer of Shares (a “Trading Plan”), provided that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Trading Plan shall not provide for or permit any transfers, sales or other dispositions of Shares during the Lock-Up Period and (ii) the Trading Plan would not require any filing under Section 16(a) of the Exchange Act and no such filing is voluntarily made, or (c) any transfer of Shares acquired in open market transactions following the closing of the Public Offering, provided the transfer would not require any filing under Section 16(a) of the Exchange Act and no such filing is voluntarily made. The Lock-Up Period will commence on the date of this Lock-up Agreement and continue and include the date that is one-hundred and eighty (180) days after the closing of the Public Offering.</w:t>
      </w:r>
    </w:p>
    <w:p w14:paraId="676D5DE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9B7A0B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In addition, the undersigned further agrees that, except for the registration statement filed or to be filed in connection with the Public Offering, during the Lock-Up Period the undersigned will not, without the prior written consent of the </w:t>
      </w:r>
      <w:r w:rsidRPr="00AE3C59">
        <w:rPr>
          <w:rFonts w:ascii="Times New Roman" w:eastAsia="Times New Roman" w:hAnsi="Times New Roman" w:cs="Times New Roman"/>
          <w:sz w:val="20"/>
          <w:szCs w:val="20"/>
          <w:lang w:val="en-US" w:eastAsia="en-US" w:bidi="ar-SA"/>
        </w:rPr>
        <w:lastRenderedPageBreak/>
        <w:t>Representative: (a) file or participate in the filing with the SEC of any registration statement or circulate or participate in the circulation of any preliminary or final prospectus or other disclosure document, in each case with respect to any proposed offering or sale of a Relevant Security beneficially owned by the undersigned, or (b) exercise any rights the undersigned may have to require registration with the SEC of any proposed offering or sale of a Relevant Security beneficially owned by the undersigned .</w:t>
      </w:r>
    </w:p>
    <w:p w14:paraId="449D386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8918B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 furtherance of the undersigned’s obligations hereunder, the undersigned hereby authorizes the Company during the Lock-Up Period to cause any transfer agent for the Relevant Securities to decline to transfer, and to note stop transfer restrictions on the stock register and other records relating to, Relevant Securities for which the undersigned is the record owner and the transfer of which would be a violation of this Lock-Up Agreement and, in the case of Relevant Securities for which the undersigned is the beneficial but not the record owner, agrees that during the Lock-Up Period it will use its reasonable best efforts to cause the record owner to authorize the Company to cause the relevant transfer agent to decline to transfer, and to note stop transfer restrictions on the stock register and other records relating to, such Relevant Securities to the extent such transfer would be a violation of this Lock-Up Agreement.</w:t>
      </w:r>
    </w:p>
    <w:p w14:paraId="4C86DE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D0A3EE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Notwithstanding the foregoing, the undersigned may transfer the undersigned’s Relevant Securities:</w:t>
      </w:r>
    </w:p>
    <w:p w14:paraId="3D1C207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140B6C13" w14:textId="77777777" w:rsidTr="00EB26FE">
        <w:tc>
          <w:tcPr>
            <w:tcW w:w="720" w:type="dxa"/>
            <w:tcBorders>
              <w:left w:val="nil"/>
              <w:right w:val="nil"/>
            </w:tcBorders>
            <w:tcMar>
              <w:top w:w="0" w:type="dxa"/>
              <w:left w:w="0" w:type="dxa"/>
              <w:bottom w:w="0" w:type="dxa"/>
              <w:right w:w="0" w:type="dxa"/>
            </w:tcMar>
          </w:tcPr>
          <w:p w14:paraId="7B15B16B"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0A44475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w:t>
            </w:r>
          </w:p>
        </w:tc>
        <w:tc>
          <w:tcPr>
            <w:tcW w:w="0" w:type="auto"/>
            <w:tcBorders>
              <w:left w:val="nil"/>
              <w:right w:val="nil"/>
            </w:tcBorders>
            <w:tcMar>
              <w:top w:w="0" w:type="dxa"/>
              <w:left w:w="0" w:type="dxa"/>
              <w:bottom w:w="0" w:type="dxa"/>
              <w:right w:w="0" w:type="dxa"/>
            </w:tcMar>
          </w:tcPr>
          <w:p w14:paraId="7870A233"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as a </w:t>
            </w:r>
            <w:r w:rsidRPr="00AE3C59">
              <w:rPr>
                <w:rFonts w:ascii="Times New Roman" w:eastAsia="Times New Roman" w:hAnsi="Times New Roman" w:cs="Times New Roman"/>
                <w:i/>
                <w:iCs/>
                <w:sz w:val="20"/>
                <w:szCs w:val="20"/>
                <w:lang w:val="en-US" w:eastAsia="en-US" w:bidi="ar-SA"/>
              </w:rPr>
              <w:t>bona fide</w:t>
            </w:r>
            <w:r w:rsidRPr="00AE3C59">
              <w:rPr>
                <w:rFonts w:ascii="Times New Roman" w:eastAsia="Times New Roman" w:hAnsi="Times New Roman" w:cs="Times New Roman"/>
                <w:sz w:val="20"/>
                <w:szCs w:val="20"/>
                <w:lang w:val="en-US" w:eastAsia="en-US" w:bidi="ar-SA"/>
              </w:rPr>
              <w:t xml:space="preserve"> gift or gifts,</w:t>
            </w:r>
          </w:p>
        </w:tc>
      </w:tr>
    </w:tbl>
    <w:p w14:paraId="153DDDF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1CF642AA" w14:textId="77777777" w:rsidTr="00EB26FE">
        <w:tc>
          <w:tcPr>
            <w:tcW w:w="720" w:type="dxa"/>
            <w:tcBorders>
              <w:left w:val="nil"/>
              <w:right w:val="nil"/>
            </w:tcBorders>
            <w:tcMar>
              <w:top w:w="0" w:type="dxa"/>
              <w:left w:w="0" w:type="dxa"/>
              <w:bottom w:w="0" w:type="dxa"/>
              <w:right w:w="0" w:type="dxa"/>
            </w:tcMar>
          </w:tcPr>
          <w:p w14:paraId="0178DDAB"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14DC9E8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w:t>
            </w:r>
          </w:p>
        </w:tc>
        <w:tc>
          <w:tcPr>
            <w:tcW w:w="0" w:type="auto"/>
            <w:tcBorders>
              <w:left w:val="nil"/>
              <w:right w:val="nil"/>
            </w:tcBorders>
            <w:tcMar>
              <w:top w:w="0" w:type="dxa"/>
              <w:left w:w="0" w:type="dxa"/>
              <w:bottom w:w="0" w:type="dxa"/>
              <w:right w:w="0" w:type="dxa"/>
            </w:tcMar>
          </w:tcPr>
          <w:p w14:paraId="6EBB27E4"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to any trust, partnership, limited liability company or other legal entity commonly used for estate planning purposes which is established for the direct or indirect benefit of the undersigned or a member or members of the immediate family of the undersigned,</w:t>
            </w:r>
          </w:p>
        </w:tc>
      </w:tr>
    </w:tbl>
    <w:p w14:paraId="2E68341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04B90E06" w14:textId="77777777" w:rsidTr="00EB26FE">
        <w:tc>
          <w:tcPr>
            <w:tcW w:w="720" w:type="dxa"/>
            <w:tcBorders>
              <w:left w:val="nil"/>
              <w:right w:val="nil"/>
            </w:tcBorders>
            <w:tcMar>
              <w:top w:w="0" w:type="dxa"/>
              <w:left w:w="0" w:type="dxa"/>
              <w:bottom w:w="0" w:type="dxa"/>
              <w:right w:w="0" w:type="dxa"/>
            </w:tcMar>
          </w:tcPr>
          <w:p w14:paraId="6EA46439"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33A5CC2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(iii)</w:t>
            </w:r>
          </w:p>
        </w:tc>
        <w:tc>
          <w:tcPr>
            <w:tcW w:w="0" w:type="auto"/>
            <w:tcBorders>
              <w:left w:val="nil"/>
              <w:right w:val="nil"/>
            </w:tcBorders>
            <w:tcMar>
              <w:top w:w="0" w:type="dxa"/>
              <w:left w:w="0" w:type="dxa"/>
              <w:bottom w:w="0" w:type="dxa"/>
              <w:right w:w="0" w:type="dxa"/>
            </w:tcMar>
          </w:tcPr>
          <w:p w14:paraId="7A96C2B8"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if the undersigned is a corporation, partnership, limited liability company, trust or other business entity, (1) to another corporation, partnership, limited liability company, trust or other business entity that is a direct or indirect affiliate (as defined in Rule 405 under the Securities Act of 1933, as amended) of the undersigned, (2) to limited partners, limited liability company members or stockholders of the undersigned or holders of similar equity interests in the undersigned , or (3) in connection with a sale, merger or transfer of all or substantially all of the assets of the undersigned or any other change of control of the undersigned, not undertaken for the purpose of avoiding the restrictions imposed by this Lock-Up Agreement,</w:t>
            </w:r>
          </w:p>
        </w:tc>
      </w:tr>
    </w:tbl>
    <w:p w14:paraId="4A5BB55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399B3EE6" w14:textId="77777777" w:rsidTr="00EB26FE">
        <w:tc>
          <w:tcPr>
            <w:tcW w:w="720" w:type="dxa"/>
            <w:tcBorders>
              <w:left w:val="nil"/>
              <w:right w:val="nil"/>
            </w:tcBorders>
            <w:tcMar>
              <w:top w:w="0" w:type="dxa"/>
              <w:left w:w="0" w:type="dxa"/>
              <w:bottom w:w="0" w:type="dxa"/>
              <w:right w:w="0" w:type="dxa"/>
            </w:tcMar>
          </w:tcPr>
          <w:p w14:paraId="3B4907E0"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7BBFEF7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(iv)</w:t>
            </w:r>
          </w:p>
        </w:tc>
        <w:tc>
          <w:tcPr>
            <w:tcW w:w="0" w:type="auto"/>
            <w:tcBorders>
              <w:left w:val="nil"/>
              <w:right w:val="nil"/>
            </w:tcBorders>
            <w:tcMar>
              <w:top w:w="0" w:type="dxa"/>
              <w:left w:w="0" w:type="dxa"/>
              <w:bottom w:w="0" w:type="dxa"/>
              <w:right w:w="0" w:type="dxa"/>
            </w:tcMar>
          </w:tcPr>
          <w:p w14:paraId="0D52B94C"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if the undersigned is a trust, to the beneficiary of such trust,</w:t>
            </w:r>
          </w:p>
        </w:tc>
      </w:tr>
    </w:tbl>
    <w:p w14:paraId="13C8D06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44A78DD7" w14:textId="77777777" w:rsidTr="00EB26FE">
        <w:tc>
          <w:tcPr>
            <w:tcW w:w="720" w:type="dxa"/>
            <w:tcBorders>
              <w:left w:val="nil"/>
              <w:right w:val="nil"/>
            </w:tcBorders>
            <w:tcMar>
              <w:top w:w="0" w:type="dxa"/>
              <w:left w:w="0" w:type="dxa"/>
              <w:bottom w:w="0" w:type="dxa"/>
              <w:right w:w="0" w:type="dxa"/>
            </w:tcMar>
          </w:tcPr>
          <w:p w14:paraId="19F0BB65"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4351C45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w:t>
            </w:r>
          </w:p>
        </w:tc>
        <w:tc>
          <w:tcPr>
            <w:tcW w:w="0" w:type="auto"/>
            <w:tcBorders>
              <w:left w:val="nil"/>
              <w:right w:val="nil"/>
            </w:tcBorders>
            <w:tcMar>
              <w:top w:w="0" w:type="dxa"/>
              <w:left w:w="0" w:type="dxa"/>
              <w:bottom w:w="0" w:type="dxa"/>
              <w:right w:w="0" w:type="dxa"/>
            </w:tcMar>
          </w:tcPr>
          <w:p w14:paraId="32E635B7"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 testate or intestate succession,</w:t>
            </w:r>
          </w:p>
        </w:tc>
      </w:tr>
    </w:tbl>
    <w:p w14:paraId="6AF93B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5A5410A6" w14:textId="77777777" w:rsidTr="00EB26FE">
        <w:tc>
          <w:tcPr>
            <w:tcW w:w="720" w:type="dxa"/>
            <w:tcBorders>
              <w:left w:val="nil"/>
              <w:right w:val="nil"/>
            </w:tcBorders>
            <w:tcMar>
              <w:top w:w="0" w:type="dxa"/>
              <w:left w:w="0" w:type="dxa"/>
              <w:bottom w:w="0" w:type="dxa"/>
              <w:right w:w="0" w:type="dxa"/>
            </w:tcMar>
          </w:tcPr>
          <w:p w14:paraId="766152BE"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0EB031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(vi)</w:t>
            </w:r>
          </w:p>
        </w:tc>
        <w:tc>
          <w:tcPr>
            <w:tcW w:w="0" w:type="auto"/>
            <w:tcBorders>
              <w:left w:val="nil"/>
              <w:right w:val="nil"/>
            </w:tcBorders>
            <w:tcMar>
              <w:top w:w="0" w:type="dxa"/>
              <w:left w:w="0" w:type="dxa"/>
              <w:bottom w:w="0" w:type="dxa"/>
              <w:right w:w="0" w:type="dxa"/>
            </w:tcMar>
          </w:tcPr>
          <w:p w14:paraId="1874F7D3"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 operation of law, such as pursuant to a qualified domestic order or in connection with a divorce settlement,</w:t>
            </w:r>
          </w:p>
        </w:tc>
      </w:tr>
    </w:tbl>
    <w:p w14:paraId="660F96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720"/>
        <w:gridCol w:w="8496"/>
      </w:tblGrid>
      <w:tr w:rsidR="00AE3C59" w:rsidRPr="00AE3C59" w14:paraId="4F078107" w14:textId="77777777" w:rsidTr="00EB26FE">
        <w:tc>
          <w:tcPr>
            <w:tcW w:w="720" w:type="dxa"/>
            <w:tcBorders>
              <w:left w:val="nil"/>
              <w:right w:val="nil"/>
            </w:tcBorders>
            <w:tcMar>
              <w:top w:w="0" w:type="dxa"/>
              <w:left w:w="0" w:type="dxa"/>
              <w:bottom w:w="0" w:type="dxa"/>
              <w:right w:w="0" w:type="dxa"/>
            </w:tcMar>
          </w:tcPr>
          <w:p w14:paraId="7F10A9A4"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3D48FEC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(vii)</w:t>
            </w:r>
          </w:p>
        </w:tc>
        <w:tc>
          <w:tcPr>
            <w:tcW w:w="0" w:type="auto"/>
            <w:tcBorders>
              <w:left w:val="nil"/>
              <w:right w:val="nil"/>
            </w:tcBorders>
            <w:tcMar>
              <w:top w:w="0" w:type="dxa"/>
              <w:left w:w="0" w:type="dxa"/>
              <w:bottom w:w="0" w:type="dxa"/>
              <w:right w:w="0" w:type="dxa"/>
            </w:tcMar>
          </w:tcPr>
          <w:p w14:paraId="3462D80F"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pursuant to the Underwriting Agreement, or</w:t>
            </w:r>
          </w:p>
        </w:tc>
      </w:tr>
      <w:tr w:rsidR="00AE3C59" w:rsidRPr="00AE3C59" w14:paraId="287776F5" w14:textId="77777777" w:rsidTr="00EB26FE">
        <w:tc>
          <w:tcPr>
            <w:tcW w:w="720" w:type="dxa"/>
            <w:tcBorders>
              <w:left w:val="nil"/>
              <w:right w:val="nil"/>
            </w:tcBorders>
            <w:tcMar>
              <w:top w:w="0" w:type="dxa"/>
              <w:left w:w="0" w:type="dxa"/>
              <w:bottom w:w="0" w:type="dxa"/>
              <w:right w:w="0" w:type="dxa"/>
            </w:tcMar>
          </w:tcPr>
          <w:p w14:paraId="6DEDD19E"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720" w:type="dxa"/>
            <w:tcBorders>
              <w:left w:val="nil"/>
              <w:right w:val="nil"/>
            </w:tcBorders>
            <w:tcMar>
              <w:top w:w="0" w:type="dxa"/>
              <w:left w:w="0" w:type="dxa"/>
              <w:bottom w:w="0" w:type="dxa"/>
              <w:right w:w="0" w:type="dxa"/>
            </w:tcMar>
          </w:tcPr>
          <w:p w14:paraId="578F7FB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722E60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(viii)</w:t>
            </w:r>
          </w:p>
        </w:tc>
        <w:tc>
          <w:tcPr>
            <w:tcW w:w="0" w:type="auto"/>
            <w:tcBorders>
              <w:left w:val="nil"/>
              <w:right w:val="nil"/>
            </w:tcBorders>
            <w:tcMar>
              <w:top w:w="0" w:type="dxa"/>
              <w:left w:w="0" w:type="dxa"/>
              <w:bottom w:w="0" w:type="dxa"/>
              <w:right w:w="0" w:type="dxa"/>
            </w:tcMar>
          </w:tcPr>
          <w:p w14:paraId="50E0230A"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1AD17D1"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to the Company solely in an amount necessary to satisfy tax obligations (withholding or otherwise) in connection with any grant of restricted Shares, exercise or vesting of options or warrants to purchase Shares;</w:t>
            </w:r>
          </w:p>
        </w:tc>
      </w:tr>
    </w:tbl>
    <w:p w14:paraId="0A1B5A2B" w14:textId="77777777" w:rsidR="00AE3C59" w:rsidRPr="00AE3C59" w:rsidRDefault="00AE3C59" w:rsidP="00AE3C59">
      <w:pPr>
        <w:spacing w:after="0" w:line="240" w:lineRule="auto"/>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 </w:t>
      </w:r>
    </w:p>
    <w:p w14:paraId="565EC9D5" w14:textId="77777777" w:rsidR="00AE3C59" w:rsidRPr="00AE3C59" w:rsidRDefault="00AE3C59" w:rsidP="00AE3C59">
      <w:pPr>
        <w:spacing w:after="0" w:line="240" w:lineRule="auto"/>
        <w:jc w:val="both"/>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provided,</w:t>
      </w:r>
      <w:r w:rsidRPr="00AE3C59">
        <w:rPr>
          <w:rFonts w:ascii="Times New Roman" w:eastAsia="Times New Roman" w:hAnsi="Times New Roman" w:cs="Times New Roman"/>
          <w:sz w:val="20"/>
          <w:szCs w:val="20"/>
          <w:lang w:val="en-US" w:eastAsia="en-US" w:bidi="ar-SA"/>
        </w:rPr>
        <w:t xml:space="preserve"> in the case of clauses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)-(vi), that (A) such transfer shall not involve a disposition for value, (B) the transferee agrees in writing with the Underwriters and the Company to be bound by the terms of this Lock-Up Agreement, and (C) such transfer would not require any filing under Section 16(a) of the Exchange Act and no such filing is voluntarily made.</w:t>
      </w:r>
    </w:p>
    <w:p w14:paraId="0D71E2A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10ADD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For purposes of this Lock-Up Agreement, “immediate family” shall mean any relationship by blood, marriage or adoption, not more remote than first cousin.</w:t>
      </w:r>
    </w:p>
    <w:p w14:paraId="4BEA833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B810CB"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hereby represents and warrants that the undersigned has full power and authority to enter into this Lock-Up Agreement and that this Lock-Up Agreement has been duly authorized (if the undersigned is not a natural person) and constitutes the legal, valid and binding obligation of the undersigned, enforceable in accordance with its terms. Upon request, the undersigned will execute any additional documents necessary in connection with the enforcement hereof. Any obligations of the undersigned shall be binding upon the successors and assigns of the undersigned from the date of this Lock-Up Agreement.</w:t>
      </w:r>
    </w:p>
    <w:p w14:paraId="766930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 </w:t>
      </w:r>
    </w:p>
    <w:p w14:paraId="3C7E7E6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understands that, if the Underwriting Agreement does not become effective, or if the Underwriting Agreement (other than the provisions thereof which survive termination) shall terminate or be terminated prior to payment for and delivery of the Securities to be sold thereunder, the undersigned shall be released from all obligations under this Lock-Up Agreement.</w:t>
      </w:r>
    </w:p>
    <w:p w14:paraId="5BC4DA0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EC8AB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whether or not participating in the Public Offering, understands that the Underwriters are entering into the Underwriting Agreement and proceeding with the Public Offering in reliance upon this Lock-Up Agreement.</w:t>
      </w:r>
    </w:p>
    <w:p w14:paraId="72918DD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4FADC9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This Lock-Up Agreement shall be governed by and construed in accordance with the laws of the State of New York, without regard to the conflict of laws principles thereof. Delivery of a signed copy of this Lock-Up Agreement by facsimile or e-mail/.pdf transmission shall be effective as the delivery of the original hereof.</w:t>
      </w:r>
    </w:p>
    <w:p w14:paraId="36ECD63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252"/>
        <w:gridCol w:w="1938"/>
        <w:gridCol w:w="3746"/>
      </w:tblGrid>
      <w:tr w:rsidR="00AE3C59" w:rsidRPr="00AE3C59" w14:paraId="7060C498" w14:textId="77777777" w:rsidTr="00EB26FE">
        <w:tc>
          <w:tcPr>
            <w:tcW w:w="2140" w:type="pct"/>
            <w:tcBorders>
              <w:left w:val="nil"/>
              <w:right w:val="nil"/>
            </w:tcBorders>
            <w:tcMar>
              <w:top w:w="0" w:type="dxa"/>
              <w:left w:w="0" w:type="dxa"/>
              <w:bottom w:w="0" w:type="dxa"/>
              <w:right w:w="0" w:type="dxa"/>
            </w:tcMar>
          </w:tcPr>
          <w:p w14:paraId="36E385A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518C1B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Very truly yours,</w:t>
            </w:r>
          </w:p>
        </w:tc>
        <w:tc>
          <w:tcPr>
            <w:tcW w:w="1890" w:type="pct"/>
            <w:tcBorders>
              <w:left w:val="nil"/>
              <w:right w:val="nil"/>
            </w:tcBorders>
            <w:tcMar>
              <w:top w:w="0" w:type="dxa"/>
              <w:left w:w="0" w:type="dxa"/>
              <w:bottom w:w="0" w:type="dxa"/>
              <w:right w:w="0" w:type="dxa"/>
            </w:tcMar>
          </w:tcPr>
          <w:p w14:paraId="0705462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ACAB3EF" w14:textId="77777777" w:rsidTr="00EB26FE">
        <w:tc>
          <w:tcPr>
            <w:tcW w:w="2140" w:type="pct"/>
            <w:tcBorders>
              <w:left w:val="nil"/>
              <w:right w:val="nil"/>
            </w:tcBorders>
            <w:tcMar>
              <w:top w:w="0" w:type="dxa"/>
              <w:left w:w="0" w:type="dxa"/>
              <w:bottom w:w="0" w:type="dxa"/>
              <w:right w:w="0" w:type="dxa"/>
            </w:tcMar>
          </w:tcPr>
          <w:p w14:paraId="4B62DC2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2AA585F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2B11F40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4848D483" w14:textId="77777777" w:rsidTr="00EB26FE">
        <w:tc>
          <w:tcPr>
            <w:tcW w:w="2140" w:type="pct"/>
            <w:tcBorders>
              <w:left w:val="nil"/>
              <w:right w:val="nil"/>
            </w:tcBorders>
            <w:tcMar>
              <w:top w:w="0" w:type="dxa"/>
              <w:left w:w="0" w:type="dxa"/>
              <w:bottom w:w="0" w:type="dxa"/>
              <w:right w:w="0" w:type="dxa"/>
            </w:tcMar>
          </w:tcPr>
          <w:p w14:paraId="7D65D56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46B8BAB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37E0DB4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38B6ADA7" w14:textId="77777777" w:rsidTr="00EB26FE">
        <w:tc>
          <w:tcPr>
            <w:tcW w:w="2140" w:type="pct"/>
            <w:tcBorders>
              <w:left w:val="nil"/>
              <w:right w:val="nil"/>
            </w:tcBorders>
            <w:tcMar>
              <w:top w:w="0" w:type="dxa"/>
              <w:left w:w="0" w:type="dxa"/>
              <w:bottom w:w="0" w:type="dxa"/>
              <w:right w:w="0" w:type="dxa"/>
            </w:tcMar>
          </w:tcPr>
          <w:p w14:paraId="2D0D756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785D41F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2CB862E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47CAE71A" w14:textId="77777777" w:rsidTr="00EB26FE">
        <w:tc>
          <w:tcPr>
            <w:tcW w:w="2140" w:type="pct"/>
            <w:tcBorders>
              <w:left w:val="nil"/>
              <w:right w:val="nil"/>
            </w:tcBorders>
            <w:tcMar>
              <w:top w:w="0" w:type="dxa"/>
              <w:left w:w="0" w:type="dxa"/>
              <w:bottom w:w="0" w:type="dxa"/>
              <w:right w:w="0" w:type="dxa"/>
            </w:tcMar>
          </w:tcPr>
          <w:p w14:paraId="5330BDE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0FF31A4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Signature:</w:t>
            </w:r>
          </w:p>
        </w:tc>
        <w:tc>
          <w:tcPr>
            <w:tcW w:w="1890" w:type="pct"/>
            <w:tcBorders>
              <w:left w:val="nil"/>
              <w:bottom w:val="single" w:sz="6" w:space="0" w:color="000000"/>
              <w:right w:val="nil"/>
            </w:tcBorders>
            <w:tcMar>
              <w:top w:w="0" w:type="dxa"/>
              <w:left w:w="0" w:type="dxa"/>
              <w:bottom w:w="0" w:type="dxa"/>
              <w:right w:w="0" w:type="dxa"/>
            </w:tcMar>
          </w:tcPr>
          <w:p w14:paraId="7C43957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917ADD0" w14:textId="77777777" w:rsidTr="00EB26FE">
        <w:tc>
          <w:tcPr>
            <w:tcW w:w="2140" w:type="pct"/>
            <w:tcBorders>
              <w:left w:val="nil"/>
              <w:right w:val="nil"/>
            </w:tcBorders>
            <w:tcMar>
              <w:top w:w="0" w:type="dxa"/>
              <w:left w:w="0" w:type="dxa"/>
              <w:bottom w:w="0" w:type="dxa"/>
              <w:right w:w="0" w:type="dxa"/>
            </w:tcMar>
          </w:tcPr>
          <w:p w14:paraId="4E10B2A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71A375B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26E778F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8D72B27" w14:textId="77777777" w:rsidTr="00EB26FE">
        <w:tc>
          <w:tcPr>
            <w:tcW w:w="2140" w:type="pct"/>
            <w:tcBorders>
              <w:left w:val="nil"/>
              <w:right w:val="nil"/>
            </w:tcBorders>
            <w:tcMar>
              <w:top w:w="0" w:type="dxa"/>
              <w:left w:w="0" w:type="dxa"/>
              <w:bottom w:w="0" w:type="dxa"/>
              <w:right w:w="0" w:type="dxa"/>
            </w:tcMar>
          </w:tcPr>
          <w:p w14:paraId="3C73CC7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4178E60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(printed):</w:t>
            </w:r>
          </w:p>
        </w:tc>
        <w:tc>
          <w:tcPr>
            <w:tcW w:w="1890" w:type="pct"/>
            <w:tcBorders>
              <w:left w:val="nil"/>
              <w:bottom w:val="single" w:sz="6" w:space="0" w:color="000000"/>
              <w:right w:val="nil"/>
            </w:tcBorders>
            <w:tcMar>
              <w:top w:w="0" w:type="dxa"/>
              <w:left w:w="0" w:type="dxa"/>
              <w:bottom w:w="0" w:type="dxa"/>
              <w:right w:w="0" w:type="dxa"/>
            </w:tcMar>
          </w:tcPr>
          <w:p w14:paraId="561C5A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2FF0C43C" w14:textId="77777777" w:rsidTr="00EB26FE">
        <w:tc>
          <w:tcPr>
            <w:tcW w:w="2140" w:type="pct"/>
            <w:tcBorders>
              <w:left w:val="nil"/>
              <w:right w:val="nil"/>
            </w:tcBorders>
            <w:tcMar>
              <w:top w:w="0" w:type="dxa"/>
              <w:left w:w="0" w:type="dxa"/>
              <w:bottom w:w="0" w:type="dxa"/>
              <w:right w:w="0" w:type="dxa"/>
            </w:tcMar>
          </w:tcPr>
          <w:p w14:paraId="119F40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257E07B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6EFB0B6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5E4D29E" w14:textId="77777777" w:rsidTr="00EB26FE">
        <w:tc>
          <w:tcPr>
            <w:tcW w:w="2140" w:type="pct"/>
            <w:tcBorders>
              <w:left w:val="nil"/>
              <w:right w:val="nil"/>
            </w:tcBorders>
            <w:tcMar>
              <w:top w:w="0" w:type="dxa"/>
              <w:left w:w="0" w:type="dxa"/>
              <w:bottom w:w="0" w:type="dxa"/>
              <w:right w:w="0" w:type="dxa"/>
            </w:tcMar>
          </w:tcPr>
          <w:p w14:paraId="42A5019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4F3B0F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(if applicable):</w:t>
            </w:r>
          </w:p>
        </w:tc>
        <w:tc>
          <w:tcPr>
            <w:tcW w:w="1890" w:type="pct"/>
            <w:tcBorders>
              <w:left w:val="nil"/>
              <w:bottom w:val="single" w:sz="6" w:space="0" w:color="000000"/>
              <w:right w:val="nil"/>
            </w:tcBorders>
            <w:tcMar>
              <w:top w:w="0" w:type="dxa"/>
              <w:left w:w="0" w:type="dxa"/>
              <w:bottom w:w="0" w:type="dxa"/>
              <w:right w:w="0" w:type="dxa"/>
            </w:tcMar>
          </w:tcPr>
          <w:p w14:paraId="27C3998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25CEB14" w14:textId="77777777" w:rsidTr="00EB26FE">
        <w:tc>
          <w:tcPr>
            <w:tcW w:w="2140" w:type="pct"/>
            <w:tcBorders>
              <w:left w:val="nil"/>
              <w:right w:val="nil"/>
            </w:tcBorders>
            <w:tcMar>
              <w:top w:w="0" w:type="dxa"/>
              <w:left w:w="0" w:type="dxa"/>
              <w:bottom w:w="0" w:type="dxa"/>
              <w:right w:w="0" w:type="dxa"/>
            </w:tcMar>
          </w:tcPr>
          <w:p w14:paraId="0670A85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2AF6697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890" w:type="pct"/>
            <w:tcBorders>
              <w:left w:val="nil"/>
              <w:right w:val="nil"/>
            </w:tcBorders>
            <w:tcMar>
              <w:top w:w="0" w:type="dxa"/>
              <w:left w:w="0" w:type="dxa"/>
              <w:bottom w:w="0" w:type="dxa"/>
              <w:right w:w="0" w:type="dxa"/>
            </w:tcMar>
          </w:tcPr>
          <w:p w14:paraId="4A38067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DD45A78" w14:textId="77777777" w:rsidTr="00EB26FE">
        <w:tc>
          <w:tcPr>
            <w:tcW w:w="2140" w:type="pct"/>
            <w:tcBorders>
              <w:left w:val="nil"/>
              <w:right w:val="nil"/>
            </w:tcBorders>
            <w:tcMar>
              <w:top w:w="0" w:type="dxa"/>
              <w:left w:w="0" w:type="dxa"/>
              <w:bottom w:w="0" w:type="dxa"/>
              <w:right w:w="0" w:type="dxa"/>
            </w:tcMar>
          </w:tcPr>
          <w:p w14:paraId="21B3550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975" w:type="pct"/>
            <w:tcBorders>
              <w:left w:val="nil"/>
              <w:right w:val="nil"/>
            </w:tcBorders>
            <w:tcMar>
              <w:top w:w="0" w:type="dxa"/>
              <w:left w:w="0" w:type="dxa"/>
              <w:bottom w:w="0" w:type="dxa"/>
              <w:right w:w="0" w:type="dxa"/>
            </w:tcMar>
          </w:tcPr>
          <w:p w14:paraId="77D1C38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Entity (if applicable):  </w:t>
            </w:r>
          </w:p>
        </w:tc>
        <w:tc>
          <w:tcPr>
            <w:tcW w:w="1890" w:type="pct"/>
            <w:tcBorders>
              <w:left w:val="nil"/>
              <w:bottom w:val="single" w:sz="6" w:space="0" w:color="000000"/>
              <w:right w:val="nil"/>
            </w:tcBorders>
            <w:tcMar>
              <w:top w:w="0" w:type="dxa"/>
              <w:left w:w="0" w:type="dxa"/>
              <w:bottom w:w="0" w:type="dxa"/>
              <w:right w:w="0" w:type="dxa"/>
            </w:tcMar>
          </w:tcPr>
          <w:p w14:paraId="454832D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569F960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34C05E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68C3E7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p>
    <w:p w14:paraId="5D44841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lastRenderedPageBreak/>
        <w:t>EXHIBIT B</w:t>
      </w:r>
    </w:p>
    <w:p w14:paraId="288C36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61A804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61B7560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OFFICERS’ CERTIFICATE</w:t>
      </w:r>
    </w:p>
    <w:p w14:paraId="516BC2D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2E1DFDA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p w14:paraId="4F98EA2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85C9983" w14:textId="77777777" w:rsidR="00AE3C59" w:rsidRPr="00AE3C59" w:rsidRDefault="00AE3C59" w:rsidP="00AE3C59">
      <w:pPr>
        <w:spacing w:after="0" w:line="240" w:lineRule="auto"/>
        <w:ind w:left="120" w:right="54"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David A. Dodd and Mark W. Reynolds, the duly elected and duly qualified Chief Executive Officer and Chief Financial Officer, respectively, of GeoVax Labs, Inc., a Delaware corporation (the “</w:t>
      </w:r>
      <w:r w:rsidRPr="00AE3C59">
        <w:rPr>
          <w:rFonts w:ascii="Times New Roman" w:eastAsia="Times New Roman" w:hAnsi="Times New Roman" w:cs="Times New Roman"/>
          <w:sz w:val="20"/>
          <w:szCs w:val="20"/>
          <w:u w:val="single"/>
          <w:lang w:val="en-US" w:eastAsia="en-US" w:bidi="ar-SA"/>
        </w:rPr>
        <w:t>Company</w:t>
      </w:r>
      <w:r w:rsidRPr="00AE3C59">
        <w:rPr>
          <w:rFonts w:ascii="Times New Roman" w:eastAsia="Times New Roman" w:hAnsi="Times New Roman" w:cs="Times New Roman"/>
          <w:sz w:val="20"/>
          <w:szCs w:val="20"/>
          <w:lang w:val="en-US" w:eastAsia="en-US" w:bidi="ar-SA"/>
        </w:rPr>
        <w:t>”), hereby certify the following on behalf of the Company, in connection with the transactions contemplated by the Underwriting Agreement (the “</w:t>
      </w:r>
      <w:r w:rsidRPr="00AE3C59">
        <w:rPr>
          <w:rFonts w:ascii="Times New Roman" w:eastAsia="Times New Roman" w:hAnsi="Times New Roman" w:cs="Times New Roman"/>
          <w:sz w:val="20"/>
          <w:szCs w:val="20"/>
          <w:u w:val="single"/>
          <w:lang w:val="en-US" w:eastAsia="en-US" w:bidi="ar-SA"/>
        </w:rPr>
        <w:t>Underwriting Agreement</w:t>
      </w:r>
      <w:r w:rsidRPr="00AE3C59">
        <w:rPr>
          <w:rFonts w:ascii="Times New Roman" w:eastAsia="Times New Roman" w:hAnsi="Times New Roman" w:cs="Times New Roman"/>
          <w:sz w:val="20"/>
          <w:szCs w:val="20"/>
          <w:lang w:val="en-US" w:eastAsia="en-US" w:bidi="ar-SA"/>
        </w:rPr>
        <w:t xml:space="preserve">”), dated September [___], 2020, by and between the Company and Maxim Group LLC, as representative of the several Underwriters, if any, named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thereto:</w:t>
      </w:r>
    </w:p>
    <w:p w14:paraId="537A164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AE3C59" w:rsidRPr="00AE3C59" w14:paraId="7D599948" w14:textId="77777777" w:rsidTr="00EB26FE">
        <w:tc>
          <w:tcPr>
            <w:tcW w:w="720" w:type="dxa"/>
            <w:tcBorders>
              <w:left w:val="nil"/>
              <w:right w:val="nil"/>
            </w:tcBorders>
            <w:tcMar>
              <w:top w:w="0" w:type="dxa"/>
              <w:left w:w="0" w:type="dxa"/>
              <w:bottom w:w="0" w:type="dxa"/>
              <w:right w:w="0" w:type="dxa"/>
            </w:tcMar>
          </w:tcPr>
          <w:p w14:paraId="0DB5538C"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0052ECB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w:t>
            </w:r>
          </w:p>
        </w:tc>
        <w:tc>
          <w:tcPr>
            <w:tcW w:w="0" w:type="auto"/>
            <w:tcBorders>
              <w:left w:val="nil"/>
              <w:right w:val="nil"/>
            </w:tcBorders>
            <w:tcMar>
              <w:top w:w="0" w:type="dxa"/>
              <w:left w:w="0" w:type="dxa"/>
              <w:bottom w:w="0" w:type="dxa"/>
              <w:right w:w="0" w:type="dxa"/>
            </w:tcMar>
          </w:tcPr>
          <w:p w14:paraId="084FED91"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officers have carefully examined the Registration Statement, the General Disclosure Package, any Issuer Free Writing Prospectus and the Prospectus and, in their opinion, the Registration Statement and each amendment thereto, as of time it became effective and as of the Closing Date did not include any untrue statement of a material fact and did not omit to state a material fact required to be stated therein or necessary to make the statements therein not misleading, and the General Disclosure Package, as of its date and as of the Closing Date, any Issuer Free Writing Prospectus as of its date and as of the Closing Date and the Prospectus and each amendment or supplement thereto, as of the respective date thereof and as of the Closing Date, did not include any untrue statement of a material fact and did not omit to state a material fact necessary in order to make the statements therein, in the light of the circumstances in which they were made, not misleading.</w:t>
            </w:r>
          </w:p>
        </w:tc>
      </w:tr>
    </w:tbl>
    <w:p w14:paraId="715A63E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AE3C59" w:rsidRPr="00AE3C59" w14:paraId="781BCF9D" w14:textId="77777777" w:rsidTr="00EB26FE">
        <w:tc>
          <w:tcPr>
            <w:tcW w:w="720" w:type="dxa"/>
            <w:tcBorders>
              <w:left w:val="nil"/>
              <w:right w:val="nil"/>
            </w:tcBorders>
            <w:tcMar>
              <w:top w:w="0" w:type="dxa"/>
              <w:left w:w="0" w:type="dxa"/>
              <w:bottom w:w="0" w:type="dxa"/>
              <w:right w:w="0" w:type="dxa"/>
            </w:tcMar>
          </w:tcPr>
          <w:p w14:paraId="33B81A58"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38D7721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w:t>
            </w:r>
          </w:p>
        </w:tc>
        <w:tc>
          <w:tcPr>
            <w:tcW w:w="0" w:type="auto"/>
            <w:tcBorders>
              <w:left w:val="nil"/>
              <w:right w:val="nil"/>
            </w:tcBorders>
            <w:tcMar>
              <w:top w:w="0" w:type="dxa"/>
              <w:left w:w="0" w:type="dxa"/>
              <w:bottom w:w="0" w:type="dxa"/>
              <w:right w:w="0" w:type="dxa"/>
            </w:tcMar>
          </w:tcPr>
          <w:p w14:paraId="3C3FD6AF"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Since the effective date of the Registration Statement, no event has occurred which should have been set forth in a supplement or amendment to the Registration Statement, the General Disclosure Package or the Prospectus.</w:t>
            </w:r>
          </w:p>
        </w:tc>
      </w:tr>
    </w:tbl>
    <w:p w14:paraId="5DF8A4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AE3C59" w:rsidRPr="00AE3C59" w14:paraId="79F506C9" w14:textId="77777777" w:rsidTr="00EB26FE">
        <w:tc>
          <w:tcPr>
            <w:tcW w:w="720" w:type="dxa"/>
            <w:tcBorders>
              <w:left w:val="nil"/>
              <w:right w:val="nil"/>
            </w:tcBorders>
            <w:tcMar>
              <w:top w:w="0" w:type="dxa"/>
              <w:left w:w="0" w:type="dxa"/>
              <w:bottom w:w="0" w:type="dxa"/>
              <w:right w:w="0" w:type="dxa"/>
            </w:tcMar>
          </w:tcPr>
          <w:p w14:paraId="26C34DE0"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2D8F5D8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3.</w:t>
            </w:r>
          </w:p>
        </w:tc>
        <w:tc>
          <w:tcPr>
            <w:tcW w:w="0" w:type="auto"/>
            <w:tcBorders>
              <w:left w:val="nil"/>
              <w:right w:val="nil"/>
            </w:tcBorders>
            <w:tcMar>
              <w:top w:w="0" w:type="dxa"/>
              <w:left w:w="0" w:type="dxa"/>
              <w:bottom w:w="0" w:type="dxa"/>
              <w:right w:w="0" w:type="dxa"/>
            </w:tcMar>
          </w:tcPr>
          <w:p w14:paraId="70048F29"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To the best of their knowledge after reasonable investigation, as of the Closing Date, the representations and warranties of the Company in the Underwriting Agreement are true and correct and the Company has complied in all material respects with all agreements and satisfied all conditions on its part to be performed or satisfied hereunder at or prior to the Closing Date.</w:t>
            </w:r>
          </w:p>
        </w:tc>
      </w:tr>
    </w:tbl>
    <w:p w14:paraId="481246A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720"/>
        <w:gridCol w:w="360"/>
        <w:gridCol w:w="8856"/>
      </w:tblGrid>
      <w:tr w:rsidR="00AE3C59" w:rsidRPr="00AE3C59" w14:paraId="2BF99F5A" w14:textId="77777777" w:rsidTr="00EB26FE">
        <w:tc>
          <w:tcPr>
            <w:tcW w:w="720" w:type="dxa"/>
            <w:tcBorders>
              <w:left w:val="nil"/>
              <w:right w:val="nil"/>
            </w:tcBorders>
            <w:tcMar>
              <w:top w:w="0" w:type="dxa"/>
              <w:left w:w="0" w:type="dxa"/>
              <w:bottom w:w="0" w:type="dxa"/>
              <w:right w:w="0" w:type="dxa"/>
            </w:tcMar>
          </w:tcPr>
          <w:p w14:paraId="002C60D7"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t> </w:t>
            </w:r>
          </w:p>
        </w:tc>
        <w:tc>
          <w:tcPr>
            <w:tcW w:w="360" w:type="dxa"/>
            <w:tcBorders>
              <w:left w:val="nil"/>
              <w:right w:val="nil"/>
            </w:tcBorders>
            <w:tcMar>
              <w:top w:w="0" w:type="dxa"/>
              <w:left w:w="0" w:type="dxa"/>
              <w:bottom w:w="0" w:type="dxa"/>
              <w:right w:w="0" w:type="dxa"/>
            </w:tcMar>
          </w:tcPr>
          <w:p w14:paraId="418BBD1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4.</w:t>
            </w:r>
          </w:p>
        </w:tc>
        <w:tc>
          <w:tcPr>
            <w:tcW w:w="0" w:type="auto"/>
            <w:tcBorders>
              <w:left w:val="nil"/>
              <w:right w:val="nil"/>
            </w:tcBorders>
            <w:tcMar>
              <w:top w:w="0" w:type="dxa"/>
              <w:left w:w="0" w:type="dxa"/>
              <w:bottom w:w="0" w:type="dxa"/>
              <w:right w:w="0" w:type="dxa"/>
            </w:tcMar>
          </w:tcPr>
          <w:p w14:paraId="28E31DC4"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There has not been, subsequent to June 30, 2020, any material adverse change in the financial position or results of operations of the Company, or any change or development that, singularly or in the aggregate, would involve a Material Adverse Effect.</w:t>
            </w:r>
          </w:p>
        </w:tc>
      </w:tr>
    </w:tbl>
    <w:p w14:paraId="22630D8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D0B8322"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Capitalized terms used but not otherwise defined herein shall have the meanings ascribed to such terms in the Underwriting Agreement.</w:t>
      </w:r>
    </w:p>
    <w:p w14:paraId="4DB28FE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648A2D5" w14:textId="77777777" w:rsidR="00AE3C59" w:rsidRPr="00AE3C59" w:rsidRDefault="00AE3C59" w:rsidP="00AE3C59">
      <w:pPr>
        <w:spacing w:after="0" w:line="240" w:lineRule="auto"/>
        <w:ind w:left="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other transactions described in the Transaction Documents, and each of the Underwriters,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and Womble Bond Dickinson (US) LLP are entitled to rely on this Certificate for such purpose and (if applicable) in connection with the delivery by such counsel of their respective legal opinions and negative assurance statement.</w:t>
      </w:r>
    </w:p>
    <w:p w14:paraId="3B9BAB8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0F63CE" w14:textId="77777777" w:rsidR="00AE3C59" w:rsidRPr="00AE3C59" w:rsidRDefault="00AE3C59" w:rsidP="00AE3C59">
      <w:pPr>
        <w:spacing w:after="0" w:line="240" w:lineRule="auto"/>
        <w:ind w:left="480" w:right="54"/>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[REMAINDER OF PAGE INTENTIONALLY LEFT BLANK]</w:t>
      </w:r>
    </w:p>
    <w:p w14:paraId="0F74BDEA" w14:textId="77777777" w:rsidR="00AE3C59" w:rsidRPr="00AE3C59" w:rsidRDefault="00AE3C59" w:rsidP="00AE3C59">
      <w:pPr>
        <w:spacing w:after="0" w:line="240" w:lineRule="auto"/>
        <w:ind w:left="480" w:right="54"/>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sz w:val="20"/>
          <w:szCs w:val="20"/>
          <w:lang w:val="en-US" w:eastAsia="en-US" w:bidi="ar-SA"/>
        </w:rPr>
        <w:lastRenderedPageBreak/>
        <w:t> </w:t>
      </w:r>
    </w:p>
    <w:p w14:paraId="0CA678F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97ACBEE"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xml:space="preserve">IN WITNESS WHEREOF, </w:t>
      </w:r>
      <w:r w:rsidRPr="00AE3C59">
        <w:rPr>
          <w:rFonts w:ascii="Times New Roman" w:eastAsia="Times New Roman" w:hAnsi="Times New Roman" w:cs="Times New Roman"/>
          <w:sz w:val="20"/>
          <w:szCs w:val="20"/>
          <w:lang w:val="en-US" w:eastAsia="en-US" w:bidi="ar-SA"/>
        </w:rPr>
        <w:t>the undersigned have executed this Officers’ Certificate on behalf of the Company as of this [__] day of September, 2020.</w:t>
      </w:r>
    </w:p>
    <w:p w14:paraId="26EE588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0C62E0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DE14C6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73C5D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1DB510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5872"/>
        <w:gridCol w:w="676"/>
        <w:gridCol w:w="3388"/>
      </w:tblGrid>
      <w:tr w:rsidR="00AE3C59" w:rsidRPr="00AE3C59" w14:paraId="24104036" w14:textId="77777777" w:rsidTr="00EB26FE">
        <w:tc>
          <w:tcPr>
            <w:tcW w:w="2955" w:type="pct"/>
            <w:tcBorders>
              <w:left w:val="nil"/>
              <w:right w:val="nil"/>
            </w:tcBorders>
            <w:tcMar>
              <w:top w:w="0" w:type="dxa"/>
              <w:left w:w="0" w:type="dxa"/>
              <w:bottom w:w="0" w:type="dxa"/>
              <w:right w:w="0" w:type="dxa"/>
            </w:tcMar>
          </w:tcPr>
          <w:p w14:paraId="35C1A5C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bottom w:val="single" w:sz="6" w:space="0" w:color="000000"/>
              <w:right w:val="nil"/>
            </w:tcBorders>
            <w:tcMar>
              <w:top w:w="0" w:type="dxa"/>
              <w:left w:w="0" w:type="dxa"/>
              <w:bottom w:w="0" w:type="dxa"/>
              <w:right w:w="0" w:type="dxa"/>
            </w:tcMar>
          </w:tcPr>
          <w:p w14:paraId="6100E03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05" w:type="pct"/>
            <w:tcBorders>
              <w:left w:val="nil"/>
              <w:bottom w:val="single" w:sz="6" w:space="0" w:color="000000"/>
              <w:right w:val="nil"/>
            </w:tcBorders>
            <w:tcMar>
              <w:top w:w="0" w:type="dxa"/>
              <w:left w:w="0" w:type="dxa"/>
              <w:bottom w:w="0" w:type="dxa"/>
              <w:right w:w="0" w:type="dxa"/>
            </w:tcMar>
          </w:tcPr>
          <w:p w14:paraId="79A7590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FF8BB2F" w14:textId="77777777" w:rsidTr="00EB26FE">
        <w:tc>
          <w:tcPr>
            <w:tcW w:w="2955" w:type="pct"/>
            <w:tcBorders>
              <w:left w:val="nil"/>
              <w:right w:val="nil"/>
            </w:tcBorders>
            <w:tcMar>
              <w:top w:w="0" w:type="dxa"/>
              <w:left w:w="0" w:type="dxa"/>
              <w:bottom w:w="0" w:type="dxa"/>
              <w:right w:w="0" w:type="dxa"/>
            </w:tcMar>
          </w:tcPr>
          <w:p w14:paraId="1E7C0E1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1835643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w:t>
            </w:r>
          </w:p>
        </w:tc>
        <w:tc>
          <w:tcPr>
            <w:tcW w:w="1705" w:type="pct"/>
            <w:tcBorders>
              <w:left w:val="nil"/>
              <w:right w:val="nil"/>
            </w:tcBorders>
            <w:tcMar>
              <w:top w:w="0" w:type="dxa"/>
              <w:left w:w="0" w:type="dxa"/>
              <w:bottom w:w="0" w:type="dxa"/>
              <w:right w:w="0" w:type="dxa"/>
            </w:tcMar>
          </w:tcPr>
          <w:p w14:paraId="5352865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David A. Dodd</w:t>
            </w:r>
          </w:p>
        </w:tc>
      </w:tr>
      <w:tr w:rsidR="00AE3C59" w:rsidRPr="00AE3C59" w14:paraId="3FFC834D" w14:textId="77777777" w:rsidTr="00EB26FE">
        <w:tc>
          <w:tcPr>
            <w:tcW w:w="2955" w:type="pct"/>
            <w:tcBorders>
              <w:left w:val="nil"/>
              <w:right w:val="nil"/>
            </w:tcBorders>
            <w:tcMar>
              <w:top w:w="0" w:type="dxa"/>
              <w:left w:w="0" w:type="dxa"/>
              <w:bottom w:w="0" w:type="dxa"/>
              <w:right w:w="0" w:type="dxa"/>
            </w:tcMar>
          </w:tcPr>
          <w:p w14:paraId="2431AC0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20A24E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w:t>
            </w:r>
          </w:p>
        </w:tc>
        <w:tc>
          <w:tcPr>
            <w:tcW w:w="1705" w:type="pct"/>
            <w:tcBorders>
              <w:left w:val="nil"/>
              <w:right w:val="nil"/>
            </w:tcBorders>
            <w:tcMar>
              <w:top w:w="0" w:type="dxa"/>
              <w:left w:w="0" w:type="dxa"/>
              <w:bottom w:w="0" w:type="dxa"/>
              <w:right w:w="0" w:type="dxa"/>
            </w:tcMar>
          </w:tcPr>
          <w:p w14:paraId="0DA9A3C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Chief Executive Officer</w:t>
            </w:r>
          </w:p>
        </w:tc>
      </w:tr>
      <w:tr w:rsidR="00AE3C59" w:rsidRPr="00AE3C59" w14:paraId="24D86A96" w14:textId="77777777" w:rsidTr="00EB26FE">
        <w:tc>
          <w:tcPr>
            <w:tcW w:w="2955" w:type="pct"/>
            <w:tcBorders>
              <w:left w:val="nil"/>
              <w:right w:val="nil"/>
            </w:tcBorders>
            <w:tcMar>
              <w:top w:w="0" w:type="dxa"/>
              <w:left w:w="0" w:type="dxa"/>
              <w:bottom w:w="0" w:type="dxa"/>
              <w:right w:w="0" w:type="dxa"/>
            </w:tcMar>
          </w:tcPr>
          <w:p w14:paraId="5545E66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75A5F26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7A5187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2595D07" w14:textId="77777777" w:rsidTr="00EB26FE">
        <w:tc>
          <w:tcPr>
            <w:tcW w:w="2955" w:type="pct"/>
            <w:tcBorders>
              <w:left w:val="nil"/>
              <w:right w:val="nil"/>
            </w:tcBorders>
            <w:tcMar>
              <w:top w:w="0" w:type="dxa"/>
              <w:left w:w="0" w:type="dxa"/>
              <w:bottom w:w="0" w:type="dxa"/>
              <w:right w:w="0" w:type="dxa"/>
            </w:tcMar>
          </w:tcPr>
          <w:p w14:paraId="1D7DCE1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7E581AC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150816A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04585AFE" w14:textId="77777777" w:rsidTr="00EB26FE">
        <w:tc>
          <w:tcPr>
            <w:tcW w:w="2955" w:type="pct"/>
            <w:tcBorders>
              <w:left w:val="nil"/>
              <w:right w:val="nil"/>
            </w:tcBorders>
            <w:tcMar>
              <w:top w:w="0" w:type="dxa"/>
              <w:left w:w="0" w:type="dxa"/>
              <w:bottom w:w="0" w:type="dxa"/>
              <w:right w:w="0" w:type="dxa"/>
            </w:tcMar>
          </w:tcPr>
          <w:p w14:paraId="6952D2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295D780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05" w:type="pct"/>
            <w:tcBorders>
              <w:left w:val="nil"/>
              <w:right w:val="nil"/>
            </w:tcBorders>
            <w:tcMar>
              <w:top w:w="0" w:type="dxa"/>
              <w:left w:w="0" w:type="dxa"/>
              <w:bottom w:w="0" w:type="dxa"/>
              <w:right w:w="0" w:type="dxa"/>
            </w:tcMar>
          </w:tcPr>
          <w:p w14:paraId="01D2858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940DD16" w14:textId="77777777" w:rsidTr="00EB26FE">
        <w:tc>
          <w:tcPr>
            <w:tcW w:w="2955" w:type="pct"/>
            <w:tcBorders>
              <w:left w:val="nil"/>
              <w:right w:val="nil"/>
            </w:tcBorders>
            <w:tcMar>
              <w:top w:w="0" w:type="dxa"/>
              <w:left w:w="0" w:type="dxa"/>
              <w:bottom w:w="0" w:type="dxa"/>
              <w:right w:w="0" w:type="dxa"/>
            </w:tcMar>
          </w:tcPr>
          <w:p w14:paraId="4CA76D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bottom w:val="single" w:sz="6" w:space="0" w:color="000000"/>
              <w:right w:val="nil"/>
            </w:tcBorders>
            <w:tcMar>
              <w:top w:w="0" w:type="dxa"/>
              <w:left w:w="0" w:type="dxa"/>
              <w:bottom w:w="0" w:type="dxa"/>
              <w:right w:w="0" w:type="dxa"/>
            </w:tcMar>
          </w:tcPr>
          <w:p w14:paraId="4E1E1DC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05" w:type="pct"/>
            <w:tcBorders>
              <w:left w:val="nil"/>
              <w:bottom w:val="single" w:sz="6" w:space="0" w:color="000000"/>
              <w:right w:val="nil"/>
            </w:tcBorders>
            <w:tcMar>
              <w:top w:w="0" w:type="dxa"/>
              <w:left w:w="0" w:type="dxa"/>
              <w:bottom w:w="0" w:type="dxa"/>
              <w:right w:w="0" w:type="dxa"/>
            </w:tcMar>
          </w:tcPr>
          <w:p w14:paraId="7468F30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22D703E5" w14:textId="77777777" w:rsidTr="00EB26FE">
        <w:tc>
          <w:tcPr>
            <w:tcW w:w="2955" w:type="pct"/>
            <w:tcBorders>
              <w:left w:val="nil"/>
              <w:right w:val="nil"/>
            </w:tcBorders>
            <w:tcMar>
              <w:top w:w="0" w:type="dxa"/>
              <w:left w:w="0" w:type="dxa"/>
              <w:bottom w:w="0" w:type="dxa"/>
              <w:right w:w="0" w:type="dxa"/>
            </w:tcMar>
          </w:tcPr>
          <w:p w14:paraId="486E8B0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53D7828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w:t>
            </w:r>
          </w:p>
        </w:tc>
        <w:tc>
          <w:tcPr>
            <w:tcW w:w="1705" w:type="pct"/>
            <w:tcBorders>
              <w:left w:val="nil"/>
              <w:right w:val="nil"/>
            </w:tcBorders>
            <w:tcMar>
              <w:top w:w="0" w:type="dxa"/>
              <w:left w:w="0" w:type="dxa"/>
              <w:bottom w:w="0" w:type="dxa"/>
              <w:right w:w="0" w:type="dxa"/>
            </w:tcMar>
          </w:tcPr>
          <w:p w14:paraId="0DB639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Mark W. Reynolds</w:t>
            </w:r>
          </w:p>
        </w:tc>
      </w:tr>
      <w:tr w:rsidR="00AE3C59" w:rsidRPr="00AE3C59" w14:paraId="20CDBB1F" w14:textId="77777777" w:rsidTr="00EB26FE">
        <w:tc>
          <w:tcPr>
            <w:tcW w:w="2955" w:type="pct"/>
            <w:tcBorders>
              <w:left w:val="nil"/>
              <w:right w:val="nil"/>
            </w:tcBorders>
            <w:tcMar>
              <w:top w:w="0" w:type="dxa"/>
              <w:left w:w="0" w:type="dxa"/>
              <w:bottom w:w="0" w:type="dxa"/>
              <w:right w:w="0" w:type="dxa"/>
            </w:tcMar>
          </w:tcPr>
          <w:p w14:paraId="2DBD208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40" w:type="pct"/>
            <w:tcBorders>
              <w:left w:val="nil"/>
              <w:right w:val="nil"/>
            </w:tcBorders>
            <w:tcMar>
              <w:top w:w="0" w:type="dxa"/>
              <w:left w:w="0" w:type="dxa"/>
              <w:bottom w:w="0" w:type="dxa"/>
              <w:right w:w="0" w:type="dxa"/>
            </w:tcMar>
          </w:tcPr>
          <w:p w14:paraId="4B96186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w:t>
            </w:r>
          </w:p>
        </w:tc>
        <w:tc>
          <w:tcPr>
            <w:tcW w:w="1705" w:type="pct"/>
            <w:tcBorders>
              <w:left w:val="nil"/>
              <w:right w:val="nil"/>
            </w:tcBorders>
            <w:tcMar>
              <w:top w:w="0" w:type="dxa"/>
              <w:left w:w="0" w:type="dxa"/>
              <w:bottom w:w="0" w:type="dxa"/>
              <w:right w:w="0" w:type="dxa"/>
            </w:tcMar>
          </w:tcPr>
          <w:p w14:paraId="5832680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Chief Financial Officer</w:t>
            </w:r>
          </w:p>
        </w:tc>
      </w:tr>
    </w:tbl>
    <w:p w14:paraId="0F90614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F1233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E175F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D781F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45ACBD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A4A4A1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088E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64AB9B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[SIGNATURE PAGE TO OFFICERS’ CERTIFICATE]</w:t>
      </w:r>
    </w:p>
    <w:p w14:paraId="3BC2735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CFF214"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1D86AD74"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br w:type="page"/>
      </w:r>
    </w:p>
    <w:p w14:paraId="52B8F9DB"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lastRenderedPageBreak/>
        <w:t>EXHIBIT C</w:t>
      </w:r>
    </w:p>
    <w:p w14:paraId="1D5621A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C56988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126531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SECRETARY’S CERTIFICATE</w:t>
      </w:r>
    </w:p>
    <w:p w14:paraId="664EE10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B1C195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0042CB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p w14:paraId="3B343EB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571BAB"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September [___], 2020</w:t>
      </w:r>
    </w:p>
    <w:p w14:paraId="4ECD5C5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75D558B"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acting solely in his capacity as the duly elected, qualified and acting Secretary of GeoVax Labs, Inc., a Delaware corporation (the “</w:t>
      </w:r>
      <w:r w:rsidRPr="00AE3C59">
        <w:rPr>
          <w:rFonts w:ascii="Times New Roman" w:eastAsia="Times New Roman" w:hAnsi="Times New Roman" w:cs="Times New Roman"/>
          <w:sz w:val="20"/>
          <w:szCs w:val="20"/>
          <w:u w:val="single"/>
          <w:lang w:val="en-US" w:eastAsia="en-US" w:bidi="ar-SA"/>
        </w:rPr>
        <w:t>Company</w:t>
      </w:r>
      <w:r w:rsidRPr="00AE3C59">
        <w:rPr>
          <w:rFonts w:ascii="Times New Roman" w:eastAsia="Times New Roman" w:hAnsi="Times New Roman" w:cs="Times New Roman"/>
          <w:sz w:val="20"/>
          <w:szCs w:val="20"/>
          <w:lang w:val="en-US" w:eastAsia="en-US" w:bidi="ar-SA"/>
        </w:rPr>
        <w:t>”), and not in his individual capacity, hereby gives this certificate pursuant to Section 2.3(</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of that certain underwriting agreement, dated September [___], 2020, by and between the Company and Maxim Group LLC, as representative of the several Underwriters, if any, named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thereto (the “</w:t>
      </w:r>
      <w:r w:rsidRPr="00AE3C59">
        <w:rPr>
          <w:rFonts w:ascii="Times New Roman" w:eastAsia="Times New Roman" w:hAnsi="Times New Roman" w:cs="Times New Roman"/>
          <w:sz w:val="20"/>
          <w:szCs w:val="20"/>
          <w:u w:val="single"/>
          <w:lang w:val="en-US" w:eastAsia="en-US" w:bidi="ar-SA"/>
        </w:rPr>
        <w:t>Underwriting Agreement</w:t>
      </w:r>
      <w:r w:rsidRPr="00AE3C59">
        <w:rPr>
          <w:rFonts w:ascii="Times New Roman" w:eastAsia="Times New Roman" w:hAnsi="Times New Roman" w:cs="Times New Roman"/>
          <w:sz w:val="20"/>
          <w:szCs w:val="20"/>
          <w:lang w:val="en-US" w:eastAsia="en-US" w:bidi="ar-SA"/>
        </w:rPr>
        <w:t>”). Unless otherwise defined herein, the capitalized terms used herein shall have the meanings ascribed to them in the Underwriting Agreement.</w:t>
      </w:r>
    </w:p>
    <w:p w14:paraId="12A795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226FCE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 ], Secretary of the Company, hereby certifies as of the date hereof as follows:</w:t>
      </w:r>
    </w:p>
    <w:p w14:paraId="6CC1BE1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FA6D98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1.       Attached hereto as </w:t>
      </w:r>
      <w:r w:rsidRPr="00AE3C59">
        <w:rPr>
          <w:rFonts w:ascii="Times New Roman" w:eastAsia="Times New Roman" w:hAnsi="Times New Roman" w:cs="Times New Roman"/>
          <w:sz w:val="20"/>
          <w:szCs w:val="20"/>
          <w:u w:val="single"/>
          <w:lang w:val="en-US" w:eastAsia="en-US" w:bidi="ar-SA"/>
        </w:rPr>
        <w:t>Exhibit A</w:t>
      </w:r>
      <w:r w:rsidRPr="00AE3C59">
        <w:rPr>
          <w:rFonts w:ascii="Times New Roman" w:eastAsia="Times New Roman" w:hAnsi="Times New Roman" w:cs="Times New Roman"/>
          <w:sz w:val="20"/>
          <w:szCs w:val="20"/>
          <w:lang w:val="en-US" w:eastAsia="en-US" w:bidi="ar-SA"/>
        </w:rPr>
        <w:t xml:space="preserve"> is a true, correct and complete copy of the Company’s amended and restated certificate of incorporation, as further amended, in effect on the date hereof (the “</w:t>
      </w:r>
      <w:r w:rsidRPr="00AE3C59">
        <w:rPr>
          <w:rFonts w:ascii="Times New Roman" w:eastAsia="Times New Roman" w:hAnsi="Times New Roman" w:cs="Times New Roman"/>
          <w:sz w:val="20"/>
          <w:szCs w:val="20"/>
          <w:u w:val="single"/>
          <w:lang w:val="en-US" w:eastAsia="en-US" w:bidi="ar-SA"/>
        </w:rPr>
        <w:t>Certificate of Incorporation</w:t>
      </w:r>
      <w:r w:rsidRPr="00AE3C59">
        <w:rPr>
          <w:rFonts w:ascii="Times New Roman" w:eastAsia="Times New Roman" w:hAnsi="Times New Roman" w:cs="Times New Roman"/>
          <w:sz w:val="20"/>
          <w:szCs w:val="20"/>
          <w:lang w:val="en-US" w:eastAsia="en-US" w:bidi="ar-SA"/>
        </w:rPr>
        <w:t>”). The Certificate of Incorporation is in full force and effect on the date hereof, and no amendments or modifications to the Certificate of Incorporation have been authorized or filed with the Secretary of State of the State of Delaware. </w:t>
      </w:r>
    </w:p>
    <w:p w14:paraId="1EF3705A" w14:textId="77777777" w:rsidR="00AE3C59" w:rsidRPr="00AE3C59" w:rsidRDefault="00AE3C59" w:rsidP="00AE3C59">
      <w:pPr>
        <w:spacing w:after="0" w:line="240" w:lineRule="auto"/>
        <w:ind w:left="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29E689"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2.       Attached hereto as </w:t>
      </w:r>
      <w:r w:rsidRPr="00AE3C59">
        <w:rPr>
          <w:rFonts w:ascii="Times New Roman" w:eastAsia="Times New Roman" w:hAnsi="Times New Roman" w:cs="Times New Roman"/>
          <w:sz w:val="20"/>
          <w:szCs w:val="20"/>
          <w:u w:val="single"/>
          <w:lang w:val="en-US" w:eastAsia="en-US" w:bidi="ar-SA"/>
        </w:rPr>
        <w:t>Exhibit B</w:t>
      </w:r>
      <w:r w:rsidRPr="00AE3C59">
        <w:rPr>
          <w:rFonts w:ascii="Times New Roman" w:eastAsia="Times New Roman" w:hAnsi="Times New Roman" w:cs="Times New Roman"/>
          <w:sz w:val="20"/>
          <w:szCs w:val="20"/>
          <w:lang w:val="en-US" w:eastAsia="en-US" w:bidi="ar-SA"/>
        </w:rPr>
        <w:t xml:space="preserve"> is a true, correct and complete copy of the Company’s amended and restated bylaws, in effect on the date hereof (the “</w:t>
      </w:r>
      <w:r w:rsidRPr="00AE3C59">
        <w:rPr>
          <w:rFonts w:ascii="Times New Roman" w:eastAsia="Times New Roman" w:hAnsi="Times New Roman" w:cs="Times New Roman"/>
          <w:sz w:val="20"/>
          <w:szCs w:val="20"/>
          <w:u w:val="single"/>
          <w:lang w:val="en-US" w:eastAsia="en-US" w:bidi="ar-SA"/>
        </w:rPr>
        <w:t>Bylaws</w:t>
      </w:r>
      <w:r w:rsidRPr="00AE3C59">
        <w:rPr>
          <w:rFonts w:ascii="Times New Roman" w:eastAsia="Times New Roman" w:hAnsi="Times New Roman" w:cs="Times New Roman"/>
          <w:sz w:val="20"/>
          <w:szCs w:val="20"/>
          <w:lang w:val="en-US" w:eastAsia="en-US" w:bidi="ar-SA"/>
        </w:rPr>
        <w:t>”), and no amendments or modifications to the Bylaws have been authorized. </w:t>
      </w:r>
    </w:p>
    <w:p w14:paraId="6E7E1EA9" w14:textId="77777777" w:rsidR="00AE3C59" w:rsidRPr="00AE3C59" w:rsidRDefault="00AE3C59" w:rsidP="00AE3C59">
      <w:pPr>
        <w:spacing w:after="0" w:line="240" w:lineRule="auto"/>
        <w:ind w:left="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76B343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3.       Attached hereto as </w:t>
      </w:r>
      <w:r w:rsidRPr="00AE3C59">
        <w:rPr>
          <w:rFonts w:ascii="Times New Roman" w:eastAsia="Times New Roman" w:hAnsi="Times New Roman" w:cs="Times New Roman"/>
          <w:sz w:val="20"/>
          <w:szCs w:val="20"/>
          <w:u w:val="single"/>
          <w:lang w:val="en-US" w:eastAsia="en-US" w:bidi="ar-SA"/>
        </w:rPr>
        <w:t>Exhibit C</w:t>
      </w:r>
      <w:r w:rsidRPr="00AE3C59">
        <w:rPr>
          <w:rFonts w:ascii="Times New Roman" w:eastAsia="Times New Roman" w:hAnsi="Times New Roman" w:cs="Times New Roman"/>
          <w:sz w:val="20"/>
          <w:szCs w:val="20"/>
          <w:lang w:val="en-US" w:eastAsia="en-US" w:bidi="ar-SA"/>
        </w:rPr>
        <w:t xml:space="preserve"> is a true, correct and complete copies of resolutions duly adopted by the Company’s board of directors or a committee thereof at meetings held on [____], 2020, in which the transactions contemplated by the Registration Statement, the Prospectus and the Transaction Documents were authorized and approved. Such resolutions are in full force and effect, have not been amended, modified or rescinded and are the only resolutions related to the subject matter thereof.</w:t>
      </w:r>
    </w:p>
    <w:p w14:paraId="66BE7DA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4E6D2D2"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4.       Each person who, as a director or officer of the Company, signed, and delivered by facsimile, portable document file (.pdf) or otherwise (a) the Underwriting Agreement, (b) the Transaction Documents and (c) any and all other documents or instruments executed and delivered to the Representative in connection with the transactions contemplated by the Underwriting Agreement, was duly elected or appointed, qualified and acting as such director or officer, and was duly authorized to execute and deliver such documents or other instruments at the respective times of such execution and delivery.</w:t>
      </w:r>
    </w:p>
    <w:p w14:paraId="16329EC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010B2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5.       All persons who, as officers or directors of the Company or attorneys-in-fact of such officers or directors, signed, and delivered by facsimile, portable document file (.pdf) or otherwise: (a) the Registration Statement on Form S-1, as amended (File No. 333-239958), that the Company filed with the Commission on July 20, 2020, and [____], which was subsequently declared effective by the Commission on [____], 2020, and (b) any and all other documents or instruments executed and delivered to the Commission in connection with such Registration Statement were, at the respective times of such signing, delivery or filing, duly elected or appointed, qualified and acting as such director, officer or duly appointed and acting as such attorney-in-fact, and the signatures of such persons appearing on such documents are their genuine signatures or true facsimiles or portable document thereof.</w:t>
      </w:r>
    </w:p>
    <w:p w14:paraId="5614F9F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DC6075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6.       Attached hereto as </w:t>
      </w:r>
      <w:r w:rsidRPr="00AE3C59">
        <w:rPr>
          <w:rFonts w:ascii="Times New Roman" w:eastAsia="Times New Roman" w:hAnsi="Times New Roman" w:cs="Times New Roman"/>
          <w:sz w:val="20"/>
          <w:szCs w:val="20"/>
          <w:u w:val="single"/>
          <w:lang w:val="en-US" w:eastAsia="en-US" w:bidi="ar-SA"/>
        </w:rPr>
        <w:t>Exhibit D</w:t>
      </w:r>
      <w:r w:rsidRPr="00AE3C59">
        <w:rPr>
          <w:rFonts w:ascii="Times New Roman" w:eastAsia="Times New Roman" w:hAnsi="Times New Roman" w:cs="Times New Roman"/>
          <w:sz w:val="20"/>
          <w:szCs w:val="20"/>
          <w:lang w:val="en-US" w:eastAsia="en-US" w:bidi="ar-SA"/>
        </w:rPr>
        <w:t xml:space="preserve"> are true, correct and complete copies of a good standing (or equivalent) certificate as of a recent date for the Company and each Subsidiary by the relevant authority of its jurisdiction of incorporation or organization, and such certificates attached thereto have not been amended (except as attached thereto) since the date reflected thereon.</w:t>
      </w:r>
    </w:p>
    <w:p w14:paraId="31147E8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47E16D"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7.     David A. Dodd, the Company’s Chief Executive Officer, has executed and delivered on behalf of the Company the Underwriting Agreement and the other Transaction Documents.</w:t>
      </w:r>
    </w:p>
    <w:p w14:paraId="32A01C9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376A35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w:t>
      </w:r>
      <w:r w:rsidRPr="00AE3C59">
        <w:rPr>
          <w:rFonts w:ascii="Times New Roman" w:eastAsia="Times New Roman" w:hAnsi="Times New Roman" w:cs="Times New Roman"/>
          <w:sz w:val="20"/>
          <w:szCs w:val="20"/>
          <w:lang w:val="en-US" w:eastAsia="en-US" w:bidi="ar-SA"/>
        </w:rPr>
        <w:lastRenderedPageBreak/>
        <w:t xml:space="preserve">other transactions described in the Transaction Documents, and each of the Underwriters,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and Womble Bond Dickinson (US) LLP are entitled to rely on this Certificate for such purpose and (if applicable) in connection with the delivery by such counsel of their respective legal opinions and negative assurance statement.</w:t>
      </w:r>
    </w:p>
    <w:p w14:paraId="39659840" w14:textId="77777777" w:rsidR="00AE3C59" w:rsidRPr="00AE3C59" w:rsidRDefault="00AE3C59" w:rsidP="00AE3C59">
      <w:pPr>
        <w:spacing w:after="0" w:line="240" w:lineRule="auto"/>
        <w:ind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98E9FF4"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This certificate may be executed in multiple counterparts, each of which shall be deemed an original, and all of which taken together shall constitute one and the same instrument. Delivery of an executed signature page of this certificate by electronic or facsimile transmission shall be as effective as delivery of a manually executed counterpart hereof.</w:t>
      </w:r>
    </w:p>
    <w:p w14:paraId="3F9AF8C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747D446"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[Signature page follows]</w:t>
      </w:r>
    </w:p>
    <w:p w14:paraId="59A7485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18DF876"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p>
    <w:p w14:paraId="3E8180B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933A8A7" w14:textId="77777777" w:rsidR="00AE3C59" w:rsidRPr="00AE3C59" w:rsidRDefault="00AE3C59" w:rsidP="00AE3C59">
      <w:pPr>
        <w:spacing w:after="0" w:line="240" w:lineRule="auto"/>
        <w:ind w:firstLine="720"/>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b/>
          <w:bCs/>
          <w:sz w:val="20"/>
          <w:szCs w:val="20"/>
          <w:lang w:val="en-US" w:eastAsia="en-US" w:bidi="ar-SA"/>
        </w:rPr>
        <w:lastRenderedPageBreak/>
        <w:t>IN WITNESS WHEREOF</w:t>
      </w:r>
      <w:r w:rsidRPr="00AE3C59">
        <w:rPr>
          <w:rFonts w:ascii="Times New Roman" w:eastAsia="Times New Roman" w:hAnsi="Times New Roman" w:cs="Times New Roman"/>
          <w:sz w:val="20"/>
          <w:szCs w:val="20"/>
          <w:lang w:val="en-US" w:eastAsia="en-US" w:bidi="ar-SA"/>
        </w:rPr>
        <w:t>, I have hereunder signed my name on this [__] day of September, 2020.</w:t>
      </w:r>
    </w:p>
    <w:p w14:paraId="1DD9C824"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6DFCCC4"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2BF642E"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968"/>
        <w:gridCol w:w="3974"/>
        <w:gridCol w:w="994"/>
      </w:tblGrid>
      <w:tr w:rsidR="00AE3C59" w:rsidRPr="00AE3C59" w14:paraId="538A1A5D" w14:textId="77777777" w:rsidTr="00EB26FE">
        <w:tc>
          <w:tcPr>
            <w:tcW w:w="2500" w:type="pct"/>
            <w:tcBorders>
              <w:left w:val="nil"/>
              <w:right w:val="nil"/>
            </w:tcBorders>
            <w:tcMar>
              <w:top w:w="0" w:type="dxa"/>
              <w:left w:w="0" w:type="dxa"/>
              <w:bottom w:w="0" w:type="dxa"/>
              <w:right w:w="0" w:type="dxa"/>
            </w:tcMar>
          </w:tcPr>
          <w:p w14:paraId="5372FE8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000" w:type="pct"/>
            <w:tcBorders>
              <w:left w:val="nil"/>
              <w:bottom w:val="single" w:sz="6" w:space="0" w:color="000000"/>
              <w:right w:val="nil"/>
            </w:tcBorders>
            <w:tcMar>
              <w:top w:w="0" w:type="dxa"/>
              <w:left w:w="0" w:type="dxa"/>
              <w:bottom w:w="0" w:type="dxa"/>
              <w:right w:w="0" w:type="dxa"/>
            </w:tcMar>
          </w:tcPr>
          <w:p w14:paraId="7D9BFF6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64A2C5C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54856A1D" w14:textId="77777777" w:rsidTr="00EB26FE">
        <w:tc>
          <w:tcPr>
            <w:tcW w:w="2500" w:type="pct"/>
            <w:tcBorders>
              <w:left w:val="nil"/>
              <w:right w:val="nil"/>
            </w:tcBorders>
            <w:tcMar>
              <w:top w:w="0" w:type="dxa"/>
              <w:left w:w="0" w:type="dxa"/>
              <w:bottom w:w="0" w:type="dxa"/>
              <w:right w:w="0" w:type="dxa"/>
            </w:tcMar>
          </w:tcPr>
          <w:p w14:paraId="74224F0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633EB94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Mark W. Reynolds</w:t>
            </w:r>
          </w:p>
        </w:tc>
        <w:tc>
          <w:tcPr>
            <w:tcW w:w="500" w:type="pct"/>
            <w:tcBorders>
              <w:left w:val="nil"/>
              <w:right w:val="nil"/>
            </w:tcBorders>
            <w:tcMar>
              <w:top w:w="0" w:type="dxa"/>
              <w:left w:w="0" w:type="dxa"/>
              <w:bottom w:w="0" w:type="dxa"/>
              <w:right w:w="0" w:type="dxa"/>
            </w:tcMar>
          </w:tcPr>
          <w:p w14:paraId="78579F4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A67A799" w14:textId="77777777" w:rsidTr="00EB26FE">
        <w:tc>
          <w:tcPr>
            <w:tcW w:w="2500" w:type="pct"/>
            <w:tcBorders>
              <w:left w:val="nil"/>
              <w:right w:val="nil"/>
            </w:tcBorders>
            <w:tcMar>
              <w:top w:w="0" w:type="dxa"/>
              <w:left w:w="0" w:type="dxa"/>
              <w:bottom w:w="0" w:type="dxa"/>
              <w:right w:w="0" w:type="dxa"/>
            </w:tcMar>
          </w:tcPr>
          <w:p w14:paraId="1D44AAC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6E58A91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5A5C1A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0306FA7F" w14:textId="77777777" w:rsidTr="00EB26FE">
        <w:tc>
          <w:tcPr>
            <w:tcW w:w="2500" w:type="pct"/>
            <w:tcBorders>
              <w:left w:val="nil"/>
              <w:right w:val="nil"/>
            </w:tcBorders>
            <w:tcMar>
              <w:top w:w="0" w:type="dxa"/>
              <w:left w:w="0" w:type="dxa"/>
              <w:bottom w:w="0" w:type="dxa"/>
              <w:right w:w="0" w:type="dxa"/>
            </w:tcMar>
          </w:tcPr>
          <w:p w14:paraId="159561B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000" w:type="pct"/>
            <w:tcBorders>
              <w:left w:val="nil"/>
              <w:right w:val="nil"/>
            </w:tcBorders>
            <w:tcMar>
              <w:top w:w="0" w:type="dxa"/>
              <w:left w:w="0" w:type="dxa"/>
              <w:bottom w:w="0" w:type="dxa"/>
              <w:right w:w="0" w:type="dxa"/>
            </w:tcMar>
          </w:tcPr>
          <w:p w14:paraId="1ED267C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Secretary</w:t>
            </w:r>
          </w:p>
        </w:tc>
        <w:tc>
          <w:tcPr>
            <w:tcW w:w="500" w:type="pct"/>
            <w:tcBorders>
              <w:left w:val="nil"/>
              <w:right w:val="nil"/>
            </w:tcBorders>
            <w:tcMar>
              <w:top w:w="0" w:type="dxa"/>
              <w:left w:w="0" w:type="dxa"/>
              <w:bottom w:w="0" w:type="dxa"/>
              <w:right w:w="0" w:type="dxa"/>
            </w:tcMar>
          </w:tcPr>
          <w:p w14:paraId="08E2E20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3DC4919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911EAD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F6BA959"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undersigned as Chief Executive Officer of the Company hereby certifies that Mark W. Reynolds is the duly elected, appointed, qualified and acting Secretary of the Company, and that the signature appearing above is his genuine signature.</w:t>
      </w:r>
    </w:p>
    <w:p w14:paraId="604CBA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A3A9D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3B863A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3D37B3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32A074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974"/>
        <w:gridCol w:w="5962"/>
      </w:tblGrid>
      <w:tr w:rsidR="00AE3C59" w:rsidRPr="00AE3C59" w14:paraId="7A7C676D" w14:textId="77777777" w:rsidTr="00EB26FE">
        <w:tc>
          <w:tcPr>
            <w:tcW w:w="2000" w:type="pct"/>
            <w:tcBorders>
              <w:left w:val="nil"/>
              <w:bottom w:val="single" w:sz="6" w:space="0" w:color="000000"/>
              <w:right w:val="nil"/>
            </w:tcBorders>
            <w:tcMar>
              <w:top w:w="0" w:type="dxa"/>
              <w:left w:w="0" w:type="dxa"/>
              <w:bottom w:w="0" w:type="dxa"/>
              <w:right w:w="0" w:type="dxa"/>
            </w:tcMar>
          </w:tcPr>
          <w:p w14:paraId="5E67028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000" w:type="pct"/>
            <w:tcBorders>
              <w:left w:val="nil"/>
              <w:right w:val="nil"/>
            </w:tcBorders>
            <w:tcMar>
              <w:top w:w="0" w:type="dxa"/>
              <w:left w:w="0" w:type="dxa"/>
              <w:bottom w:w="0" w:type="dxa"/>
              <w:right w:w="0" w:type="dxa"/>
            </w:tcMar>
          </w:tcPr>
          <w:p w14:paraId="30D8713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5C7967D5" w14:textId="77777777" w:rsidTr="00EB26FE">
        <w:tc>
          <w:tcPr>
            <w:tcW w:w="2000" w:type="pct"/>
            <w:tcBorders>
              <w:left w:val="nil"/>
              <w:right w:val="nil"/>
            </w:tcBorders>
            <w:tcMar>
              <w:top w:w="0" w:type="dxa"/>
              <w:left w:w="0" w:type="dxa"/>
              <w:bottom w:w="0" w:type="dxa"/>
              <w:right w:w="0" w:type="dxa"/>
            </w:tcMar>
          </w:tcPr>
          <w:p w14:paraId="1198CAF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David A. Dodd, Chief Executive Officer</w:t>
            </w:r>
          </w:p>
        </w:tc>
        <w:tc>
          <w:tcPr>
            <w:tcW w:w="3000" w:type="pct"/>
            <w:tcBorders>
              <w:left w:val="nil"/>
              <w:right w:val="nil"/>
            </w:tcBorders>
            <w:tcMar>
              <w:top w:w="0" w:type="dxa"/>
              <w:left w:w="0" w:type="dxa"/>
              <w:bottom w:w="0" w:type="dxa"/>
              <w:right w:w="0" w:type="dxa"/>
            </w:tcMar>
          </w:tcPr>
          <w:p w14:paraId="2DB038A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38912D1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47AEB7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AA761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251C42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5DFDE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77BEC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4DEB73B"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[Signature page to GeoVax Lab, Inc. Secretary’s Certificate] </w:t>
      </w:r>
    </w:p>
    <w:p w14:paraId="0F280B4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46840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sz w:val="20"/>
          <w:szCs w:val="20"/>
          <w:lang w:val="en-US" w:eastAsia="en-US" w:bidi="ar-SA"/>
        </w:rPr>
        <w:lastRenderedPageBreak/>
        <w:t> </w:t>
      </w:r>
    </w:p>
    <w:p w14:paraId="4242FDF1" w14:textId="77777777" w:rsidR="00AE3C59" w:rsidRPr="00AE3C59" w:rsidRDefault="00AE3C59" w:rsidP="00AE3C59">
      <w:pPr>
        <w:spacing w:after="0" w:line="240" w:lineRule="auto"/>
        <w:jc w:val="center"/>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Secretary’s Certificate</w:t>
      </w:r>
    </w:p>
    <w:p w14:paraId="1F14EFC1"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13E737E"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E15AF9"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Exhibit A</w:t>
      </w:r>
    </w:p>
    <w:p w14:paraId="076BF72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F43E7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C0C819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6D55AF2"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Certificate of Incorporation</w:t>
      </w:r>
    </w:p>
    <w:p w14:paraId="220ED9D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EC8FF5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FF7FFA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8175DBF" w14:textId="77777777" w:rsidR="00AE3C59" w:rsidRPr="00AE3C59" w:rsidRDefault="00AE3C59" w:rsidP="00AE3C59">
      <w:pPr>
        <w:spacing w:after="0" w:line="240" w:lineRule="auto"/>
        <w:jc w:val="center"/>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Secretary’s Certificate</w:t>
      </w:r>
    </w:p>
    <w:p w14:paraId="5374252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C22E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98EE0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954481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Exhibit B</w:t>
      </w:r>
    </w:p>
    <w:p w14:paraId="515D4AE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30E750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CAB63F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6276C01"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Bylaws</w:t>
      </w:r>
    </w:p>
    <w:p w14:paraId="21672859"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D83AAD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3D98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91702E2" w14:textId="77777777" w:rsidR="00AE3C59" w:rsidRPr="00AE3C59" w:rsidRDefault="00AE3C59" w:rsidP="00AE3C59">
      <w:pPr>
        <w:spacing w:after="0" w:line="240" w:lineRule="auto"/>
        <w:jc w:val="center"/>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Secretary’s Certificate</w:t>
      </w:r>
    </w:p>
    <w:p w14:paraId="12D670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7A19EF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E5B406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C2290D"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Exhibit C</w:t>
      </w:r>
    </w:p>
    <w:p w14:paraId="0CADA0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BFAF0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D9358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BE7B5C9"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Board Resolutions</w:t>
      </w:r>
    </w:p>
    <w:p w14:paraId="0335EB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68E49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BA73C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9C11D4E" w14:textId="77777777" w:rsidR="00AE3C59" w:rsidRPr="00AE3C59" w:rsidRDefault="00AE3C59" w:rsidP="00AE3C59">
      <w:pPr>
        <w:spacing w:after="0" w:line="240" w:lineRule="auto"/>
        <w:jc w:val="center"/>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Secretary’s Certificate</w:t>
      </w:r>
    </w:p>
    <w:p w14:paraId="408E102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0F7C3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1C48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193B5D"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Exhibit D</w:t>
      </w:r>
    </w:p>
    <w:p w14:paraId="29076A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944D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06D515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D6080F"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Good Standing Certificates</w:t>
      </w:r>
    </w:p>
    <w:p w14:paraId="3A00340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4D8598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br w:type="page"/>
      </w:r>
      <w:r w:rsidRPr="00AE3C59">
        <w:rPr>
          <w:rFonts w:ascii="Times New Roman" w:eastAsia="Times New Roman" w:hAnsi="Times New Roman" w:cs="Times New Roman"/>
          <w:b/>
          <w:bCs/>
          <w:sz w:val="20"/>
          <w:szCs w:val="20"/>
          <w:u w:val="single"/>
          <w:lang w:val="en-US" w:eastAsia="en-US" w:bidi="ar-SA"/>
        </w:rPr>
        <w:lastRenderedPageBreak/>
        <w:t>EXHIBIT D</w:t>
      </w:r>
    </w:p>
    <w:p w14:paraId="6AEFE60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058DE7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3C5BEE3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CHIEF FINANCIAL OFFICER’S CERTIFICATE</w:t>
      </w:r>
    </w:p>
    <w:p w14:paraId="2DCEDCD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3FC1A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992536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D96969E" w14:textId="77777777" w:rsidR="00AE3C59" w:rsidRPr="00AE3C59" w:rsidRDefault="00AE3C59" w:rsidP="00AE3C59">
      <w:pPr>
        <w:spacing w:after="0" w:line="240" w:lineRule="auto"/>
        <w:jc w:val="center"/>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GEOVAX LABS, INC.</w:t>
      </w:r>
    </w:p>
    <w:p w14:paraId="451D236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9E532DE"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September [____], 2020</w:t>
      </w:r>
    </w:p>
    <w:p w14:paraId="38DD247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6CC134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 Mark W. Reynolds, do hereby certify that I am the Chief Financial Officer of GeoVax Labs, Inc., a Delaware corporation (the “</w:t>
      </w:r>
      <w:r w:rsidRPr="00AE3C59">
        <w:rPr>
          <w:rFonts w:ascii="Times New Roman" w:eastAsia="Times New Roman" w:hAnsi="Times New Roman" w:cs="Times New Roman"/>
          <w:sz w:val="20"/>
          <w:szCs w:val="20"/>
          <w:u w:val="single"/>
          <w:lang w:val="en-US" w:eastAsia="en-US" w:bidi="ar-SA"/>
        </w:rPr>
        <w:t>Company</w:t>
      </w:r>
      <w:r w:rsidRPr="00AE3C59">
        <w:rPr>
          <w:rFonts w:ascii="Times New Roman" w:eastAsia="Times New Roman" w:hAnsi="Times New Roman" w:cs="Times New Roman"/>
          <w:sz w:val="20"/>
          <w:szCs w:val="20"/>
          <w:lang w:val="en-US" w:eastAsia="en-US" w:bidi="ar-SA"/>
        </w:rPr>
        <w:t>”), and, in my capacity as such and not in any individual capacity, and based upon a diligent examination of the financial records of the Company, the scope and nature of such examination being designed to identify information relevant to the subjects addressed below, do hereby certify to the Representative (as defined below) that:</w:t>
      </w:r>
    </w:p>
    <w:p w14:paraId="2E0CCA9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C59C8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       I am providing this certificate in connection with the offering (the “</w:t>
      </w:r>
      <w:r w:rsidRPr="00AE3C59">
        <w:rPr>
          <w:rFonts w:ascii="Times New Roman" w:eastAsia="Times New Roman" w:hAnsi="Times New Roman" w:cs="Times New Roman"/>
          <w:sz w:val="20"/>
          <w:szCs w:val="20"/>
          <w:u w:val="single"/>
          <w:lang w:val="en-US" w:eastAsia="en-US" w:bidi="ar-SA"/>
        </w:rPr>
        <w:t>Offering</w:t>
      </w:r>
      <w:r w:rsidRPr="00AE3C59">
        <w:rPr>
          <w:rFonts w:ascii="Times New Roman" w:eastAsia="Times New Roman" w:hAnsi="Times New Roman" w:cs="Times New Roman"/>
          <w:sz w:val="20"/>
          <w:szCs w:val="20"/>
          <w:lang w:val="en-US" w:eastAsia="en-US" w:bidi="ar-SA"/>
        </w:rPr>
        <w:t>”) by the Company of an aggregate of [_____] Units (“</w:t>
      </w:r>
      <w:r w:rsidRPr="00AE3C59">
        <w:rPr>
          <w:rFonts w:ascii="Times New Roman" w:eastAsia="Times New Roman" w:hAnsi="Times New Roman" w:cs="Times New Roman"/>
          <w:sz w:val="20"/>
          <w:szCs w:val="20"/>
          <w:u w:val="single"/>
          <w:lang w:val="en-US" w:eastAsia="en-US" w:bidi="ar-SA"/>
        </w:rPr>
        <w:t>Units</w:t>
      </w:r>
      <w:r w:rsidRPr="00AE3C59">
        <w:rPr>
          <w:rFonts w:ascii="Times New Roman" w:eastAsia="Times New Roman" w:hAnsi="Times New Roman" w:cs="Times New Roman"/>
          <w:sz w:val="20"/>
          <w:szCs w:val="20"/>
          <w:lang w:val="en-US" w:eastAsia="en-US" w:bidi="ar-SA"/>
        </w:rPr>
        <w:t>”), with each Unit consisting of one share of the Company’s common stock, par value $0.001 per share (the “</w:t>
      </w:r>
      <w:r w:rsidRPr="00AE3C59">
        <w:rPr>
          <w:rFonts w:ascii="Times New Roman" w:eastAsia="Times New Roman" w:hAnsi="Times New Roman" w:cs="Times New Roman"/>
          <w:sz w:val="20"/>
          <w:szCs w:val="20"/>
          <w:u w:val="single"/>
          <w:lang w:val="en-US" w:eastAsia="en-US" w:bidi="ar-SA"/>
        </w:rPr>
        <w:t>Common Stock</w:t>
      </w:r>
      <w:r w:rsidRPr="00AE3C59">
        <w:rPr>
          <w:rFonts w:ascii="Times New Roman" w:eastAsia="Times New Roman" w:hAnsi="Times New Roman" w:cs="Times New Roman"/>
          <w:sz w:val="20"/>
          <w:szCs w:val="20"/>
          <w:lang w:val="en-US" w:eastAsia="en-US" w:bidi="ar-SA"/>
        </w:rPr>
        <w:t>”), and one warrant to purchase one share of Common Stock pursuant to Section 2.3(j) of that certain underwriting agreement, dated September [___], 2020 (the “</w:t>
      </w:r>
      <w:r w:rsidRPr="00AE3C59">
        <w:rPr>
          <w:rFonts w:ascii="Times New Roman" w:eastAsia="Times New Roman" w:hAnsi="Times New Roman" w:cs="Times New Roman"/>
          <w:sz w:val="20"/>
          <w:szCs w:val="20"/>
          <w:u w:val="single"/>
          <w:lang w:val="en-US" w:eastAsia="en-US" w:bidi="ar-SA"/>
        </w:rPr>
        <w:t>Underwriting Agreement</w:t>
      </w:r>
      <w:r w:rsidRPr="00AE3C59">
        <w:rPr>
          <w:rFonts w:ascii="Times New Roman" w:eastAsia="Times New Roman" w:hAnsi="Times New Roman" w:cs="Times New Roman"/>
          <w:sz w:val="20"/>
          <w:szCs w:val="20"/>
          <w:lang w:val="en-US" w:eastAsia="en-US" w:bidi="ar-SA"/>
        </w:rPr>
        <w:t xml:space="preserve">”), by and between the Company and Maxim Group LLC, as representative of the several Underwriters, if any, named on </w:t>
      </w:r>
      <w:r w:rsidRPr="00AE3C59">
        <w:rPr>
          <w:rFonts w:ascii="Times New Roman" w:eastAsia="Times New Roman" w:hAnsi="Times New Roman" w:cs="Times New Roman"/>
          <w:sz w:val="20"/>
          <w:szCs w:val="20"/>
          <w:u w:val="single"/>
          <w:lang w:val="en-US" w:eastAsia="en-US" w:bidi="ar-SA"/>
        </w:rPr>
        <w:t>Schedule I</w:t>
      </w:r>
      <w:r w:rsidRPr="00AE3C59">
        <w:rPr>
          <w:rFonts w:ascii="Times New Roman" w:eastAsia="Times New Roman" w:hAnsi="Times New Roman" w:cs="Times New Roman"/>
          <w:sz w:val="20"/>
          <w:szCs w:val="20"/>
          <w:lang w:val="en-US" w:eastAsia="en-US" w:bidi="ar-SA"/>
        </w:rPr>
        <w:t xml:space="preserve"> thereto. The Offering is being made pursuant to the registration statement on Form S-1, as amended (File No. 333-239958) (the “</w:t>
      </w:r>
      <w:r w:rsidRPr="00AE3C59">
        <w:rPr>
          <w:rFonts w:ascii="Times New Roman" w:eastAsia="Times New Roman" w:hAnsi="Times New Roman" w:cs="Times New Roman"/>
          <w:sz w:val="20"/>
          <w:szCs w:val="20"/>
          <w:u w:val="single"/>
          <w:lang w:val="en-US" w:eastAsia="en-US" w:bidi="ar-SA"/>
        </w:rPr>
        <w:t>Registration Statement</w:t>
      </w:r>
      <w:r w:rsidRPr="00AE3C59">
        <w:rPr>
          <w:rFonts w:ascii="Times New Roman" w:eastAsia="Times New Roman" w:hAnsi="Times New Roman" w:cs="Times New Roman"/>
          <w:sz w:val="20"/>
          <w:szCs w:val="20"/>
          <w:lang w:val="en-US" w:eastAsia="en-US" w:bidi="ar-SA"/>
        </w:rPr>
        <w:t>”), that was filed with the Securities and Exchange Commission (the “</w:t>
      </w:r>
      <w:r w:rsidRPr="00AE3C59">
        <w:rPr>
          <w:rFonts w:ascii="Times New Roman" w:eastAsia="Times New Roman" w:hAnsi="Times New Roman" w:cs="Times New Roman"/>
          <w:sz w:val="20"/>
          <w:szCs w:val="20"/>
          <w:u w:val="single"/>
          <w:lang w:val="en-US" w:eastAsia="en-US" w:bidi="ar-SA"/>
        </w:rPr>
        <w:t>SEC</w:t>
      </w:r>
      <w:r w:rsidRPr="00AE3C59">
        <w:rPr>
          <w:rFonts w:ascii="Times New Roman" w:eastAsia="Times New Roman" w:hAnsi="Times New Roman" w:cs="Times New Roman"/>
          <w:sz w:val="20"/>
          <w:szCs w:val="20"/>
          <w:lang w:val="en-US" w:eastAsia="en-US" w:bidi="ar-SA"/>
        </w:rPr>
        <w:t>”) under the Securities Act of 1933, as amended, and that was subsequently declared effective by the SEC on September [___], 2020. Unless otherwise defined herein, the capitalized terms used herein shall have the meanings ascribed to them in the Underwriting Agreement.</w:t>
      </w:r>
    </w:p>
    <w:p w14:paraId="27121F4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D4626B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       I am familiar with the accounting, operations and records systems of the Company and its subsidiaries and I have responsibility for the Company’s financial and accounting matters. I have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read the Registration Statement and the Prospectus; and (ii) supervised the compilation of and reviewed the financial information set forth in the Registration Statement and the Prospectus (collectively, the “</w:t>
      </w:r>
      <w:r w:rsidRPr="00AE3C59">
        <w:rPr>
          <w:rFonts w:ascii="Times New Roman" w:eastAsia="Times New Roman" w:hAnsi="Times New Roman" w:cs="Times New Roman"/>
          <w:sz w:val="20"/>
          <w:szCs w:val="20"/>
          <w:u w:val="single"/>
          <w:lang w:val="en-US" w:eastAsia="en-US" w:bidi="ar-SA"/>
        </w:rPr>
        <w:t>Financial Information</w:t>
      </w:r>
      <w:r w:rsidRPr="00AE3C59">
        <w:rPr>
          <w:rFonts w:ascii="Times New Roman" w:eastAsia="Times New Roman" w:hAnsi="Times New Roman" w:cs="Times New Roman"/>
          <w:sz w:val="20"/>
          <w:szCs w:val="20"/>
          <w:lang w:val="en-US" w:eastAsia="en-US" w:bidi="ar-SA"/>
        </w:rPr>
        <w:t>”). Such Financial Information has been derived from the applicable accounting or financial records of the Company or its subsidiaries, which I believe, to the best of my knowledge, are accurate, complete and reliable.</w:t>
      </w:r>
    </w:p>
    <w:p w14:paraId="0748A22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881CAA7"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3.       There were no significant decreases in the Company’s cash and cash equivalents, total current liabilities and operating expenses during the Company’s second quarter ended June 30, 2020 as compared with amounts shown on the Company’s unaudited interim financial statements for the fiscal quarter ended June 30, 2019, except as disclosed in the Registration Statement or the Prospectus.</w:t>
      </w:r>
    </w:p>
    <w:p w14:paraId="76480E4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558C10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4.       I have prepared or reviewed the amounts and information identified in the pages of the Registration Statement and the Prospectus [and Company’s presentation], attached as </w:t>
      </w:r>
      <w:r w:rsidRPr="00AE3C59">
        <w:rPr>
          <w:rFonts w:ascii="Times New Roman" w:eastAsia="Times New Roman" w:hAnsi="Times New Roman" w:cs="Times New Roman"/>
          <w:sz w:val="20"/>
          <w:szCs w:val="20"/>
          <w:u w:val="single"/>
          <w:lang w:val="en-US" w:eastAsia="en-US" w:bidi="ar-SA"/>
        </w:rPr>
        <w:t>Annex A</w:t>
      </w:r>
      <w:r w:rsidRPr="00AE3C59">
        <w:rPr>
          <w:rFonts w:ascii="Times New Roman" w:eastAsia="Times New Roman" w:hAnsi="Times New Roman" w:cs="Times New Roman"/>
          <w:sz w:val="20"/>
          <w:szCs w:val="20"/>
          <w:lang w:val="en-US" w:eastAsia="en-US" w:bidi="ar-SA"/>
        </w:rPr>
        <w:t xml:space="preserve"> hereto (collectively, the “</w:t>
      </w:r>
      <w:r w:rsidRPr="00AE3C59">
        <w:rPr>
          <w:rFonts w:ascii="Times New Roman" w:eastAsia="Times New Roman" w:hAnsi="Times New Roman" w:cs="Times New Roman"/>
          <w:sz w:val="20"/>
          <w:szCs w:val="20"/>
          <w:u w:val="single"/>
          <w:lang w:val="en-US" w:eastAsia="en-US" w:bidi="ar-SA"/>
        </w:rPr>
        <w:t>Financial and Numerical Information</w:t>
      </w:r>
      <w:r w:rsidRPr="00AE3C59">
        <w:rPr>
          <w:rFonts w:ascii="Times New Roman" w:eastAsia="Times New Roman" w:hAnsi="Times New Roman" w:cs="Times New Roman"/>
          <w:sz w:val="20"/>
          <w:szCs w:val="20"/>
          <w:lang w:val="en-US" w:eastAsia="en-US" w:bidi="ar-SA"/>
        </w:rPr>
        <w:t>”). To the best of my knowledge, such Financial and Numerical Information, as of the date hereof, matches or is accurately derived from the applicable accounting or financial records of the Company or its subsidiaries.</w:t>
      </w:r>
    </w:p>
    <w:p w14:paraId="78F2713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7EE9AA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This certificate is to assist the Underwriters in conducting and documenting their investigation of the affairs of the Company in connection with the Offering of the Securities pursuant to the terms of the Underwriting Agreement and the other transactions described in the Transaction Documents, and each of the Underwriters, </w:t>
      </w:r>
      <w:proofErr w:type="spellStart"/>
      <w:r w:rsidRPr="00AE3C59">
        <w:rPr>
          <w:rFonts w:ascii="Times New Roman" w:eastAsia="Times New Roman" w:hAnsi="Times New Roman" w:cs="Times New Roman"/>
          <w:sz w:val="20"/>
          <w:szCs w:val="20"/>
          <w:lang w:val="en-US" w:eastAsia="en-US" w:bidi="ar-SA"/>
        </w:rPr>
        <w:t>Lucosky</w:t>
      </w:r>
      <w:proofErr w:type="spellEnd"/>
      <w:r w:rsidRPr="00AE3C59">
        <w:rPr>
          <w:rFonts w:ascii="Times New Roman" w:eastAsia="Times New Roman" w:hAnsi="Times New Roman" w:cs="Times New Roman"/>
          <w:sz w:val="20"/>
          <w:szCs w:val="20"/>
          <w:lang w:val="en-US" w:eastAsia="en-US" w:bidi="ar-SA"/>
        </w:rPr>
        <w:t xml:space="preserve"> Brookman, LLP and Womble Bond Dickinson (US) LLP are entitled to rely on this Certificate for such purpose and (if applicable) in connection with the delivery by such counsel of their respective legal opinions and negative assurance statement.</w:t>
      </w:r>
    </w:p>
    <w:p w14:paraId="67B0F287" w14:textId="77777777" w:rsidR="00AE3C59" w:rsidRPr="00AE3C59" w:rsidRDefault="00AE3C59" w:rsidP="00AE3C59">
      <w:pPr>
        <w:spacing w:after="0" w:line="240" w:lineRule="auto"/>
        <w:ind w:firstLine="3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A5525C6" w14:textId="77777777" w:rsidR="00AE3C59" w:rsidRPr="00AE3C59" w:rsidRDefault="00AE3C59" w:rsidP="00AE3C59">
      <w:pPr>
        <w:spacing w:after="0" w:line="240" w:lineRule="auto"/>
        <w:jc w:val="center"/>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[Signature page follows]</w:t>
      </w:r>
    </w:p>
    <w:p w14:paraId="7F96D2A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sz w:val="20"/>
          <w:szCs w:val="20"/>
          <w:lang w:val="en-US" w:eastAsia="en-US" w:bidi="ar-SA"/>
        </w:rPr>
        <w:lastRenderedPageBreak/>
        <w:t> </w:t>
      </w:r>
    </w:p>
    <w:p w14:paraId="581C339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
    <w:p w14:paraId="4CF35F4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 WITNESS WHEREOF, the undersigned has executed and delivered this Chief Financial Officer Certificate on behalf of the Company as of the date first written above.</w:t>
      </w:r>
    </w:p>
    <w:p w14:paraId="2F99F3B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02788AD" w14:textId="77777777" w:rsidR="00AE3C59" w:rsidRPr="00AE3C59" w:rsidRDefault="00AE3C59" w:rsidP="00AE3C59">
      <w:pPr>
        <w:spacing w:after="0" w:line="240" w:lineRule="auto"/>
        <w:ind w:left="4320"/>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47B31C7B" w14:textId="77777777" w:rsidR="00AE3C59" w:rsidRPr="00AE3C59" w:rsidRDefault="00AE3C59" w:rsidP="00AE3C59">
      <w:pPr>
        <w:spacing w:after="0" w:line="240" w:lineRule="auto"/>
        <w:ind w:left="43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471"/>
        <w:gridCol w:w="308"/>
        <w:gridCol w:w="4173"/>
        <w:gridCol w:w="984"/>
      </w:tblGrid>
      <w:tr w:rsidR="00AE3C59" w:rsidRPr="00AE3C59" w14:paraId="0715EBAE" w14:textId="77777777" w:rsidTr="00EB26FE">
        <w:tc>
          <w:tcPr>
            <w:tcW w:w="2250" w:type="pct"/>
            <w:tcBorders>
              <w:left w:val="nil"/>
              <w:right w:val="nil"/>
            </w:tcBorders>
            <w:tcMar>
              <w:top w:w="0" w:type="dxa"/>
              <w:left w:w="0" w:type="dxa"/>
              <w:bottom w:w="0" w:type="dxa"/>
              <w:right w:w="0" w:type="dxa"/>
            </w:tcMar>
          </w:tcPr>
          <w:p w14:paraId="3D58670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0375A1A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52C683C4"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tc>
        <w:tc>
          <w:tcPr>
            <w:tcW w:w="500" w:type="pct"/>
            <w:tcBorders>
              <w:left w:val="nil"/>
              <w:right w:val="nil"/>
            </w:tcBorders>
            <w:tcMar>
              <w:top w:w="0" w:type="dxa"/>
              <w:left w:w="0" w:type="dxa"/>
              <w:bottom w:w="0" w:type="dxa"/>
              <w:right w:w="0" w:type="dxa"/>
            </w:tcMar>
          </w:tcPr>
          <w:p w14:paraId="24B9CDB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B7B6E6D" w14:textId="77777777" w:rsidTr="00EB26FE">
        <w:tc>
          <w:tcPr>
            <w:tcW w:w="2250" w:type="pct"/>
            <w:tcBorders>
              <w:left w:val="nil"/>
              <w:right w:val="nil"/>
            </w:tcBorders>
            <w:tcMar>
              <w:top w:w="0" w:type="dxa"/>
              <w:left w:w="0" w:type="dxa"/>
              <w:bottom w:w="0" w:type="dxa"/>
              <w:right w:w="0" w:type="dxa"/>
            </w:tcMar>
          </w:tcPr>
          <w:p w14:paraId="6EFF31E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4F2A2D8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2021805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404468F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1A71A08" w14:textId="77777777" w:rsidTr="00EB26FE">
        <w:tc>
          <w:tcPr>
            <w:tcW w:w="2250" w:type="pct"/>
            <w:tcBorders>
              <w:left w:val="nil"/>
              <w:right w:val="nil"/>
            </w:tcBorders>
            <w:tcMar>
              <w:top w:w="0" w:type="dxa"/>
              <w:left w:w="0" w:type="dxa"/>
              <w:bottom w:w="0" w:type="dxa"/>
              <w:right w:w="0" w:type="dxa"/>
            </w:tcMar>
          </w:tcPr>
          <w:p w14:paraId="694802E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0AA3E6F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4CE0F2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6CB9094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06D593F1" w14:textId="77777777" w:rsidTr="00EB26FE">
        <w:tc>
          <w:tcPr>
            <w:tcW w:w="2250" w:type="pct"/>
            <w:tcBorders>
              <w:left w:val="nil"/>
              <w:right w:val="nil"/>
            </w:tcBorders>
            <w:tcMar>
              <w:top w:w="0" w:type="dxa"/>
              <w:left w:w="0" w:type="dxa"/>
              <w:bottom w:w="0" w:type="dxa"/>
              <w:right w:w="0" w:type="dxa"/>
            </w:tcMar>
          </w:tcPr>
          <w:p w14:paraId="529E61F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212168B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By:</w:t>
            </w:r>
          </w:p>
        </w:tc>
        <w:tc>
          <w:tcPr>
            <w:tcW w:w="2100" w:type="pct"/>
            <w:tcBorders>
              <w:left w:val="nil"/>
              <w:bottom w:val="single" w:sz="6" w:space="0" w:color="000000"/>
              <w:right w:val="nil"/>
            </w:tcBorders>
            <w:tcMar>
              <w:top w:w="0" w:type="dxa"/>
              <w:left w:w="0" w:type="dxa"/>
              <w:bottom w:w="0" w:type="dxa"/>
              <w:right w:w="0" w:type="dxa"/>
            </w:tcMar>
          </w:tcPr>
          <w:p w14:paraId="19BB3DD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0" w:type="pct"/>
            <w:tcBorders>
              <w:left w:val="nil"/>
              <w:right w:val="nil"/>
            </w:tcBorders>
            <w:tcMar>
              <w:top w:w="0" w:type="dxa"/>
              <w:left w:w="0" w:type="dxa"/>
              <w:bottom w:w="0" w:type="dxa"/>
              <w:right w:w="0" w:type="dxa"/>
            </w:tcMar>
          </w:tcPr>
          <w:p w14:paraId="3F3F9F7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5F85E961" w14:textId="77777777" w:rsidTr="00EB26FE">
        <w:tc>
          <w:tcPr>
            <w:tcW w:w="2250" w:type="pct"/>
            <w:tcBorders>
              <w:left w:val="nil"/>
              <w:right w:val="nil"/>
            </w:tcBorders>
            <w:tcMar>
              <w:top w:w="0" w:type="dxa"/>
              <w:left w:w="0" w:type="dxa"/>
              <w:bottom w:w="0" w:type="dxa"/>
              <w:right w:w="0" w:type="dxa"/>
            </w:tcMar>
          </w:tcPr>
          <w:p w14:paraId="4A9933C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72635D9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690A21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Mark W. Reynolds</w:t>
            </w:r>
          </w:p>
        </w:tc>
        <w:tc>
          <w:tcPr>
            <w:tcW w:w="500" w:type="pct"/>
            <w:tcBorders>
              <w:left w:val="nil"/>
              <w:right w:val="nil"/>
            </w:tcBorders>
            <w:tcMar>
              <w:top w:w="0" w:type="dxa"/>
              <w:left w:w="0" w:type="dxa"/>
              <w:bottom w:w="0" w:type="dxa"/>
              <w:right w:w="0" w:type="dxa"/>
            </w:tcMar>
          </w:tcPr>
          <w:p w14:paraId="44B7F02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4CF5100" w14:textId="77777777" w:rsidTr="00EB26FE">
        <w:tc>
          <w:tcPr>
            <w:tcW w:w="2250" w:type="pct"/>
            <w:tcBorders>
              <w:left w:val="nil"/>
              <w:right w:val="nil"/>
            </w:tcBorders>
            <w:tcMar>
              <w:top w:w="0" w:type="dxa"/>
              <w:left w:w="0" w:type="dxa"/>
              <w:bottom w:w="0" w:type="dxa"/>
              <w:right w:w="0" w:type="dxa"/>
            </w:tcMar>
          </w:tcPr>
          <w:p w14:paraId="2F5711D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5" w:type="pct"/>
            <w:tcBorders>
              <w:left w:val="nil"/>
              <w:right w:val="nil"/>
            </w:tcBorders>
            <w:tcMar>
              <w:top w:w="0" w:type="dxa"/>
              <w:left w:w="0" w:type="dxa"/>
              <w:bottom w:w="0" w:type="dxa"/>
              <w:right w:w="0" w:type="dxa"/>
            </w:tcMar>
          </w:tcPr>
          <w:p w14:paraId="3A53682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100" w:type="pct"/>
            <w:tcBorders>
              <w:left w:val="nil"/>
              <w:right w:val="nil"/>
            </w:tcBorders>
            <w:tcMar>
              <w:top w:w="0" w:type="dxa"/>
              <w:left w:w="0" w:type="dxa"/>
              <w:bottom w:w="0" w:type="dxa"/>
              <w:right w:w="0" w:type="dxa"/>
            </w:tcMar>
          </w:tcPr>
          <w:p w14:paraId="2CCE6E5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Chief Financial Officer</w:t>
            </w:r>
          </w:p>
        </w:tc>
        <w:tc>
          <w:tcPr>
            <w:tcW w:w="500" w:type="pct"/>
            <w:tcBorders>
              <w:left w:val="nil"/>
              <w:right w:val="nil"/>
            </w:tcBorders>
            <w:tcMar>
              <w:top w:w="0" w:type="dxa"/>
              <w:left w:w="0" w:type="dxa"/>
              <w:bottom w:w="0" w:type="dxa"/>
              <w:right w:w="0" w:type="dxa"/>
            </w:tcMar>
          </w:tcPr>
          <w:p w14:paraId="066CBE5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7063195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4D0A6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387D31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CBB4A9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82966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745D9C8"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[Signature page to Chief Financial Officer Certificate—GeoVax Labs, Inc.]</w:t>
      </w:r>
    </w:p>
    <w:p w14:paraId="7DC0B0C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4AF4C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p>
    <w:p w14:paraId="2A9D1D2F"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lastRenderedPageBreak/>
        <w:t> </w:t>
      </w:r>
    </w:p>
    <w:p w14:paraId="687551F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EXHIBIT E</w:t>
      </w:r>
    </w:p>
    <w:p w14:paraId="77D64BE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32B5261"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60045589"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FORM OF WARRANT</w:t>
      </w:r>
    </w:p>
    <w:p w14:paraId="2152642E"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0D9F26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[attached hereto]</w:t>
      </w:r>
    </w:p>
    <w:p w14:paraId="743554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CF2C39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845395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2B48F4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EXHIBIT F</w:t>
      </w:r>
    </w:p>
    <w:p w14:paraId="03E948C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998D54" w14:textId="77777777" w:rsidR="00AE3C59" w:rsidRPr="00AE3C59" w:rsidRDefault="00AE3C59" w:rsidP="00AE3C59">
      <w:pPr>
        <w:tabs>
          <w:tab w:val="center" w:pos="4968"/>
          <w:tab w:val="left" w:pos="5789"/>
        </w:tabs>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b/>
        <w:t> </w:t>
      </w:r>
      <w:r w:rsidRPr="00AE3C59">
        <w:rPr>
          <w:rFonts w:ascii="Times New Roman" w:eastAsia="Times New Roman" w:hAnsi="Times New Roman" w:cs="Times New Roman"/>
          <w:b/>
          <w:bCs/>
          <w:sz w:val="20"/>
          <w:szCs w:val="20"/>
          <w:lang w:val="en-US" w:eastAsia="en-US" w:bidi="ar-SA"/>
        </w:rPr>
        <w:tab/>
      </w:r>
    </w:p>
    <w:p w14:paraId="48CF883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FORM OF REPRESENTATIVE’S WARRANT</w:t>
      </w:r>
    </w:p>
    <w:p w14:paraId="5CAA52E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0D3AE0A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[attached hereto]</w:t>
      </w:r>
    </w:p>
    <w:p w14:paraId="26C928C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2D55E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450D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027BDDE"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EXHIBIT G</w:t>
      </w:r>
    </w:p>
    <w:p w14:paraId="0FAB96F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4CA2BE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1B027C3D"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FORM OF WARRANT AGENT AGREEMENT</w:t>
      </w:r>
    </w:p>
    <w:p w14:paraId="4964F4D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4112D824"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[attached hereto]</w:t>
      </w:r>
    </w:p>
    <w:p w14:paraId="0AFAC1B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0E6146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5AA3AA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98836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EXHIBIT H</w:t>
      </w:r>
    </w:p>
    <w:p w14:paraId="0BF556B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0B831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7AB0EB6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FORM OF PRE-FUNDED WARRANT</w:t>
      </w:r>
    </w:p>
    <w:p w14:paraId="7044F89C"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2102591B"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[attached hereto]</w:t>
      </w:r>
    </w:p>
    <w:p w14:paraId="722131F4"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p>
    <w:p w14:paraId="7E8652F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lastRenderedPageBreak/>
        <w:t> </w:t>
      </w:r>
    </w:p>
    <w:p w14:paraId="022A2C0C"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26E87924"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GeoVax Labs, Inc. Underwriting Agreement Schedules</w:t>
      </w:r>
    </w:p>
    <w:p w14:paraId="3F7C1713"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68DF8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F9007C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b/>
          <w:bCs/>
          <w:sz w:val="20"/>
          <w:szCs w:val="20"/>
          <w:lang w:val="en-US" w:eastAsia="en-US" w:bidi="ar-SA"/>
        </w:rPr>
        <w:t>Schedule 3.1(a)</w:t>
      </w:r>
    </w:p>
    <w:p w14:paraId="3387358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Subsidiaries</w:t>
      </w:r>
    </w:p>
    <w:p w14:paraId="651E87B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F4A40D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GeoVax, Inc., a Georgia corporation (100% owned) *</w:t>
      </w:r>
    </w:p>
    <w:p w14:paraId="3EA74B0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proofErr w:type="spellStart"/>
      <w:r w:rsidRPr="00AE3C59">
        <w:rPr>
          <w:rFonts w:ascii="Times New Roman" w:eastAsia="Times New Roman" w:hAnsi="Times New Roman" w:cs="Times New Roman"/>
          <w:sz w:val="20"/>
          <w:szCs w:val="20"/>
          <w:lang w:val="en-US" w:eastAsia="en-US" w:bidi="ar-SA"/>
        </w:rPr>
        <w:t>Immutak</w:t>
      </w:r>
      <w:proofErr w:type="spellEnd"/>
      <w:r w:rsidRPr="00AE3C59">
        <w:rPr>
          <w:rFonts w:ascii="Times New Roman" w:eastAsia="Times New Roman" w:hAnsi="Times New Roman" w:cs="Times New Roman"/>
          <w:sz w:val="20"/>
          <w:szCs w:val="20"/>
          <w:lang w:val="en-US" w:eastAsia="en-US" w:bidi="ar-SA"/>
        </w:rPr>
        <w:t xml:space="preserve"> Oncology, Inc., a Delaware corporation (94% owned) *</w:t>
      </w:r>
    </w:p>
    <w:p w14:paraId="32F554B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8BF7A7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shares of these corporations owned by GeoVax Labs, Inc. were pledged as part of the Bridge Financing, as described in the Registration Statement.</w:t>
      </w:r>
    </w:p>
    <w:p w14:paraId="34C9475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8C201D0"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w:t>
      </w:r>
    </w:p>
    <w:p w14:paraId="35CC470E"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Schedule 3.1(h)</w:t>
      </w:r>
    </w:p>
    <w:p w14:paraId="78CEAA4A"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Capitalization</w:t>
      </w:r>
    </w:p>
    <w:p w14:paraId="2B67E0A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8347"/>
        <w:gridCol w:w="99"/>
        <w:gridCol w:w="99"/>
        <w:gridCol w:w="1292"/>
        <w:gridCol w:w="99"/>
      </w:tblGrid>
      <w:tr w:rsidR="00AE3C59" w:rsidRPr="00AE3C59" w14:paraId="173D54E3" w14:textId="77777777" w:rsidTr="00EB26FE">
        <w:tc>
          <w:tcPr>
            <w:tcW w:w="4200" w:type="pct"/>
            <w:tcBorders>
              <w:left w:val="nil"/>
              <w:right w:val="nil"/>
            </w:tcBorders>
            <w:tcMar>
              <w:top w:w="0" w:type="dxa"/>
              <w:left w:w="0" w:type="dxa"/>
              <w:bottom w:w="0" w:type="dxa"/>
              <w:right w:w="0" w:type="dxa"/>
            </w:tcMar>
            <w:vAlign w:val="center"/>
          </w:tcPr>
          <w:p w14:paraId="4B22459A"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Preferred Stock, $.01 par value</w:t>
            </w:r>
          </w:p>
        </w:tc>
        <w:tc>
          <w:tcPr>
            <w:tcW w:w="50" w:type="pct"/>
            <w:tcBorders>
              <w:left w:val="nil"/>
              <w:right w:val="nil"/>
            </w:tcBorders>
            <w:tcMar>
              <w:top w:w="0" w:type="dxa"/>
              <w:left w:w="0" w:type="dxa"/>
              <w:bottom w:w="0" w:type="dxa"/>
              <w:right w:w="0" w:type="dxa"/>
            </w:tcMar>
            <w:vAlign w:val="center"/>
          </w:tcPr>
          <w:p w14:paraId="7CD5041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center"/>
          </w:tcPr>
          <w:p w14:paraId="130B4D8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tcMar>
              <w:top w:w="0" w:type="dxa"/>
              <w:left w:w="0" w:type="dxa"/>
              <w:bottom w:w="0" w:type="dxa"/>
              <w:right w:w="0" w:type="dxa"/>
            </w:tcMar>
            <w:vAlign w:val="center"/>
          </w:tcPr>
          <w:p w14:paraId="33A95C01" w14:textId="77777777" w:rsidR="00AE3C59" w:rsidRPr="00AE3C59" w:rsidRDefault="00AE3C59" w:rsidP="00AE3C59">
            <w:pPr>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noWrap/>
            <w:tcMar>
              <w:top w:w="0" w:type="dxa"/>
              <w:left w:w="0" w:type="dxa"/>
              <w:bottom w:w="0" w:type="dxa"/>
              <w:right w:w="0" w:type="dxa"/>
            </w:tcMar>
            <w:vAlign w:val="center"/>
          </w:tcPr>
          <w:p w14:paraId="033B5BC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EAD71CC" w14:textId="77777777" w:rsidTr="00EB26FE">
        <w:tc>
          <w:tcPr>
            <w:tcW w:w="4200" w:type="pct"/>
            <w:tcBorders>
              <w:left w:val="nil"/>
              <w:right w:val="nil"/>
            </w:tcBorders>
            <w:shd w:val="clear" w:color="auto" w:fill="CCEEFF"/>
            <w:tcMar>
              <w:top w:w="0" w:type="dxa"/>
              <w:left w:w="720" w:type="dxa"/>
              <w:bottom w:w="0" w:type="dxa"/>
              <w:right w:w="0" w:type="dxa"/>
            </w:tcMar>
            <w:vAlign w:val="bottom"/>
          </w:tcPr>
          <w:p w14:paraId="26EE4FA7"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Shares Authorized</w:t>
            </w:r>
          </w:p>
        </w:tc>
        <w:tc>
          <w:tcPr>
            <w:tcW w:w="50" w:type="pct"/>
            <w:tcBorders>
              <w:left w:val="nil"/>
              <w:right w:val="nil"/>
            </w:tcBorders>
            <w:shd w:val="clear" w:color="auto" w:fill="CCEEFF"/>
            <w:tcMar>
              <w:top w:w="0" w:type="dxa"/>
              <w:left w:w="0" w:type="dxa"/>
              <w:bottom w:w="0" w:type="dxa"/>
              <w:right w:w="0" w:type="dxa"/>
            </w:tcMar>
            <w:vAlign w:val="bottom"/>
          </w:tcPr>
          <w:p w14:paraId="1F727337"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04BACBA4"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CCEEFF"/>
            <w:tcMar>
              <w:top w:w="0" w:type="dxa"/>
              <w:left w:w="0" w:type="dxa"/>
              <w:bottom w:w="0" w:type="dxa"/>
              <w:right w:w="0" w:type="dxa"/>
            </w:tcMar>
            <w:vAlign w:val="bottom"/>
          </w:tcPr>
          <w:p w14:paraId="0D231112"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10,000,000</w:t>
            </w:r>
          </w:p>
        </w:tc>
        <w:tc>
          <w:tcPr>
            <w:tcW w:w="50" w:type="pct"/>
            <w:tcBorders>
              <w:left w:val="nil"/>
              <w:right w:val="nil"/>
            </w:tcBorders>
            <w:shd w:val="clear" w:color="auto" w:fill="CCEEFF"/>
            <w:noWrap/>
            <w:tcMar>
              <w:top w:w="0" w:type="dxa"/>
              <w:left w:w="0" w:type="dxa"/>
              <w:bottom w:w="0" w:type="dxa"/>
              <w:right w:w="0" w:type="dxa"/>
            </w:tcMar>
            <w:vAlign w:val="bottom"/>
          </w:tcPr>
          <w:p w14:paraId="1552A5C0"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0F01B7A9" w14:textId="77777777" w:rsidTr="00EB26FE">
        <w:tc>
          <w:tcPr>
            <w:tcW w:w="0" w:type="auto"/>
            <w:tcBorders>
              <w:left w:val="nil"/>
              <w:right w:val="nil"/>
            </w:tcBorders>
            <w:shd w:val="clear" w:color="auto" w:fill="FFFFFF"/>
            <w:tcMar>
              <w:top w:w="0" w:type="dxa"/>
              <w:left w:w="720" w:type="dxa"/>
              <w:bottom w:w="0" w:type="dxa"/>
              <w:right w:w="0" w:type="dxa"/>
            </w:tcMar>
            <w:vAlign w:val="bottom"/>
          </w:tcPr>
          <w:p w14:paraId="7EF357AD"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Series B Convertible Preferred Stock, $1000 stated value, issued and outstanding</w:t>
            </w:r>
          </w:p>
        </w:tc>
        <w:tc>
          <w:tcPr>
            <w:tcW w:w="50" w:type="pct"/>
            <w:tcBorders>
              <w:left w:val="nil"/>
              <w:right w:val="nil"/>
            </w:tcBorders>
            <w:shd w:val="clear" w:color="auto" w:fill="FFFFFF"/>
            <w:tcMar>
              <w:top w:w="0" w:type="dxa"/>
              <w:left w:w="0" w:type="dxa"/>
              <w:bottom w:w="0" w:type="dxa"/>
              <w:right w:w="0" w:type="dxa"/>
            </w:tcMar>
            <w:vAlign w:val="bottom"/>
          </w:tcPr>
          <w:p w14:paraId="58778D5E"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7D77435C"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FFFFFF"/>
            <w:tcMar>
              <w:top w:w="0" w:type="dxa"/>
              <w:left w:w="0" w:type="dxa"/>
              <w:bottom w:w="0" w:type="dxa"/>
              <w:right w:w="0" w:type="dxa"/>
            </w:tcMar>
            <w:vAlign w:val="bottom"/>
          </w:tcPr>
          <w:p w14:paraId="6360160F" w14:textId="77777777" w:rsidR="00AE3C59" w:rsidRPr="00AE3C59" w:rsidRDefault="00AE3C59" w:rsidP="00AE3C59">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100</w:t>
            </w:r>
          </w:p>
        </w:tc>
        <w:tc>
          <w:tcPr>
            <w:tcW w:w="50" w:type="pct"/>
            <w:tcBorders>
              <w:left w:val="nil"/>
              <w:right w:val="nil"/>
            </w:tcBorders>
            <w:shd w:val="clear" w:color="auto" w:fill="FFFFFF"/>
            <w:noWrap/>
            <w:tcMar>
              <w:top w:w="0" w:type="dxa"/>
              <w:left w:w="0" w:type="dxa"/>
              <w:bottom w:w="0" w:type="dxa"/>
              <w:right w:w="0" w:type="dxa"/>
            </w:tcMar>
            <w:vAlign w:val="bottom"/>
          </w:tcPr>
          <w:p w14:paraId="783B1E2E"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4FEF8611"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b/>
          <w:bCs/>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8347"/>
        <w:gridCol w:w="99"/>
        <w:gridCol w:w="99"/>
        <w:gridCol w:w="1292"/>
        <w:gridCol w:w="99"/>
      </w:tblGrid>
      <w:tr w:rsidR="00AE3C59" w:rsidRPr="00AE3C59" w14:paraId="2D20EFAD" w14:textId="77777777" w:rsidTr="00EB26FE">
        <w:tc>
          <w:tcPr>
            <w:tcW w:w="4200" w:type="pct"/>
            <w:tcBorders>
              <w:left w:val="nil"/>
              <w:right w:val="nil"/>
            </w:tcBorders>
            <w:tcMar>
              <w:top w:w="0" w:type="dxa"/>
              <w:left w:w="0" w:type="dxa"/>
              <w:bottom w:w="0" w:type="dxa"/>
              <w:right w:w="0" w:type="dxa"/>
            </w:tcMar>
            <w:vAlign w:val="center"/>
          </w:tcPr>
          <w:p w14:paraId="32F71271"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Common Stock, $.001 par value</w:t>
            </w:r>
          </w:p>
        </w:tc>
        <w:tc>
          <w:tcPr>
            <w:tcW w:w="50" w:type="pct"/>
            <w:tcBorders>
              <w:left w:val="nil"/>
              <w:right w:val="nil"/>
            </w:tcBorders>
            <w:tcMar>
              <w:top w:w="0" w:type="dxa"/>
              <w:left w:w="0" w:type="dxa"/>
              <w:bottom w:w="0" w:type="dxa"/>
              <w:right w:w="0" w:type="dxa"/>
            </w:tcMar>
            <w:vAlign w:val="center"/>
          </w:tcPr>
          <w:p w14:paraId="4B8B51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center"/>
          </w:tcPr>
          <w:p w14:paraId="3ACF885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tcMar>
              <w:top w:w="0" w:type="dxa"/>
              <w:left w:w="0" w:type="dxa"/>
              <w:bottom w:w="0" w:type="dxa"/>
              <w:right w:w="0" w:type="dxa"/>
            </w:tcMar>
            <w:vAlign w:val="center"/>
          </w:tcPr>
          <w:p w14:paraId="46AD2B6C" w14:textId="77777777" w:rsidR="00AE3C59" w:rsidRPr="00AE3C59" w:rsidRDefault="00AE3C59" w:rsidP="00AE3C59">
            <w:pPr>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noWrap/>
            <w:tcMar>
              <w:top w:w="0" w:type="dxa"/>
              <w:left w:w="0" w:type="dxa"/>
              <w:bottom w:w="0" w:type="dxa"/>
              <w:right w:w="0" w:type="dxa"/>
            </w:tcMar>
            <w:vAlign w:val="center"/>
          </w:tcPr>
          <w:p w14:paraId="7C67973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F6E1B2C" w14:textId="77777777" w:rsidTr="00EB26FE">
        <w:tc>
          <w:tcPr>
            <w:tcW w:w="4200" w:type="pct"/>
            <w:tcBorders>
              <w:left w:val="nil"/>
              <w:right w:val="nil"/>
            </w:tcBorders>
            <w:shd w:val="clear" w:color="auto" w:fill="CCEEFF"/>
            <w:tcMar>
              <w:top w:w="0" w:type="dxa"/>
              <w:left w:w="720" w:type="dxa"/>
              <w:bottom w:w="0" w:type="dxa"/>
              <w:right w:w="0" w:type="dxa"/>
            </w:tcMar>
            <w:vAlign w:val="bottom"/>
          </w:tcPr>
          <w:p w14:paraId="63977977"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Shares Authorized</w:t>
            </w:r>
          </w:p>
        </w:tc>
        <w:tc>
          <w:tcPr>
            <w:tcW w:w="50" w:type="pct"/>
            <w:tcBorders>
              <w:left w:val="nil"/>
              <w:right w:val="nil"/>
            </w:tcBorders>
            <w:shd w:val="clear" w:color="auto" w:fill="CCEEFF"/>
            <w:tcMar>
              <w:top w:w="0" w:type="dxa"/>
              <w:left w:w="0" w:type="dxa"/>
              <w:bottom w:w="0" w:type="dxa"/>
              <w:right w:w="0" w:type="dxa"/>
            </w:tcMar>
            <w:vAlign w:val="bottom"/>
          </w:tcPr>
          <w:p w14:paraId="451BBE38"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545D4B13"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CCEEFF"/>
            <w:tcMar>
              <w:top w:w="0" w:type="dxa"/>
              <w:left w:w="0" w:type="dxa"/>
              <w:bottom w:w="0" w:type="dxa"/>
              <w:right w:w="0" w:type="dxa"/>
            </w:tcMar>
            <w:vAlign w:val="bottom"/>
          </w:tcPr>
          <w:p w14:paraId="1A1604DA"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600,000,000</w:t>
            </w:r>
          </w:p>
        </w:tc>
        <w:tc>
          <w:tcPr>
            <w:tcW w:w="50" w:type="pct"/>
            <w:tcBorders>
              <w:left w:val="nil"/>
              <w:right w:val="nil"/>
            </w:tcBorders>
            <w:shd w:val="clear" w:color="auto" w:fill="CCEEFF"/>
            <w:noWrap/>
            <w:tcMar>
              <w:top w:w="0" w:type="dxa"/>
              <w:left w:w="0" w:type="dxa"/>
              <w:bottom w:w="0" w:type="dxa"/>
              <w:right w:w="0" w:type="dxa"/>
            </w:tcMar>
            <w:vAlign w:val="bottom"/>
          </w:tcPr>
          <w:p w14:paraId="59C4D6B7"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35542AEF" w14:textId="77777777" w:rsidTr="00EB26FE">
        <w:tc>
          <w:tcPr>
            <w:tcW w:w="0" w:type="auto"/>
            <w:tcBorders>
              <w:left w:val="nil"/>
              <w:right w:val="nil"/>
            </w:tcBorders>
            <w:shd w:val="clear" w:color="auto" w:fill="FFFFFF"/>
            <w:tcMar>
              <w:top w:w="0" w:type="dxa"/>
              <w:left w:w="720" w:type="dxa"/>
              <w:bottom w:w="0" w:type="dxa"/>
              <w:right w:w="0" w:type="dxa"/>
            </w:tcMar>
            <w:vAlign w:val="bottom"/>
          </w:tcPr>
          <w:p w14:paraId="6E154804"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Shares Outstanding</w:t>
            </w:r>
          </w:p>
        </w:tc>
        <w:tc>
          <w:tcPr>
            <w:tcW w:w="50" w:type="pct"/>
            <w:tcBorders>
              <w:left w:val="nil"/>
              <w:right w:val="nil"/>
            </w:tcBorders>
            <w:shd w:val="clear" w:color="auto" w:fill="FFFFFF"/>
            <w:tcMar>
              <w:top w:w="0" w:type="dxa"/>
              <w:left w:w="0" w:type="dxa"/>
              <w:bottom w:w="0" w:type="dxa"/>
              <w:right w:w="0" w:type="dxa"/>
            </w:tcMar>
            <w:vAlign w:val="bottom"/>
          </w:tcPr>
          <w:p w14:paraId="4178A3FC"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4C37CEFE"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50" w:type="pct"/>
            <w:tcBorders>
              <w:left w:val="nil"/>
              <w:right w:val="nil"/>
            </w:tcBorders>
            <w:shd w:val="clear" w:color="auto" w:fill="FFFFFF"/>
            <w:tcMar>
              <w:top w:w="0" w:type="dxa"/>
              <w:left w:w="0" w:type="dxa"/>
              <w:bottom w:w="0" w:type="dxa"/>
              <w:right w:w="0" w:type="dxa"/>
            </w:tcMar>
            <w:vAlign w:val="bottom"/>
          </w:tcPr>
          <w:p w14:paraId="140CB4F3" w14:textId="77777777" w:rsidR="00AE3C59" w:rsidRPr="00AE3C59" w:rsidRDefault="00AE3C59" w:rsidP="00AE3C59">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15,436,913</w:t>
            </w:r>
          </w:p>
        </w:tc>
        <w:tc>
          <w:tcPr>
            <w:tcW w:w="50" w:type="pct"/>
            <w:tcBorders>
              <w:left w:val="nil"/>
              <w:right w:val="nil"/>
            </w:tcBorders>
            <w:shd w:val="clear" w:color="auto" w:fill="FFFFFF"/>
            <w:noWrap/>
            <w:tcMar>
              <w:top w:w="0" w:type="dxa"/>
              <w:left w:w="0" w:type="dxa"/>
              <w:bottom w:w="0" w:type="dxa"/>
              <w:right w:w="0" w:type="dxa"/>
            </w:tcMar>
            <w:vAlign w:val="bottom"/>
          </w:tcPr>
          <w:p w14:paraId="46869D7A"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78FFF5F4"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8B7766"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Stock Options</w:t>
      </w:r>
    </w:p>
    <w:p w14:paraId="17702AF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As a result of reverse stock splits effected in April 2019 and January 2020, the Company’s existing stock option grants were adjusted to a de minimis amount. On June 19, 2020, the Company adopted the 2020 Stock Incentive Plan and reserved 5,000,000 shares for future issuance pursuant to the Plan. The Company expects to resume stock option grants at appropriate levels to its employees and directors.</w:t>
      </w:r>
    </w:p>
    <w:p w14:paraId="452C43C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311"/>
        <w:gridCol w:w="490"/>
        <w:gridCol w:w="612"/>
        <w:gridCol w:w="490"/>
        <w:gridCol w:w="108"/>
        <w:gridCol w:w="108"/>
        <w:gridCol w:w="109"/>
        <w:gridCol w:w="1637"/>
        <w:gridCol w:w="109"/>
        <w:gridCol w:w="109"/>
        <w:gridCol w:w="109"/>
        <w:gridCol w:w="1510"/>
        <w:gridCol w:w="234"/>
      </w:tblGrid>
      <w:tr w:rsidR="00AE3C59" w:rsidRPr="00AE3C59" w14:paraId="0996D4DD" w14:textId="77777777" w:rsidTr="00EB26FE">
        <w:tc>
          <w:tcPr>
            <w:tcW w:w="1700" w:type="pct"/>
            <w:tcBorders>
              <w:left w:val="nil"/>
              <w:right w:val="nil"/>
            </w:tcBorders>
            <w:tcMar>
              <w:top w:w="0" w:type="dxa"/>
              <w:left w:w="0" w:type="dxa"/>
              <w:bottom w:w="0" w:type="dxa"/>
              <w:right w:w="0" w:type="dxa"/>
            </w:tcMar>
            <w:vAlign w:val="bottom"/>
          </w:tcPr>
          <w:p w14:paraId="4E321106"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Stock Purchase Warrants</w:t>
            </w:r>
          </w:p>
        </w:tc>
        <w:tc>
          <w:tcPr>
            <w:tcW w:w="200" w:type="pct"/>
            <w:gridSpan w:val="3"/>
            <w:tcBorders>
              <w:top w:val="nil"/>
              <w:left w:val="nil"/>
              <w:bottom w:val="single" w:sz="12" w:space="0" w:color="000000"/>
              <w:right w:val="nil"/>
            </w:tcBorders>
            <w:tcMar>
              <w:top w:w="0" w:type="dxa"/>
              <w:left w:w="0" w:type="dxa"/>
              <w:bottom w:w="0" w:type="dxa"/>
              <w:right w:w="0" w:type="dxa"/>
            </w:tcMar>
            <w:vAlign w:val="bottom"/>
          </w:tcPr>
          <w:p w14:paraId="71C3EF3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Expiration</w:t>
            </w:r>
          </w:p>
        </w:tc>
        <w:tc>
          <w:tcPr>
            <w:tcW w:w="50" w:type="pct"/>
            <w:tcBorders>
              <w:left w:val="nil"/>
              <w:right w:val="nil"/>
            </w:tcBorders>
            <w:tcMar>
              <w:top w:w="0" w:type="dxa"/>
              <w:left w:w="0" w:type="dxa"/>
              <w:bottom w:w="0" w:type="dxa"/>
              <w:right w:w="0" w:type="dxa"/>
            </w:tcMar>
            <w:vAlign w:val="bottom"/>
          </w:tcPr>
          <w:p w14:paraId="04BC06B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bottom"/>
          </w:tcPr>
          <w:p w14:paraId="3C5B55B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gridSpan w:val="2"/>
            <w:tcBorders>
              <w:top w:val="nil"/>
              <w:left w:val="nil"/>
              <w:bottom w:val="single" w:sz="6" w:space="0" w:color="000000"/>
              <w:right w:val="nil"/>
            </w:tcBorders>
            <w:tcMar>
              <w:top w:w="0" w:type="dxa"/>
              <w:left w:w="0" w:type="dxa"/>
              <w:bottom w:w="0" w:type="dxa"/>
              <w:right w:w="0" w:type="dxa"/>
            </w:tcMar>
            <w:vAlign w:val="bottom"/>
          </w:tcPr>
          <w:p w14:paraId="16F3BA74"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 Price</w:t>
            </w:r>
          </w:p>
        </w:tc>
        <w:tc>
          <w:tcPr>
            <w:tcW w:w="50" w:type="pct"/>
            <w:tcBorders>
              <w:left w:val="nil"/>
              <w:right w:val="nil"/>
            </w:tcBorders>
            <w:tcMar>
              <w:top w:w="0" w:type="dxa"/>
              <w:left w:w="0" w:type="dxa"/>
              <w:bottom w:w="15" w:type="dxa"/>
              <w:right w:w="0" w:type="dxa"/>
            </w:tcMar>
            <w:vAlign w:val="bottom"/>
          </w:tcPr>
          <w:p w14:paraId="1F44A26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tcMar>
              <w:top w:w="0" w:type="dxa"/>
              <w:left w:w="0" w:type="dxa"/>
              <w:bottom w:w="0" w:type="dxa"/>
              <w:right w:w="0" w:type="dxa"/>
            </w:tcMar>
            <w:vAlign w:val="bottom"/>
          </w:tcPr>
          <w:p w14:paraId="2715F32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gridSpan w:val="2"/>
            <w:tcBorders>
              <w:top w:val="nil"/>
              <w:left w:val="nil"/>
              <w:bottom w:val="single" w:sz="6" w:space="0" w:color="000000"/>
              <w:right w:val="nil"/>
            </w:tcBorders>
            <w:tcMar>
              <w:top w:w="0" w:type="dxa"/>
              <w:left w:w="0" w:type="dxa"/>
              <w:bottom w:w="0" w:type="dxa"/>
              <w:right w:w="0" w:type="dxa"/>
            </w:tcMar>
            <w:vAlign w:val="bottom"/>
          </w:tcPr>
          <w:p w14:paraId="101CD996"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Shares</w:t>
            </w:r>
          </w:p>
        </w:tc>
        <w:tc>
          <w:tcPr>
            <w:tcW w:w="50" w:type="pct"/>
            <w:tcBorders>
              <w:left w:val="nil"/>
              <w:right w:val="nil"/>
            </w:tcBorders>
            <w:tcMar>
              <w:top w:w="0" w:type="dxa"/>
              <w:left w:w="0" w:type="dxa"/>
              <w:bottom w:w="15" w:type="dxa"/>
              <w:right w:w="0" w:type="dxa"/>
            </w:tcMar>
            <w:vAlign w:val="bottom"/>
          </w:tcPr>
          <w:p w14:paraId="3DD4037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2D9F5B85" w14:textId="77777777" w:rsidTr="00EB26FE">
        <w:tc>
          <w:tcPr>
            <w:tcW w:w="1700" w:type="pct"/>
            <w:tcBorders>
              <w:left w:val="nil"/>
              <w:right w:val="nil"/>
            </w:tcBorders>
            <w:shd w:val="clear" w:color="auto" w:fill="CCEEFF"/>
            <w:tcMar>
              <w:top w:w="0" w:type="dxa"/>
              <w:left w:w="720" w:type="dxa"/>
              <w:bottom w:w="0" w:type="dxa"/>
              <w:right w:w="0" w:type="dxa"/>
            </w:tcMar>
            <w:vAlign w:val="bottom"/>
          </w:tcPr>
          <w:p w14:paraId="7A70DED3"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Series I Warrants</w:t>
            </w:r>
          </w:p>
        </w:tc>
        <w:tc>
          <w:tcPr>
            <w:tcW w:w="200" w:type="pct"/>
            <w:tcBorders>
              <w:left w:val="nil"/>
              <w:right w:val="nil"/>
            </w:tcBorders>
            <w:shd w:val="clear" w:color="auto" w:fill="CCEEFF"/>
            <w:tcMar>
              <w:top w:w="0" w:type="dxa"/>
              <w:left w:w="0" w:type="dxa"/>
              <w:bottom w:w="0" w:type="dxa"/>
              <w:right w:w="0" w:type="dxa"/>
            </w:tcMar>
            <w:vAlign w:val="bottom"/>
          </w:tcPr>
          <w:p w14:paraId="57213BDD"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Aug</w:t>
            </w:r>
          </w:p>
        </w:tc>
        <w:tc>
          <w:tcPr>
            <w:tcW w:w="200" w:type="pct"/>
            <w:tcBorders>
              <w:left w:val="nil"/>
              <w:right w:val="nil"/>
            </w:tcBorders>
            <w:shd w:val="clear" w:color="auto" w:fill="CCEEFF"/>
            <w:tcMar>
              <w:top w:w="0" w:type="dxa"/>
              <w:left w:w="0" w:type="dxa"/>
              <w:bottom w:w="0" w:type="dxa"/>
              <w:right w:w="0" w:type="dxa"/>
            </w:tcMar>
            <w:vAlign w:val="bottom"/>
          </w:tcPr>
          <w:p w14:paraId="310266D3" w14:textId="77777777" w:rsidR="00AE3C59" w:rsidRPr="00AE3C59" w:rsidRDefault="00AE3C59" w:rsidP="00AE3C59">
            <w:pPr>
              <w:shd w:val="clear" w:color="auto" w:fill="CCEEFF"/>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tc>
        <w:tc>
          <w:tcPr>
            <w:tcW w:w="200" w:type="pct"/>
            <w:tcBorders>
              <w:left w:val="nil"/>
              <w:right w:val="nil"/>
            </w:tcBorders>
            <w:shd w:val="clear" w:color="auto" w:fill="CCEEFF"/>
            <w:tcMar>
              <w:top w:w="0" w:type="dxa"/>
              <w:left w:w="0" w:type="dxa"/>
              <w:bottom w:w="0" w:type="dxa"/>
              <w:right w:w="0" w:type="dxa"/>
            </w:tcMar>
            <w:vAlign w:val="bottom"/>
          </w:tcPr>
          <w:p w14:paraId="442F88D0"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Dec 24</w:t>
            </w:r>
          </w:p>
        </w:tc>
        <w:tc>
          <w:tcPr>
            <w:tcW w:w="50" w:type="pct"/>
            <w:tcBorders>
              <w:left w:val="nil"/>
              <w:right w:val="nil"/>
            </w:tcBorders>
            <w:shd w:val="clear" w:color="auto" w:fill="CCEEFF"/>
            <w:tcMar>
              <w:top w:w="0" w:type="dxa"/>
              <w:left w:w="0" w:type="dxa"/>
              <w:bottom w:w="0" w:type="dxa"/>
              <w:right w:w="0" w:type="dxa"/>
            </w:tcMar>
            <w:vAlign w:val="bottom"/>
          </w:tcPr>
          <w:p w14:paraId="6EA07D6F"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1DF8FE6B"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74450258"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tc>
        <w:tc>
          <w:tcPr>
            <w:tcW w:w="650" w:type="pct"/>
            <w:tcBorders>
              <w:left w:val="nil"/>
              <w:right w:val="nil"/>
            </w:tcBorders>
            <w:shd w:val="clear" w:color="auto" w:fill="CCEEFF"/>
            <w:tcMar>
              <w:top w:w="0" w:type="dxa"/>
              <w:left w:w="0" w:type="dxa"/>
              <w:bottom w:w="0" w:type="dxa"/>
              <w:right w:w="0" w:type="dxa"/>
            </w:tcMar>
            <w:vAlign w:val="bottom"/>
          </w:tcPr>
          <w:p w14:paraId="1677E202"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0.50</w:t>
            </w:r>
          </w:p>
        </w:tc>
        <w:tc>
          <w:tcPr>
            <w:tcW w:w="50" w:type="pct"/>
            <w:tcBorders>
              <w:left w:val="nil"/>
              <w:right w:val="nil"/>
            </w:tcBorders>
            <w:shd w:val="clear" w:color="auto" w:fill="CCEEFF"/>
            <w:noWrap/>
            <w:tcMar>
              <w:top w:w="0" w:type="dxa"/>
              <w:left w:w="0" w:type="dxa"/>
              <w:bottom w:w="0" w:type="dxa"/>
              <w:right w:w="0" w:type="dxa"/>
            </w:tcMar>
            <w:vAlign w:val="bottom"/>
          </w:tcPr>
          <w:p w14:paraId="102619E8"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20BC8F15"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7CC9DC23"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shd w:val="clear" w:color="auto" w:fill="CCEEFF"/>
            <w:tcMar>
              <w:top w:w="0" w:type="dxa"/>
              <w:left w:w="0" w:type="dxa"/>
              <w:bottom w:w="0" w:type="dxa"/>
              <w:right w:w="0" w:type="dxa"/>
            </w:tcMar>
            <w:vAlign w:val="bottom"/>
          </w:tcPr>
          <w:p w14:paraId="670F1DCD"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626,264</w:t>
            </w:r>
          </w:p>
        </w:tc>
        <w:tc>
          <w:tcPr>
            <w:tcW w:w="50" w:type="pct"/>
            <w:tcBorders>
              <w:left w:val="nil"/>
              <w:right w:val="nil"/>
            </w:tcBorders>
            <w:shd w:val="clear" w:color="auto" w:fill="CCEEFF"/>
            <w:noWrap/>
            <w:tcMar>
              <w:top w:w="0" w:type="dxa"/>
              <w:left w:w="0" w:type="dxa"/>
              <w:bottom w:w="0" w:type="dxa"/>
              <w:right w:w="0" w:type="dxa"/>
            </w:tcMar>
            <w:vAlign w:val="bottom"/>
          </w:tcPr>
          <w:p w14:paraId="49F741AD"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w:t>
            </w:r>
          </w:p>
        </w:tc>
      </w:tr>
      <w:tr w:rsidR="00AE3C59" w:rsidRPr="00AE3C59" w14:paraId="7775C25E" w14:textId="77777777" w:rsidTr="00EB26FE">
        <w:tc>
          <w:tcPr>
            <w:tcW w:w="1700" w:type="pct"/>
            <w:tcBorders>
              <w:left w:val="nil"/>
              <w:right w:val="nil"/>
            </w:tcBorders>
            <w:shd w:val="clear" w:color="auto" w:fill="FFFFFF"/>
            <w:tcMar>
              <w:top w:w="0" w:type="dxa"/>
              <w:left w:w="720" w:type="dxa"/>
              <w:bottom w:w="0" w:type="dxa"/>
              <w:right w:w="0" w:type="dxa"/>
            </w:tcMar>
            <w:vAlign w:val="bottom"/>
          </w:tcPr>
          <w:p w14:paraId="5586D6B4"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June 2020 Warrants</w:t>
            </w:r>
          </w:p>
        </w:tc>
        <w:tc>
          <w:tcPr>
            <w:tcW w:w="200" w:type="pct"/>
            <w:tcBorders>
              <w:left w:val="nil"/>
              <w:right w:val="nil"/>
            </w:tcBorders>
            <w:shd w:val="clear" w:color="auto" w:fill="FFFFFF"/>
            <w:tcMar>
              <w:top w:w="0" w:type="dxa"/>
              <w:left w:w="0" w:type="dxa"/>
              <w:bottom w:w="0" w:type="dxa"/>
              <w:right w:w="0" w:type="dxa"/>
            </w:tcMar>
            <w:vAlign w:val="bottom"/>
          </w:tcPr>
          <w:p w14:paraId="30E7ABFB" w14:textId="77777777" w:rsidR="00AE3C59" w:rsidRPr="00AE3C59" w:rsidRDefault="00AE3C59" w:rsidP="00AE3C59">
            <w:pPr>
              <w:shd w:val="clear" w:color="auto" w:fill="FFFFFF"/>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00" w:type="pct"/>
            <w:tcBorders>
              <w:left w:val="nil"/>
              <w:right w:val="nil"/>
            </w:tcBorders>
            <w:shd w:val="clear" w:color="auto" w:fill="FFFFFF"/>
            <w:tcMar>
              <w:top w:w="0" w:type="dxa"/>
              <w:left w:w="0" w:type="dxa"/>
              <w:bottom w:w="0" w:type="dxa"/>
              <w:right w:w="0" w:type="dxa"/>
            </w:tcMar>
            <w:vAlign w:val="bottom"/>
          </w:tcPr>
          <w:p w14:paraId="42BD87F0" w14:textId="77777777" w:rsidR="00AE3C59" w:rsidRPr="00AE3C59" w:rsidRDefault="00AE3C59" w:rsidP="00AE3C59">
            <w:pPr>
              <w:shd w:val="clear" w:color="auto" w:fill="FFFFFF"/>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6/26/25</w:t>
            </w:r>
          </w:p>
        </w:tc>
        <w:tc>
          <w:tcPr>
            <w:tcW w:w="200" w:type="pct"/>
            <w:tcBorders>
              <w:left w:val="nil"/>
              <w:right w:val="nil"/>
            </w:tcBorders>
            <w:shd w:val="clear" w:color="auto" w:fill="FFFFFF"/>
            <w:tcMar>
              <w:top w:w="0" w:type="dxa"/>
              <w:left w:w="0" w:type="dxa"/>
              <w:bottom w:w="0" w:type="dxa"/>
              <w:right w:w="0" w:type="dxa"/>
            </w:tcMar>
            <w:vAlign w:val="bottom"/>
          </w:tcPr>
          <w:p w14:paraId="7C14CE29"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45360224"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43FCF3AC"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5A1CEA18"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tc>
        <w:tc>
          <w:tcPr>
            <w:tcW w:w="650" w:type="pct"/>
            <w:tcBorders>
              <w:left w:val="nil"/>
              <w:right w:val="nil"/>
            </w:tcBorders>
            <w:shd w:val="clear" w:color="auto" w:fill="FFFFFF"/>
            <w:tcMar>
              <w:top w:w="0" w:type="dxa"/>
              <w:left w:w="0" w:type="dxa"/>
              <w:bottom w:w="0" w:type="dxa"/>
              <w:right w:w="0" w:type="dxa"/>
            </w:tcMar>
            <w:vAlign w:val="bottom"/>
          </w:tcPr>
          <w:p w14:paraId="224D880B" w14:textId="77777777" w:rsidR="00AE3C59" w:rsidRPr="00AE3C59" w:rsidRDefault="00AE3C59" w:rsidP="00AE3C59">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0.50</w:t>
            </w:r>
          </w:p>
        </w:tc>
        <w:tc>
          <w:tcPr>
            <w:tcW w:w="50" w:type="pct"/>
            <w:tcBorders>
              <w:left w:val="nil"/>
              <w:right w:val="nil"/>
            </w:tcBorders>
            <w:shd w:val="clear" w:color="auto" w:fill="FFFFFF"/>
            <w:noWrap/>
            <w:tcMar>
              <w:top w:w="0" w:type="dxa"/>
              <w:left w:w="0" w:type="dxa"/>
              <w:bottom w:w="0" w:type="dxa"/>
              <w:right w:w="0" w:type="dxa"/>
            </w:tcMar>
            <w:vAlign w:val="bottom"/>
          </w:tcPr>
          <w:p w14:paraId="1368C200"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34E72FB9"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FFFFFF"/>
            <w:tcMar>
              <w:top w:w="0" w:type="dxa"/>
              <w:left w:w="0" w:type="dxa"/>
              <w:bottom w:w="0" w:type="dxa"/>
              <w:right w:w="0" w:type="dxa"/>
            </w:tcMar>
            <w:vAlign w:val="bottom"/>
          </w:tcPr>
          <w:p w14:paraId="241EAF1D"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shd w:val="clear" w:color="auto" w:fill="FFFFFF"/>
            <w:tcMar>
              <w:top w:w="0" w:type="dxa"/>
              <w:left w:w="0" w:type="dxa"/>
              <w:bottom w:w="0" w:type="dxa"/>
              <w:right w:w="0" w:type="dxa"/>
            </w:tcMar>
            <w:vAlign w:val="bottom"/>
          </w:tcPr>
          <w:p w14:paraId="4830BC62" w14:textId="77777777" w:rsidR="00AE3C59" w:rsidRPr="00AE3C59" w:rsidRDefault="00AE3C59" w:rsidP="00AE3C59">
            <w:pPr>
              <w:shd w:val="clear" w:color="auto" w:fill="FFFF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2,400,000</w:t>
            </w:r>
          </w:p>
        </w:tc>
        <w:tc>
          <w:tcPr>
            <w:tcW w:w="50" w:type="pct"/>
            <w:tcBorders>
              <w:left w:val="nil"/>
              <w:right w:val="nil"/>
            </w:tcBorders>
            <w:shd w:val="clear" w:color="auto" w:fill="FFFFFF"/>
            <w:noWrap/>
            <w:tcMar>
              <w:top w:w="0" w:type="dxa"/>
              <w:left w:w="0" w:type="dxa"/>
              <w:bottom w:w="0" w:type="dxa"/>
              <w:right w:w="0" w:type="dxa"/>
            </w:tcMar>
            <w:vAlign w:val="bottom"/>
          </w:tcPr>
          <w:p w14:paraId="10B7D512" w14:textId="77777777" w:rsidR="00AE3C59" w:rsidRPr="00AE3C59" w:rsidRDefault="00AE3C59" w:rsidP="00AE3C59">
            <w:pPr>
              <w:shd w:val="clear" w:color="auto" w:fill="FFFF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w:t>
            </w:r>
          </w:p>
        </w:tc>
      </w:tr>
    </w:tbl>
    <w:p w14:paraId="7BAE7E2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60"/>
        <w:gridCol w:w="360"/>
        <w:gridCol w:w="9216"/>
      </w:tblGrid>
      <w:tr w:rsidR="00AE3C59" w:rsidRPr="00AE3C59" w14:paraId="21C93946" w14:textId="77777777" w:rsidTr="00EB26FE">
        <w:tc>
          <w:tcPr>
            <w:tcW w:w="360" w:type="dxa"/>
            <w:tcBorders>
              <w:left w:val="nil"/>
              <w:right w:val="nil"/>
            </w:tcBorders>
            <w:tcMar>
              <w:top w:w="0" w:type="dxa"/>
              <w:left w:w="0" w:type="dxa"/>
              <w:bottom w:w="0" w:type="dxa"/>
              <w:right w:w="0" w:type="dxa"/>
            </w:tcMar>
            <w:vAlign w:val="center"/>
          </w:tcPr>
          <w:p w14:paraId="702A1DC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60" w:type="dxa"/>
            <w:tcBorders>
              <w:left w:val="nil"/>
              <w:right w:val="nil"/>
            </w:tcBorders>
            <w:tcMar>
              <w:top w:w="0" w:type="dxa"/>
              <w:left w:w="0" w:type="dxa"/>
              <w:bottom w:w="0" w:type="dxa"/>
              <w:right w:w="0" w:type="dxa"/>
            </w:tcMar>
          </w:tcPr>
          <w:p w14:paraId="1AC5D22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w:t>
            </w:r>
          </w:p>
        </w:tc>
        <w:tc>
          <w:tcPr>
            <w:tcW w:w="0" w:type="auto"/>
            <w:tcBorders>
              <w:left w:val="nil"/>
              <w:right w:val="nil"/>
            </w:tcBorders>
            <w:tcMar>
              <w:top w:w="0" w:type="dxa"/>
              <w:left w:w="0" w:type="dxa"/>
              <w:bottom w:w="0" w:type="dxa"/>
              <w:right w:w="0" w:type="dxa"/>
            </w:tcMar>
          </w:tcPr>
          <w:p w14:paraId="321D1C0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Series I Warrants have a price protection antidilution. Both price and number of shares are adjusted so that the total exercise price is the same.</w:t>
            </w:r>
          </w:p>
        </w:tc>
      </w:tr>
    </w:tbl>
    <w:p w14:paraId="3FA6E827" w14:textId="77777777" w:rsidR="00AE3C59" w:rsidRPr="00AE3C59" w:rsidRDefault="00AE3C59" w:rsidP="00AE3C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9216"/>
      </w:tblGrid>
      <w:tr w:rsidR="00AE3C59" w:rsidRPr="00AE3C59" w14:paraId="75EFA1AB" w14:textId="77777777" w:rsidTr="00EB26FE">
        <w:tc>
          <w:tcPr>
            <w:tcW w:w="360" w:type="dxa"/>
            <w:tcBorders>
              <w:left w:val="nil"/>
              <w:right w:val="nil"/>
            </w:tcBorders>
            <w:tcMar>
              <w:top w:w="0" w:type="dxa"/>
              <w:left w:w="0" w:type="dxa"/>
              <w:bottom w:w="0" w:type="dxa"/>
              <w:right w:w="0" w:type="dxa"/>
            </w:tcMar>
            <w:vAlign w:val="center"/>
          </w:tcPr>
          <w:p w14:paraId="0125031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60" w:type="dxa"/>
            <w:tcBorders>
              <w:left w:val="nil"/>
              <w:right w:val="nil"/>
            </w:tcBorders>
            <w:tcMar>
              <w:top w:w="0" w:type="dxa"/>
              <w:left w:w="0" w:type="dxa"/>
              <w:bottom w:w="0" w:type="dxa"/>
              <w:right w:w="0" w:type="dxa"/>
            </w:tcMar>
          </w:tcPr>
          <w:p w14:paraId="03F3C0C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w:t>
            </w:r>
          </w:p>
        </w:tc>
        <w:tc>
          <w:tcPr>
            <w:tcW w:w="0" w:type="auto"/>
            <w:tcBorders>
              <w:left w:val="nil"/>
              <w:right w:val="nil"/>
            </w:tcBorders>
            <w:tcMar>
              <w:top w:w="0" w:type="dxa"/>
              <w:left w:w="0" w:type="dxa"/>
              <w:bottom w:w="0" w:type="dxa"/>
              <w:right w:w="0" w:type="dxa"/>
            </w:tcMar>
          </w:tcPr>
          <w:p w14:paraId="39365F3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June 2020 Warrants have price protection antidilution. No increase in number of shares.</w:t>
            </w:r>
          </w:p>
        </w:tc>
      </w:tr>
    </w:tbl>
    <w:p w14:paraId="051A122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lang w:val="en-US" w:eastAsia="en-US" w:bidi="ar-SA"/>
        </w:rPr>
        <w:tab/>
      </w:r>
    </w:p>
    <w:tbl>
      <w:tblPr>
        <w:tblW w:w="5000" w:type="pct"/>
        <w:tblCellMar>
          <w:left w:w="0" w:type="dxa"/>
          <w:right w:w="0" w:type="dxa"/>
        </w:tblCellMar>
        <w:tblLook w:val="04A0" w:firstRow="1" w:lastRow="0" w:firstColumn="1" w:lastColumn="0" w:noHBand="0" w:noVBand="1"/>
      </w:tblPr>
      <w:tblGrid>
        <w:gridCol w:w="5451"/>
        <w:gridCol w:w="85"/>
        <w:gridCol w:w="100"/>
        <w:gridCol w:w="1178"/>
        <w:gridCol w:w="86"/>
        <w:gridCol w:w="86"/>
        <w:gridCol w:w="100"/>
        <w:gridCol w:w="1179"/>
        <w:gridCol w:w="86"/>
        <w:gridCol w:w="86"/>
        <w:gridCol w:w="86"/>
        <w:gridCol w:w="1179"/>
        <w:gridCol w:w="234"/>
      </w:tblGrid>
      <w:tr w:rsidR="00AE3C59" w:rsidRPr="00AE3C59" w14:paraId="0CCFD404" w14:textId="77777777" w:rsidTr="00EB26FE">
        <w:tc>
          <w:tcPr>
            <w:tcW w:w="2750" w:type="pct"/>
            <w:tcBorders>
              <w:left w:val="nil"/>
              <w:right w:val="nil"/>
            </w:tcBorders>
            <w:tcMar>
              <w:top w:w="0" w:type="dxa"/>
              <w:left w:w="0" w:type="dxa"/>
              <w:bottom w:w="0" w:type="dxa"/>
              <w:right w:w="0" w:type="dxa"/>
            </w:tcMar>
            <w:vAlign w:val="bottom"/>
          </w:tcPr>
          <w:p w14:paraId="54377E3E"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Convertible Debentures</w:t>
            </w:r>
          </w:p>
        </w:tc>
        <w:tc>
          <w:tcPr>
            <w:tcW w:w="0" w:type="auto"/>
            <w:tcBorders>
              <w:left w:val="nil"/>
              <w:right w:val="nil"/>
            </w:tcBorders>
            <w:tcMar>
              <w:top w:w="0" w:type="dxa"/>
              <w:left w:w="0" w:type="dxa"/>
              <w:bottom w:w="0" w:type="dxa"/>
              <w:right w:w="0" w:type="dxa"/>
            </w:tcMar>
            <w:vAlign w:val="bottom"/>
          </w:tcPr>
          <w:p w14:paraId="6FF2F81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0" w:type="auto"/>
            <w:gridSpan w:val="2"/>
            <w:tcBorders>
              <w:top w:val="nil"/>
              <w:left w:val="nil"/>
              <w:bottom w:val="single" w:sz="6" w:space="0" w:color="000000"/>
              <w:right w:val="nil"/>
            </w:tcBorders>
            <w:tcMar>
              <w:top w:w="0" w:type="dxa"/>
              <w:left w:w="0" w:type="dxa"/>
              <w:bottom w:w="0" w:type="dxa"/>
              <w:right w:w="0" w:type="dxa"/>
            </w:tcMar>
            <w:vAlign w:val="bottom"/>
          </w:tcPr>
          <w:p w14:paraId="5723CBCA"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Face Value</w:t>
            </w:r>
          </w:p>
        </w:tc>
        <w:tc>
          <w:tcPr>
            <w:tcW w:w="0" w:type="auto"/>
            <w:tcBorders>
              <w:left w:val="nil"/>
              <w:right w:val="nil"/>
            </w:tcBorders>
            <w:tcMar>
              <w:top w:w="0" w:type="dxa"/>
              <w:left w:w="0" w:type="dxa"/>
              <w:bottom w:w="15" w:type="dxa"/>
              <w:right w:w="0" w:type="dxa"/>
            </w:tcMar>
            <w:vAlign w:val="bottom"/>
          </w:tcPr>
          <w:p w14:paraId="134DEAF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0" w:type="auto"/>
            <w:tcBorders>
              <w:left w:val="nil"/>
              <w:right w:val="nil"/>
            </w:tcBorders>
            <w:tcMar>
              <w:top w:w="0" w:type="dxa"/>
              <w:left w:w="0" w:type="dxa"/>
              <w:bottom w:w="0" w:type="dxa"/>
              <w:right w:w="0" w:type="dxa"/>
            </w:tcMar>
            <w:vAlign w:val="bottom"/>
          </w:tcPr>
          <w:p w14:paraId="2F3BAC6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0" w:type="auto"/>
            <w:gridSpan w:val="2"/>
            <w:tcBorders>
              <w:top w:val="nil"/>
              <w:left w:val="nil"/>
              <w:bottom w:val="single" w:sz="6" w:space="0" w:color="000000"/>
              <w:right w:val="nil"/>
            </w:tcBorders>
            <w:tcMar>
              <w:top w:w="0" w:type="dxa"/>
              <w:left w:w="0" w:type="dxa"/>
              <w:bottom w:w="0" w:type="dxa"/>
              <w:right w:w="0" w:type="dxa"/>
            </w:tcMar>
            <w:vAlign w:val="bottom"/>
          </w:tcPr>
          <w:p w14:paraId="1F516E0B"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Conv Price</w:t>
            </w:r>
          </w:p>
        </w:tc>
        <w:tc>
          <w:tcPr>
            <w:tcW w:w="0" w:type="auto"/>
            <w:tcBorders>
              <w:left w:val="nil"/>
              <w:right w:val="nil"/>
            </w:tcBorders>
            <w:tcMar>
              <w:top w:w="0" w:type="dxa"/>
              <w:left w:w="0" w:type="dxa"/>
              <w:bottom w:w="15" w:type="dxa"/>
              <w:right w:w="0" w:type="dxa"/>
            </w:tcMar>
            <w:vAlign w:val="bottom"/>
          </w:tcPr>
          <w:p w14:paraId="11F75D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0" w:type="auto"/>
            <w:tcBorders>
              <w:left w:val="nil"/>
              <w:right w:val="nil"/>
            </w:tcBorders>
            <w:tcMar>
              <w:top w:w="0" w:type="dxa"/>
              <w:left w:w="0" w:type="dxa"/>
              <w:bottom w:w="0" w:type="dxa"/>
              <w:right w:w="0" w:type="dxa"/>
            </w:tcMar>
            <w:vAlign w:val="bottom"/>
          </w:tcPr>
          <w:p w14:paraId="59BEAEF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0" w:type="auto"/>
            <w:gridSpan w:val="2"/>
            <w:tcBorders>
              <w:top w:val="nil"/>
              <w:left w:val="nil"/>
              <w:bottom w:val="single" w:sz="6" w:space="0" w:color="000000"/>
              <w:right w:val="nil"/>
            </w:tcBorders>
            <w:tcMar>
              <w:top w:w="0" w:type="dxa"/>
              <w:left w:w="0" w:type="dxa"/>
              <w:bottom w:w="0" w:type="dxa"/>
              <w:right w:w="0" w:type="dxa"/>
            </w:tcMar>
            <w:vAlign w:val="bottom"/>
          </w:tcPr>
          <w:p w14:paraId="034AF9E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Shares</w:t>
            </w:r>
          </w:p>
        </w:tc>
        <w:tc>
          <w:tcPr>
            <w:tcW w:w="0" w:type="auto"/>
            <w:tcBorders>
              <w:left w:val="nil"/>
              <w:right w:val="nil"/>
            </w:tcBorders>
            <w:tcMar>
              <w:top w:w="0" w:type="dxa"/>
              <w:left w:w="0" w:type="dxa"/>
              <w:bottom w:w="15" w:type="dxa"/>
              <w:right w:w="0" w:type="dxa"/>
            </w:tcMar>
            <w:vAlign w:val="bottom"/>
          </w:tcPr>
          <w:p w14:paraId="6E60A61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EC9BBC2" w14:textId="77777777" w:rsidTr="00EB26FE">
        <w:tc>
          <w:tcPr>
            <w:tcW w:w="0" w:type="auto"/>
            <w:tcBorders>
              <w:left w:val="nil"/>
              <w:right w:val="nil"/>
            </w:tcBorders>
            <w:shd w:val="clear" w:color="auto" w:fill="CCEEFF"/>
            <w:tcMar>
              <w:top w:w="0" w:type="dxa"/>
              <w:left w:w="720" w:type="dxa"/>
              <w:bottom w:w="0" w:type="dxa"/>
              <w:right w:w="0" w:type="dxa"/>
            </w:tcMar>
            <w:vAlign w:val="bottom"/>
          </w:tcPr>
          <w:p w14:paraId="1C054EFC"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Convertible Debentures</w:t>
            </w:r>
          </w:p>
        </w:tc>
        <w:tc>
          <w:tcPr>
            <w:tcW w:w="50" w:type="pct"/>
            <w:tcBorders>
              <w:left w:val="nil"/>
              <w:right w:val="nil"/>
            </w:tcBorders>
            <w:shd w:val="clear" w:color="auto" w:fill="CCEEFF"/>
            <w:tcMar>
              <w:top w:w="0" w:type="dxa"/>
              <w:left w:w="0" w:type="dxa"/>
              <w:bottom w:w="0" w:type="dxa"/>
              <w:right w:w="0" w:type="dxa"/>
            </w:tcMar>
            <w:vAlign w:val="bottom"/>
          </w:tcPr>
          <w:p w14:paraId="12B3CF80"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172C0C96"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tc>
        <w:tc>
          <w:tcPr>
            <w:tcW w:w="600" w:type="pct"/>
            <w:tcBorders>
              <w:left w:val="nil"/>
              <w:right w:val="nil"/>
            </w:tcBorders>
            <w:shd w:val="clear" w:color="auto" w:fill="CCEEFF"/>
            <w:tcMar>
              <w:top w:w="0" w:type="dxa"/>
              <w:left w:w="0" w:type="dxa"/>
              <w:bottom w:w="0" w:type="dxa"/>
              <w:right w:w="0" w:type="dxa"/>
            </w:tcMar>
            <w:vAlign w:val="bottom"/>
          </w:tcPr>
          <w:p w14:paraId="0FEB9AFB"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1,200,000</w:t>
            </w:r>
          </w:p>
        </w:tc>
        <w:tc>
          <w:tcPr>
            <w:tcW w:w="50" w:type="pct"/>
            <w:tcBorders>
              <w:left w:val="nil"/>
              <w:right w:val="nil"/>
            </w:tcBorders>
            <w:shd w:val="clear" w:color="auto" w:fill="CCEEFF"/>
            <w:noWrap/>
            <w:tcMar>
              <w:top w:w="0" w:type="dxa"/>
              <w:left w:w="0" w:type="dxa"/>
              <w:bottom w:w="0" w:type="dxa"/>
              <w:right w:w="0" w:type="dxa"/>
            </w:tcMar>
            <w:vAlign w:val="bottom"/>
          </w:tcPr>
          <w:p w14:paraId="5CA54368"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4B17DDC6"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6DA3CB78"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tc>
        <w:tc>
          <w:tcPr>
            <w:tcW w:w="600" w:type="pct"/>
            <w:tcBorders>
              <w:left w:val="nil"/>
              <w:right w:val="nil"/>
            </w:tcBorders>
            <w:shd w:val="clear" w:color="auto" w:fill="CCEEFF"/>
            <w:tcMar>
              <w:top w:w="0" w:type="dxa"/>
              <w:left w:w="0" w:type="dxa"/>
              <w:bottom w:w="0" w:type="dxa"/>
              <w:right w:w="0" w:type="dxa"/>
            </w:tcMar>
            <w:vAlign w:val="bottom"/>
          </w:tcPr>
          <w:p w14:paraId="3FC1B2EE"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0.50</w:t>
            </w:r>
          </w:p>
        </w:tc>
        <w:tc>
          <w:tcPr>
            <w:tcW w:w="50" w:type="pct"/>
            <w:tcBorders>
              <w:left w:val="nil"/>
              <w:right w:val="nil"/>
            </w:tcBorders>
            <w:shd w:val="clear" w:color="auto" w:fill="CCEEFF"/>
            <w:noWrap/>
            <w:tcMar>
              <w:top w:w="0" w:type="dxa"/>
              <w:left w:w="0" w:type="dxa"/>
              <w:bottom w:w="0" w:type="dxa"/>
              <w:right w:w="0" w:type="dxa"/>
            </w:tcMar>
            <w:vAlign w:val="bottom"/>
          </w:tcPr>
          <w:p w14:paraId="04FA2384"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0B312445"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0" w:type="pct"/>
            <w:tcBorders>
              <w:left w:val="nil"/>
              <w:right w:val="nil"/>
            </w:tcBorders>
            <w:shd w:val="clear" w:color="auto" w:fill="CCEEFF"/>
            <w:tcMar>
              <w:top w:w="0" w:type="dxa"/>
              <w:left w:w="0" w:type="dxa"/>
              <w:bottom w:w="0" w:type="dxa"/>
              <w:right w:w="0" w:type="dxa"/>
            </w:tcMar>
            <w:vAlign w:val="bottom"/>
          </w:tcPr>
          <w:p w14:paraId="77493013"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shd w:val="clear" w:color="auto" w:fill="CCEEFF"/>
            <w:tcMar>
              <w:top w:w="0" w:type="dxa"/>
              <w:left w:w="0" w:type="dxa"/>
              <w:bottom w:w="0" w:type="dxa"/>
              <w:right w:w="0" w:type="dxa"/>
            </w:tcMar>
            <w:vAlign w:val="bottom"/>
          </w:tcPr>
          <w:p w14:paraId="4DC62DE8" w14:textId="77777777" w:rsidR="00AE3C59" w:rsidRPr="00AE3C59" w:rsidRDefault="00AE3C59" w:rsidP="00AE3C59">
            <w:pPr>
              <w:shd w:val="clear" w:color="auto" w:fill="CCEEFF"/>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2,400,000</w:t>
            </w:r>
          </w:p>
        </w:tc>
        <w:tc>
          <w:tcPr>
            <w:tcW w:w="100" w:type="pct"/>
            <w:tcBorders>
              <w:left w:val="nil"/>
              <w:right w:val="nil"/>
            </w:tcBorders>
            <w:shd w:val="clear" w:color="auto" w:fill="CCEEFF"/>
            <w:noWrap/>
            <w:tcMar>
              <w:top w:w="0" w:type="dxa"/>
              <w:left w:w="0" w:type="dxa"/>
              <w:bottom w:w="0" w:type="dxa"/>
              <w:right w:w="0" w:type="dxa"/>
            </w:tcMar>
            <w:vAlign w:val="bottom"/>
          </w:tcPr>
          <w:p w14:paraId="46DBF16D" w14:textId="77777777" w:rsidR="00AE3C59" w:rsidRPr="00AE3C59" w:rsidRDefault="00AE3C59" w:rsidP="00AE3C59">
            <w:pPr>
              <w:shd w:val="clear" w:color="auto" w:fill="CCEEFF"/>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w:t>
            </w:r>
          </w:p>
        </w:tc>
      </w:tr>
    </w:tbl>
    <w:p w14:paraId="1C35078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360"/>
        <w:gridCol w:w="360"/>
        <w:gridCol w:w="9216"/>
      </w:tblGrid>
      <w:tr w:rsidR="00AE3C59" w:rsidRPr="00AE3C59" w14:paraId="60559EBC" w14:textId="77777777" w:rsidTr="00EB26FE">
        <w:tc>
          <w:tcPr>
            <w:tcW w:w="360" w:type="dxa"/>
            <w:tcBorders>
              <w:left w:val="nil"/>
              <w:right w:val="nil"/>
            </w:tcBorders>
            <w:tcMar>
              <w:top w:w="0" w:type="dxa"/>
              <w:left w:w="0" w:type="dxa"/>
              <w:bottom w:w="0" w:type="dxa"/>
              <w:right w:w="0" w:type="dxa"/>
            </w:tcMar>
            <w:vAlign w:val="center"/>
          </w:tcPr>
          <w:p w14:paraId="396E77D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360" w:type="dxa"/>
            <w:tcBorders>
              <w:left w:val="nil"/>
              <w:right w:val="nil"/>
            </w:tcBorders>
            <w:tcMar>
              <w:top w:w="0" w:type="dxa"/>
              <w:left w:w="0" w:type="dxa"/>
              <w:bottom w:w="0" w:type="dxa"/>
              <w:right w:w="0" w:type="dxa"/>
            </w:tcMar>
          </w:tcPr>
          <w:p w14:paraId="5DF977D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w:t>
            </w:r>
          </w:p>
        </w:tc>
        <w:tc>
          <w:tcPr>
            <w:tcW w:w="0" w:type="auto"/>
            <w:tcBorders>
              <w:left w:val="nil"/>
              <w:right w:val="nil"/>
            </w:tcBorders>
            <w:tcMar>
              <w:top w:w="0" w:type="dxa"/>
              <w:left w:w="0" w:type="dxa"/>
              <w:bottom w:w="0" w:type="dxa"/>
              <w:right w:w="0" w:type="dxa"/>
            </w:tcMar>
          </w:tcPr>
          <w:p w14:paraId="46770DB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See the Registration Statement for a full description of the conversion rights of the Convertible Debentures, including mandatory conversion (at a 20% discount) upon consummation of a public offering.</w:t>
            </w:r>
          </w:p>
        </w:tc>
      </w:tr>
    </w:tbl>
    <w:p w14:paraId="4FB7852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E7C6131" w14:textId="77777777" w:rsidR="00AE3C59" w:rsidRPr="00AE3C59" w:rsidRDefault="00AE3C59" w:rsidP="00AE3C59">
      <w:pPr>
        <w:spacing w:after="0" w:line="240" w:lineRule="auto"/>
        <w:rPr>
          <w:rFonts w:ascii="Times New Roman" w:eastAsia="Times New Roman" w:hAnsi="Times New Roman" w:cs="Times New Roman"/>
          <w:b/>
          <w:bCs/>
          <w:sz w:val="20"/>
          <w:szCs w:val="20"/>
          <w:u w:val="single"/>
          <w:lang w:val="en-US" w:eastAsia="en-US" w:bidi="ar-SA"/>
        </w:rPr>
      </w:pPr>
      <w:r w:rsidRPr="00AE3C59">
        <w:rPr>
          <w:rFonts w:ascii="Times New Roman" w:eastAsia="Times New Roman" w:hAnsi="Times New Roman" w:cs="Times New Roman"/>
          <w:b/>
          <w:bCs/>
          <w:sz w:val="20"/>
          <w:szCs w:val="20"/>
          <w:u w:val="single"/>
          <w:lang w:val="en-US" w:eastAsia="en-US" w:bidi="ar-SA"/>
        </w:rPr>
        <w:t>Stock Issuances Since Most Recent Periodic Report</w:t>
      </w:r>
    </w:p>
    <w:p w14:paraId="14A972D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On 8/3/20 the Company issued 10,332 shares of its Common Stock to Content Carnivores LLC in compensation for consulting services during the months of July and August 2020, pursuant to an ongoing Consulting Agreement dated May 1, 2020.</w:t>
      </w:r>
    </w:p>
    <w:p w14:paraId="43A75402"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0"/>
          <w:szCs w:val="20"/>
          <w:lang w:val="en-US" w:eastAsia="en-US" w:bidi="ar-SA"/>
        </w:rPr>
        <w:t> </w:t>
      </w:r>
    </w:p>
    <w:p w14:paraId="054EA9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5CA1029" w14:textId="77777777" w:rsidR="00AE3C59" w:rsidRPr="00AE3C59" w:rsidRDefault="00AE3C59" w:rsidP="00AE3C59">
      <w:pPr>
        <w:spacing w:after="0" w:line="240" w:lineRule="auto"/>
        <w:ind w:left="144" w:right="144"/>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Schedule 3.1(s)</w:t>
      </w:r>
    </w:p>
    <w:p w14:paraId="23DABB41" w14:textId="77777777" w:rsidR="00AE3C59" w:rsidRPr="00AE3C59" w:rsidRDefault="00AE3C59" w:rsidP="00AE3C59">
      <w:pPr>
        <w:spacing w:after="0" w:line="240" w:lineRule="auto"/>
        <w:ind w:left="144" w:right="144"/>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Intellectual Property</w:t>
      </w:r>
    </w:p>
    <w:p w14:paraId="194E7599" w14:textId="77777777" w:rsidR="00AE3C59" w:rsidRPr="00AE3C59" w:rsidRDefault="00AE3C59" w:rsidP="00AE3C59">
      <w:pPr>
        <w:spacing w:after="0" w:line="240" w:lineRule="auto"/>
        <w:ind w:left="144" w:right="144"/>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021EE8" w14:textId="77777777" w:rsidR="00AE3C59" w:rsidRPr="00AE3C59" w:rsidRDefault="00AE3C59" w:rsidP="00AE3C59">
      <w:pPr>
        <w:spacing w:after="0" w:line="240" w:lineRule="auto"/>
        <w:ind w:left="144" w:right="144"/>
        <w:jc w:val="center"/>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 xml:space="preserve">National Institutes of Health (NIH) National Institutes of Health (NIH) </w:t>
      </w:r>
    </w:p>
    <w:p w14:paraId="5668B08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949FE3F"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The MVA backbone that the Company uses in its vaccines was provided by the laboratory of Dr. Bernard Moss of the National Institute of Allergy and Infectious Diseases (NIAID) of the National Institutes of Health (NIH). The Company has agreed on the material terms for a non-exclusive commercial license to the NIH MVA backbone for our SARS CoV-2 vaccine with the NIH, which includes the use of the patents and patent applications listed below. The Company has also agreed on material terms for a non-exclusive research and development license to use the MVA backbone and these listed patents and applications for our other vaccine candidates. The licenses have been approved by the appropriate committees within the NIH and are awaiting final signature. If the Company elects to proceed with one or more vaccines developed under the research and development license, the Company will negotiate appropriate commercialization licenses.</w:t>
      </w:r>
    </w:p>
    <w:p w14:paraId="76AB756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Ind w:w="15" w:type="dxa"/>
        <w:tblCellMar>
          <w:left w:w="0" w:type="dxa"/>
          <w:right w:w="0" w:type="dxa"/>
        </w:tblCellMar>
        <w:tblLook w:val="04A0" w:firstRow="1" w:lastRow="0" w:firstColumn="1" w:lastColumn="0" w:noHBand="0" w:noVBand="1"/>
      </w:tblPr>
      <w:tblGrid>
        <w:gridCol w:w="1984"/>
        <w:gridCol w:w="5952"/>
        <w:gridCol w:w="1984"/>
      </w:tblGrid>
      <w:tr w:rsidR="00AE3C59" w:rsidRPr="00AE3C59" w14:paraId="5FFF9287" w14:textId="77777777" w:rsidTr="00EB26FE">
        <w:tc>
          <w:tcPr>
            <w:tcW w:w="1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2D073"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xml:space="preserve">U.S. </w:t>
            </w:r>
          </w:p>
          <w:p w14:paraId="0EC386E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xml:space="preserve">Patent/Patent </w:t>
            </w:r>
          </w:p>
          <w:p w14:paraId="7E1AE517"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Application</w:t>
            </w:r>
          </w:p>
        </w:tc>
        <w:tc>
          <w:tcPr>
            <w:tcW w:w="3000" w:type="pct"/>
            <w:tcBorders>
              <w:top w:val="single" w:sz="6" w:space="0" w:color="000000"/>
              <w:left w:val="nil"/>
              <w:bottom w:val="single" w:sz="6" w:space="0" w:color="000000"/>
              <w:right w:val="nil"/>
            </w:tcBorders>
            <w:tcMar>
              <w:top w:w="0" w:type="dxa"/>
              <w:left w:w="0" w:type="dxa"/>
              <w:bottom w:w="0" w:type="dxa"/>
              <w:right w:w="0" w:type="dxa"/>
            </w:tcMar>
          </w:tcPr>
          <w:p w14:paraId="68D3A4C1"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Title</w:t>
            </w:r>
          </w:p>
        </w:tc>
        <w:tc>
          <w:tcPr>
            <w:tcW w:w="10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474A1"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 xml:space="preserve">Estimated </w:t>
            </w:r>
          </w:p>
          <w:p w14:paraId="1ADB0946"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Expiration Date</w:t>
            </w:r>
          </w:p>
        </w:tc>
      </w:tr>
      <w:tr w:rsidR="00AE3C59" w:rsidRPr="00AE3C59" w14:paraId="1D554810"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AA5258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6,998,252</w:t>
            </w:r>
          </w:p>
        </w:tc>
        <w:tc>
          <w:tcPr>
            <w:tcW w:w="3000" w:type="pct"/>
            <w:tcBorders>
              <w:left w:val="nil"/>
              <w:bottom w:val="single" w:sz="6" w:space="0" w:color="000000"/>
              <w:right w:val="nil"/>
            </w:tcBorders>
            <w:tcMar>
              <w:top w:w="0" w:type="dxa"/>
              <w:left w:w="0" w:type="dxa"/>
              <w:bottom w:w="0" w:type="dxa"/>
              <w:right w:w="0" w:type="dxa"/>
            </w:tcMar>
          </w:tcPr>
          <w:p w14:paraId="5C9E6A4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445F769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Feb. 2023</w:t>
            </w:r>
          </w:p>
        </w:tc>
      </w:tr>
      <w:tr w:rsidR="00AE3C59" w:rsidRPr="00AE3C59" w14:paraId="497971F9"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BBA530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7,015,024</w:t>
            </w:r>
          </w:p>
        </w:tc>
        <w:tc>
          <w:tcPr>
            <w:tcW w:w="3000" w:type="pct"/>
            <w:tcBorders>
              <w:left w:val="nil"/>
              <w:bottom w:val="single" w:sz="6" w:space="0" w:color="000000"/>
              <w:right w:val="nil"/>
            </w:tcBorders>
            <w:tcMar>
              <w:top w:w="0" w:type="dxa"/>
              <w:left w:w="0" w:type="dxa"/>
              <w:bottom w:w="0" w:type="dxa"/>
              <w:right w:w="0" w:type="dxa"/>
            </w:tcMar>
          </w:tcPr>
          <w:p w14:paraId="6610C6E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Compositions containing 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CAB7A24"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Mar. 2023</w:t>
            </w:r>
          </w:p>
        </w:tc>
      </w:tr>
      <w:tr w:rsidR="00AE3C59" w:rsidRPr="00AE3C59" w14:paraId="6F46B828"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53162E7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7,045,136</w:t>
            </w:r>
          </w:p>
        </w:tc>
        <w:tc>
          <w:tcPr>
            <w:tcW w:w="3000" w:type="pct"/>
            <w:tcBorders>
              <w:left w:val="nil"/>
              <w:bottom w:val="single" w:sz="6" w:space="0" w:color="000000"/>
              <w:right w:val="nil"/>
            </w:tcBorders>
            <w:tcMar>
              <w:top w:w="0" w:type="dxa"/>
              <w:left w:w="0" w:type="dxa"/>
              <w:bottom w:w="0" w:type="dxa"/>
              <w:right w:w="0" w:type="dxa"/>
            </w:tcMar>
          </w:tcPr>
          <w:p w14:paraId="1500FF8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Methods of immunization using recombinant poxviruses having foreign DNA expressed under the control of poxvirus regulatory sequences.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2584472"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May 2023</w:t>
            </w:r>
          </w:p>
        </w:tc>
      </w:tr>
      <w:tr w:rsidR="00AE3C59" w:rsidRPr="00AE3C59" w14:paraId="2CDFDF9B"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0713C23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7,045,313</w:t>
            </w:r>
          </w:p>
        </w:tc>
        <w:tc>
          <w:tcPr>
            <w:tcW w:w="3000" w:type="pct"/>
            <w:tcBorders>
              <w:left w:val="nil"/>
              <w:bottom w:val="single" w:sz="6" w:space="0" w:color="000000"/>
              <w:right w:val="nil"/>
            </w:tcBorders>
            <w:tcMar>
              <w:top w:w="0" w:type="dxa"/>
              <w:left w:w="0" w:type="dxa"/>
              <w:bottom w:w="0" w:type="dxa"/>
              <w:right w:w="0" w:type="dxa"/>
            </w:tcMar>
          </w:tcPr>
          <w:p w14:paraId="1C0E1F7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Recombinant vaccinia virus containing a chimeric gene having foreign DNA flanked by vaccinia regulatory DNA.</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4DA7C4F"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Feb. 2023</w:t>
            </w:r>
          </w:p>
        </w:tc>
      </w:tr>
      <w:tr w:rsidR="00AE3C59" w:rsidRPr="00AE3C59" w14:paraId="2C227A0E"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3920F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9,133,480</w:t>
            </w:r>
          </w:p>
        </w:tc>
        <w:tc>
          <w:tcPr>
            <w:tcW w:w="3000" w:type="pct"/>
            <w:tcBorders>
              <w:left w:val="nil"/>
              <w:bottom w:val="single" w:sz="6" w:space="0" w:color="000000"/>
              <w:right w:val="nil"/>
            </w:tcBorders>
            <w:tcMar>
              <w:top w:w="0" w:type="dxa"/>
              <w:left w:w="0" w:type="dxa"/>
              <w:bottom w:w="0" w:type="dxa"/>
              <w:right w:w="0" w:type="dxa"/>
            </w:tcMar>
          </w:tcPr>
          <w:p w14:paraId="35610C0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Recombinant modified vaccinia </w:t>
            </w:r>
            <w:proofErr w:type="spellStart"/>
            <w:r w:rsidRPr="00AE3C59">
              <w:rPr>
                <w:rFonts w:ascii="Times New Roman" w:eastAsia="Times New Roman" w:hAnsi="Times New Roman" w:cs="Times New Roman"/>
                <w:sz w:val="20"/>
                <w:szCs w:val="20"/>
                <w:lang w:val="en-US" w:eastAsia="en-US" w:bidi="ar-SA"/>
              </w:rPr>
              <w:t>ankara</w:t>
            </w:r>
            <w:proofErr w:type="spellEnd"/>
            <w:r w:rsidRPr="00AE3C59">
              <w:rPr>
                <w:rFonts w:ascii="Times New Roman" w:eastAsia="Times New Roman" w:hAnsi="Times New Roman" w:cs="Times New Roman"/>
                <w:sz w:val="20"/>
                <w:szCs w:val="20"/>
                <w:lang w:val="en-US" w:eastAsia="en-US" w:bidi="ar-SA"/>
              </w:rPr>
              <w:t xml:space="preserve"> (MVA) vaccinia virus containing restructured insertion sites.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718593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Mar. 2032</w:t>
            </w:r>
          </w:p>
        </w:tc>
      </w:tr>
      <w:tr w:rsidR="00AE3C59" w:rsidRPr="00AE3C59" w14:paraId="39A2E099"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41B128F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9,879,231</w:t>
            </w:r>
          </w:p>
        </w:tc>
        <w:tc>
          <w:tcPr>
            <w:tcW w:w="3000" w:type="pct"/>
            <w:tcBorders>
              <w:left w:val="nil"/>
              <w:bottom w:val="single" w:sz="6" w:space="0" w:color="000000"/>
              <w:right w:val="nil"/>
            </w:tcBorders>
            <w:tcMar>
              <w:top w:w="0" w:type="dxa"/>
              <w:left w:w="0" w:type="dxa"/>
              <w:bottom w:w="0" w:type="dxa"/>
              <w:right w:w="0" w:type="dxa"/>
            </w:tcMar>
          </w:tcPr>
          <w:p w14:paraId="447DDA0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Recombinant modified vaccinia </w:t>
            </w:r>
            <w:proofErr w:type="spellStart"/>
            <w:r w:rsidRPr="00AE3C59">
              <w:rPr>
                <w:rFonts w:ascii="Times New Roman" w:eastAsia="Times New Roman" w:hAnsi="Times New Roman" w:cs="Times New Roman"/>
                <w:sz w:val="20"/>
                <w:szCs w:val="20"/>
                <w:lang w:val="en-US" w:eastAsia="en-US" w:bidi="ar-SA"/>
              </w:rPr>
              <w:t>ankara</w:t>
            </w:r>
            <w:proofErr w:type="spellEnd"/>
            <w:r w:rsidRPr="00AE3C59">
              <w:rPr>
                <w:rFonts w:ascii="Times New Roman" w:eastAsia="Times New Roman" w:hAnsi="Times New Roman" w:cs="Times New Roman"/>
                <w:sz w:val="20"/>
                <w:szCs w:val="20"/>
                <w:lang w:val="en-US" w:eastAsia="en-US" w:bidi="ar-SA"/>
              </w:rPr>
              <w:t xml:space="preserve"> (MVA) vaccinia virus containing restructured insertion sites.  </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2B215ABD"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Oct. 2031</w:t>
            </w:r>
          </w:p>
        </w:tc>
      </w:tr>
      <w:tr w:rsidR="00AE3C59" w:rsidRPr="00AE3C59" w14:paraId="7F690387"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388F228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9,133,478</w:t>
            </w:r>
          </w:p>
        </w:tc>
        <w:tc>
          <w:tcPr>
            <w:tcW w:w="3000" w:type="pct"/>
            <w:tcBorders>
              <w:left w:val="nil"/>
              <w:bottom w:val="single" w:sz="6" w:space="0" w:color="000000"/>
              <w:right w:val="nil"/>
            </w:tcBorders>
            <w:tcMar>
              <w:top w:w="0" w:type="dxa"/>
              <w:left w:w="0" w:type="dxa"/>
              <w:bottom w:w="0" w:type="dxa"/>
              <w:right w:w="0" w:type="dxa"/>
            </w:tcMar>
          </w:tcPr>
          <w:p w14:paraId="662D544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Modified vaccinia Ankara (MVA) virus recombinants comprising heterologous coding sequences inserted into the intergenic regions between essential genes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40859C6"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Jun. 2031</w:t>
            </w:r>
          </w:p>
        </w:tc>
      </w:tr>
      <w:tr w:rsidR="00AE3C59" w:rsidRPr="00AE3C59" w14:paraId="0F736F3B"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AB942F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10,421,978</w:t>
            </w:r>
          </w:p>
        </w:tc>
        <w:tc>
          <w:tcPr>
            <w:tcW w:w="3000" w:type="pct"/>
            <w:tcBorders>
              <w:left w:val="nil"/>
              <w:bottom w:val="single" w:sz="6" w:space="0" w:color="000000"/>
              <w:right w:val="nil"/>
            </w:tcBorders>
            <w:tcMar>
              <w:top w:w="0" w:type="dxa"/>
              <w:left w:w="0" w:type="dxa"/>
              <w:bottom w:w="0" w:type="dxa"/>
              <w:right w:w="0" w:type="dxa"/>
            </w:tcMar>
          </w:tcPr>
          <w:p w14:paraId="304AA70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Intergenic sites between conserved genes in the genome of modified vaccinia </w:t>
            </w:r>
            <w:proofErr w:type="spellStart"/>
            <w:r w:rsidRPr="00AE3C59">
              <w:rPr>
                <w:rFonts w:ascii="Times New Roman" w:eastAsia="Times New Roman" w:hAnsi="Times New Roman" w:cs="Times New Roman"/>
                <w:sz w:val="20"/>
                <w:szCs w:val="20"/>
                <w:lang w:val="en-US" w:eastAsia="en-US" w:bidi="ar-SA"/>
              </w:rPr>
              <w:t>ankara</w:t>
            </w:r>
            <w:proofErr w:type="spellEnd"/>
            <w:r w:rsidRPr="00AE3C59">
              <w:rPr>
                <w:rFonts w:ascii="Times New Roman" w:eastAsia="Times New Roman" w:hAnsi="Times New Roman" w:cs="Times New Roman"/>
                <w:sz w:val="20"/>
                <w:szCs w:val="20"/>
                <w:lang w:val="en-US" w:eastAsia="en-US" w:bidi="ar-SA"/>
              </w:rPr>
              <w:t xml:space="preserve"> (MVA) vaccinia virus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3AF6219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Aug. 2027</w:t>
            </w:r>
          </w:p>
        </w:tc>
      </w:tr>
      <w:tr w:rsidR="00AE3C59" w:rsidRPr="00AE3C59" w14:paraId="45029452"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5A7EE7F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App. No. 16/344,774</w:t>
            </w:r>
          </w:p>
        </w:tc>
        <w:tc>
          <w:tcPr>
            <w:tcW w:w="3000" w:type="pct"/>
            <w:tcBorders>
              <w:left w:val="nil"/>
              <w:bottom w:val="single" w:sz="6" w:space="0" w:color="000000"/>
              <w:right w:val="nil"/>
            </w:tcBorders>
            <w:tcMar>
              <w:top w:w="0" w:type="dxa"/>
              <w:left w:w="0" w:type="dxa"/>
              <w:bottom w:w="0" w:type="dxa"/>
              <w:right w:w="0" w:type="dxa"/>
            </w:tcMar>
          </w:tcPr>
          <w:p w14:paraId="519533F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Prefusion coronavirus spike proteins and their uses.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63F83B2A"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Oct. 2037</w:t>
            </w:r>
          </w:p>
        </w:tc>
      </w:tr>
      <w:tr w:rsidR="00AE3C59" w:rsidRPr="00AE3C59" w14:paraId="7C87CC36"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0F00F4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App. No. 16/579,276</w:t>
            </w:r>
          </w:p>
        </w:tc>
        <w:tc>
          <w:tcPr>
            <w:tcW w:w="3000" w:type="pct"/>
            <w:tcBorders>
              <w:left w:val="nil"/>
              <w:bottom w:val="single" w:sz="6" w:space="0" w:color="000000"/>
              <w:right w:val="nil"/>
            </w:tcBorders>
            <w:tcMar>
              <w:top w:w="0" w:type="dxa"/>
              <w:left w:w="0" w:type="dxa"/>
              <w:bottom w:w="0" w:type="dxa"/>
              <w:right w:w="0" w:type="dxa"/>
            </w:tcMar>
          </w:tcPr>
          <w:p w14:paraId="32AB872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Intergenic Sites Between Conserved Genes in the Genome of Modified Vaccinia Ankara (MVA) Vaccinia Virus</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796D98B2"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Aug. 2027</w:t>
            </w:r>
          </w:p>
        </w:tc>
      </w:tr>
      <w:tr w:rsidR="00AE3C59" w:rsidRPr="00AE3C59" w14:paraId="4345C74D" w14:textId="77777777" w:rsidTr="00EB26FE">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00B2350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U.S. Prov. App. No. 62/972,886</w:t>
            </w:r>
          </w:p>
        </w:tc>
        <w:tc>
          <w:tcPr>
            <w:tcW w:w="3000" w:type="pct"/>
            <w:tcBorders>
              <w:left w:val="nil"/>
              <w:bottom w:val="single" w:sz="6" w:space="0" w:color="000000"/>
              <w:right w:val="nil"/>
            </w:tcBorders>
            <w:tcMar>
              <w:top w:w="0" w:type="dxa"/>
              <w:left w:w="0" w:type="dxa"/>
              <w:bottom w:w="0" w:type="dxa"/>
              <w:right w:w="0" w:type="dxa"/>
            </w:tcMar>
          </w:tcPr>
          <w:p w14:paraId="4FA8CEF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2019-nCoV vaccine.</w:t>
            </w:r>
          </w:p>
        </w:tc>
        <w:tc>
          <w:tcPr>
            <w:tcW w:w="1000" w:type="pct"/>
            <w:tcBorders>
              <w:left w:val="single" w:sz="6" w:space="0" w:color="000000"/>
              <w:bottom w:val="single" w:sz="6" w:space="0" w:color="000000"/>
              <w:right w:val="single" w:sz="6" w:space="0" w:color="000000"/>
            </w:tcBorders>
            <w:tcMar>
              <w:top w:w="0" w:type="dxa"/>
              <w:left w:w="0" w:type="dxa"/>
              <w:bottom w:w="0" w:type="dxa"/>
              <w:right w:w="0" w:type="dxa"/>
            </w:tcMar>
          </w:tcPr>
          <w:p w14:paraId="1A18C4E2"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Feb. 2041</w:t>
            </w:r>
          </w:p>
        </w:tc>
      </w:tr>
    </w:tbl>
    <w:p w14:paraId="66FBAD7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03A759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p>
    <w:p w14:paraId="4FE2D844" w14:textId="07A8A488" w:rsidR="004021AF" w:rsidRDefault="004021AF">
      <w:pPr>
        <w:rPr>
          <w:rFonts w:cs="Times New Roman"/>
          <w:szCs w:val="24"/>
        </w:rPr>
      </w:pPr>
    </w:p>
    <w:p w14:paraId="12EEF9CF" w14:textId="77777777" w:rsidR="00AE3C59" w:rsidRDefault="00AE3C59" w:rsidP="00AE3C59">
      <w:pPr>
        <w:rPr>
          <w:rFonts w:cs="Times New Roman"/>
          <w:szCs w:val="24"/>
        </w:rPr>
        <w:sectPr w:rsidR="00AE3C59" w:rsidSect="00101621">
          <w:footerReference w:type="default" r:id="rId9"/>
          <w:pgSz w:w="12240" w:h="15840"/>
          <w:pgMar w:top="1152" w:right="1152" w:bottom="1152" w:left="1152" w:header="720" w:footer="720" w:gutter="0"/>
          <w:cols w:space="720"/>
        </w:sectPr>
      </w:pPr>
    </w:p>
    <w:p w14:paraId="0DF71692" w14:textId="77777777" w:rsidR="00AE3C59" w:rsidRPr="00AE3C59" w:rsidRDefault="00AE3C59" w:rsidP="00AE3C59">
      <w:pPr>
        <w:spacing w:after="0" w:line="240" w:lineRule="auto"/>
        <w:ind w:left="4320"/>
        <w:jc w:val="right"/>
        <w:rPr>
          <w:rFonts w:ascii="Times New Roman" w:eastAsia="Times New Roman" w:hAnsi="Times New Roman" w:cs="Times New Roman"/>
          <w:b/>
          <w:bCs/>
          <w:sz w:val="20"/>
          <w:szCs w:val="20"/>
        </w:rPr>
      </w:pPr>
      <w:r w:rsidRPr="00AE3C59">
        <w:rPr>
          <w:rFonts w:ascii="Times New Roman" w:eastAsia="Times New Roman" w:hAnsi="Times New Roman" w:cs="Times New Roman"/>
          <w:b/>
          <w:bCs/>
          <w:sz w:val="20"/>
          <w:szCs w:val="20"/>
        </w:rPr>
        <w:lastRenderedPageBreak/>
        <w:t>Exhibit 3.1</w:t>
      </w:r>
    </w:p>
    <w:p w14:paraId="5B299B48" w14:textId="77777777" w:rsidR="00AE3C59" w:rsidRPr="00AE3C59" w:rsidRDefault="00AE3C59" w:rsidP="00AE3C59">
      <w:pPr>
        <w:spacing w:after="0" w:line="240" w:lineRule="auto"/>
        <w:ind w:left="4320"/>
        <w:jc w:val="right"/>
        <w:rPr>
          <w:rFonts w:ascii="Times New Roman" w:eastAsia="Times New Roman" w:hAnsi="Times New Roman" w:cs="Times New Roman"/>
          <w:b/>
          <w:bCs/>
          <w:sz w:val="20"/>
          <w:szCs w:val="20"/>
        </w:rPr>
      </w:pPr>
    </w:p>
    <w:p w14:paraId="6636F47E" w14:textId="77777777" w:rsidR="00AE3C59" w:rsidRPr="00AE3C59" w:rsidRDefault="00AE3C59" w:rsidP="00AE3C59">
      <w:pPr>
        <w:spacing w:after="0" w:line="240" w:lineRule="auto"/>
        <w:jc w:val="center"/>
        <w:rPr>
          <w:rFonts w:ascii="Times New Roman" w:eastAsia="Times New Roman" w:hAnsi="Times New Roman" w:cs="Times New Roman"/>
          <w:sz w:val="20"/>
          <w:szCs w:val="20"/>
        </w:rPr>
      </w:pPr>
      <w:r w:rsidRPr="00AE3C59">
        <w:rPr>
          <w:rFonts w:ascii="Times New Roman" w:eastAsia="Times New Roman" w:hAnsi="Times New Roman" w:cs="Times New Roman"/>
          <w:b/>
          <w:bCs/>
          <w:sz w:val="20"/>
          <w:szCs w:val="20"/>
        </w:rPr>
        <w:t>CERTIFICATE OF AMENDMENT</w:t>
      </w:r>
      <w:r w:rsidRPr="00AE3C59">
        <w:rPr>
          <w:rFonts w:ascii="Times New Roman" w:eastAsia="Times New Roman" w:hAnsi="Times New Roman" w:cs="Times New Roman"/>
          <w:b/>
          <w:bCs/>
          <w:sz w:val="20"/>
          <w:szCs w:val="20"/>
        </w:rPr>
        <w:br/>
        <w:t>TO THE CERTIFICATE OF INCORPORATION</w:t>
      </w:r>
      <w:r w:rsidRPr="00AE3C59">
        <w:rPr>
          <w:rFonts w:ascii="Times New Roman" w:eastAsia="Times New Roman" w:hAnsi="Times New Roman" w:cs="Times New Roman"/>
          <w:b/>
          <w:bCs/>
          <w:sz w:val="20"/>
          <w:szCs w:val="20"/>
        </w:rPr>
        <w:br/>
        <w:t>OF GEOVAX LABS, INC.</w:t>
      </w:r>
    </w:p>
    <w:p w14:paraId="654E6FB8" w14:textId="77777777" w:rsidR="00AE3C59" w:rsidRPr="00AE3C59" w:rsidRDefault="00AE3C59" w:rsidP="00AE3C59">
      <w:pPr>
        <w:spacing w:after="0" w:line="240" w:lineRule="auto"/>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0D20DFE8"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p>
    <w:p w14:paraId="413A76A3"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GeoVax Labs, Inc. (the “Corporation”), does hereby certify that the Corporation’s Certificate of Incorporation originally filed with the Delaware Secretary of State on June 17, 2008, as previously amended by:</w:t>
      </w:r>
    </w:p>
    <w:p w14:paraId="7AE61D42"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p>
    <w:p w14:paraId="68FD6935"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Merger filed June 18, 2008, as further amended by the following </w:t>
      </w:r>
      <w:proofErr w:type="gramStart"/>
      <w:r w:rsidRPr="00AE3C59">
        <w:rPr>
          <w:rFonts w:ascii="Times New Roman" w:eastAsia="Times New Roman" w:hAnsi="Times New Roman" w:cs="Times New Roman"/>
          <w:sz w:val="20"/>
          <w:szCs w:val="20"/>
        </w:rPr>
        <w:t>documents;</w:t>
      </w:r>
      <w:proofErr w:type="gramEnd"/>
    </w:p>
    <w:p w14:paraId="5CB9F663"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filed April 13, </w:t>
      </w:r>
      <w:proofErr w:type="gramStart"/>
      <w:r w:rsidRPr="00AE3C59">
        <w:rPr>
          <w:rFonts w:ascii="Times New Roman" w:eastAsia="Times New Roman" w:hAnsi="Times New Roman" w:cs="Times New Roman"/>
          <w:sz w:val="20"/>
          <w:szCs w:val="20"/>
        </w:rPr>
        <w:t>2010;</w:t>
      </w:r>
      <w:proofErr w:type="gramEnd"/>
    </w:p>
    <w:p w14:paraId="652E0F86"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filed April 27, </w:t>
      </w:r>
      <w:proofErr w:type="gramStart"/>
      <w:r w:rsidRPr="00AE3C59">
        <w:rPr>
          <w:rFonts w:ascii="Times New Roman" w:eastAsia="Times New Roman" w:hAnsi="Times New Roman" w:cs="Times New Roman"/>
          <w:sz w:val="20"/>
          <w:szCs w:val="20"/>
        </w:rPr>
        <w:t>2010;</w:t>
      </w:r>
      <w:proofErr w:type="gramEnd"/>
    </w:p>
    <w:p w14:paraId="33168689"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March 20, </w:t>
      </w:r>
      <w:proofErr w:type="gramStart"/>
      <w:r w:rsidRPr="00AE3C59">
        <w:rPr>
          <w:rFonts w:ascii="Times New Roman" w:eastAsia="Times New Roman" w:hAnsi="Times New Roman" w:cs="Times New Roman"/>
          <w:sz w:val="20"/>
          <w:szCs w:val="20"/>
        </w:rPr>
        <w:t>2012;</w:t>
      </w:r>
      <w:proofErr w:type="gramEnd"/>
    </w:p>
    <w:p w14:paraId="0233FD1B"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filed August 1, </w:t>
      </w:r>
      <w:proofErr w:type="gramStart"/>
      <w:r w:rsidRPr="00AE3C59">
        <w:rPr>
          <w:rFonts w:ascii="Times New Roman" w:eastAsia="Times New Roman" w:hAnsi="Times New Roman" w:cs="Times New Roman"/>
          <w:sz w:val="20"/>
          <w:szCs w:val="20"/>
        </w:rPr>
        <w:t>2013;</w:t>
      </w:r>
      <w:proofErr w:type="gramEnd"/>
    </w:p>
    <w:p w14:paraId="1F81A54A"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Amendment to Certificate of Designation filed on December 12, </w:t>
      </w:r>
      <w:proofErr w:type="gramStart"/>
      <w:r w:rsidRPr="00AE3C59">
        <w:rPr>
          <w:rFonts w:ascii="Times New Roman" w:eastAsia="Times New Roman" w:hAnsi="Times New Roman" w:cs="Times New Roman"/>
          <w:sz w:val="20"/>
          <w:szCs w:val="20"/>
        </w:rPr>
        <w:t>2013;</w:t>
      </w:r>
      <w:proofErr w:type="gramEnd"/>
    </w:p>
    <w:p w14:paraId="4BAECF5E"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December 12, </w:t>
      </w:r>
      <w:proofErr w:type="gramStart"/>
      <w:r w:rsidRPr="00AE3C59">
        <w:rPr>
          <w:rFonts w:ascii="Times New Roman" w:eastAsia="Times New Roman" w:hAnsi="Times New Roman" w:cs="Times New Roman"/>
          <w:sz w:val="20"/>
          <w:szCs w:val="20"/>
        </w:rPr>
        <w:t>2013;</w:t>
      </w:r>
      <w:proofErr w:type="gramEnd"/>
    </w:p>
    <w:p w14:paraId="0C561E92"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February 27, </w:t>
      </w:r>
      <w:proofErr w:type="gramStart"/>
      <w:r w:rsidRPr="00AE3C59">
        <w:rPr>
          <w:rFonts w:ascii="Times New Roman" w:eastAsia="Times New Roman" w:hAnsi="Times New Roman" w:cs="Times New Roman"/>
          <w:sz w:val="20"/>
          <w:szCs w:val="20"/>
        </w:rPr>
        <w:t>2015;</w:t>
      </w:r>
      <w:proofErr w:type="gramEnd"/>
    </w:p>
    <w:p w14:paraId="5EDF7D36"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filed May 13, </w:t>
      </w:r>
      <w:proofErr w:type="gramStart"/>
      <w:r w:rsidRPr="00AE3C59">
        <w:rPr>
          <w:rFonts w:ascii="Times New Roman" w:eastAsia="Times New Roman" w:hAnsi="Times New Roman" w:cs="Times New Roman"/>
          <w:sz w:val="20"/>
          <w:szCs w:val="20"/>
        </w:rPr>
        <w:t>2015;</w:t>
      </w:r>
      <w:proofErr w:type="gramEnd"/>
    </w:p>
    <w:p w14:paraId="3ED366F8"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filed June 14, </w:t>
      </w:r>
      <w:proofErr w:type="gramStart"/>
      <w:r w:rsidRPr="00AE3C59">
        <w:rPr>
          <w:rFonts w:ascii="Times New Roman" w:eastAsia="Times New Roman" w:hAnsi="Times New Roman" w:cs="Times New Roman"/>
          <w:sz w:val="20"/>
          <w:szCs w:val="20"/>
        </w:rPr>
        <w:t>2016;</w:t>
      </w:r>
      <w:proofErr w:type="gramEnd"/>
    </w:p>
    <w:p w14:paraId="4F221694"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May 9, </w:t>
      </w:r>
      <w:proofErr w:type="gramStart"/>
      <w:r w:rsidRPr="00AE3C59">
        <w:rPr>
          <w:rFonts w:ascii="Times New Roman" w:eastAsia="Times New Roman" w:hAnsi="Times New Roman" w:cs="Times New Roman"/>
          <w:sz w:val="20"/>
          <w:szCs w:val="20"/>
        </w:rPr>
        <w:t>2017;</w:t>
      </w:r>
      <w:proofErr w:type="gramEnd"/>
    </w:p>
    <w:p w14:paraId="69C9077A"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of the Corporation filed August 4, </w:t>
      </w:r>
      <w:proofErr w:type="gramStart"/>
      <w:r w:rsidRPr="00AE3C59">
        <w:rPr>
          <w:rFonts w:ascii="Times New Roman" w:eastAsia="Times New Roman" w:hAnsi="Times New Roman" w:cs="Times New Roman"/>
          <w:sz w:val="20"/>
          <w:szCs w:val="20"/>
        </w:rPr>
        <w:t>2017;</w:t>
      </w:r>
      <w:proofErr w:type="gramEnd"/>
    </w:p>
    <w:p w14:paraId="6030B9BF"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February 19, </w:t>
      </w:r>
      <w:proofErr w:type="gramStart"/>
      <w:r w:rsidRPr="00AE3C59">
        <w:rPr>
          <w:rFonts w:ascii="Times New Roman" w:eastAsia="Times New Roman" w:hAnsi="Times New Roman" w:cs="Times New Roman"/>
          <w:sz w:val="20"/>
          <w:szCs w:val="20"/>
        </w:rPr>
        <w:t>2019;</w:t>
      </w:r>
      <w:proofErr w:type="gramEnd"/>
    </w:p>
    <w:p w14:paraId="4852B9D7"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on February 26, </w:t>
      </w:r>
      <w:proofErr w:type="gramStart"/>
      <w:r w:rsidRPr="00AE3C59">
        <w:rPr>
          <w:rFonts w:ascii="Times New Roman" w:eastAsia="Times New Roman" w:hAnsi="Times New Roman" w:cs="Times New Roman"/>
          <w:sz w:val="20"/>
          <w:szCs w:val="20"/>
        </w:rPr>
        <w:t>2019;</w:t>
      </w:r>
      <w:proofErr w:type="gramEnd"/>
    </w:p>
    <w:p w14:paraId="28B044B3"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Amendment to the Certificate of Incorporation of the Company filed April 30, </w:t>
      </w:r>
      <w:proofErr w:type="gramStart"/>
      <w:r w:rsidRPr="00AE3C59">
        <w:rPr>
          <w:rFonts w:ascii="Times New Roman" w:eastAsia="Times New Roman" w:hAnsi="Times New Roman" w:cs="Times New Roman"/>
          <w:sz w:val="20"/>
          <w:szCs w:val="20"/>
        </w:rPr>
        <w:t>2019;</w:t>
      </w:r>
      <w:proofErr w:type="gramEnd"/>
    </w:p>
    <w:p w14:paraId="0D484778"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July 16, </w:t>
      </w:r>
      <w:proofErr w:type="gramStart"/>
      <w:r w:rsidRPr="00AE3C59">
        <w:rPr>
          <w:rFonts w:ascii="Times New Roman" w:eastAsia="Times New Roman" w:hAnsi="Times New Roman" w:cs="Times New Roman"/>
          <w:sz w:val="20"/>
          <w:szCs w:val="20"/>
        </w:rPr>
        <w:t>2019;</w:t>
      </w:r>
      <w:proofErr w:type="gramEnd"/>
    </w:p>
    <w:p w14:paraId="28EA822A"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Certificate of Designation filed July 24, </w:t>
      </w:r>
      <w:proofErr w:type="gramStart"/>
      <w:r w:rsidRPr="00AE3C59">
        <w:rPr>
          <w:rFonts w:ascii="Times New Roman" w:eastAsia="Times New Roman" w:hAnsi="Times New Roman" w:cs="Times New Roman"/>
          <w:sz w:val="20"/>
          <w:szCs w:val="20"/>
        </w:rPr>
        <w:t>2019;</w:t>
      </w:r>
      <w:proofErr w:type="gramEnd"/>
    </w:p>
    <w:p w14:paraId="4790483E" w14:textId="77777777" w:rsidR="00AE3C59" w:rsidRPr="00AE3C59" w:rsidRDefault="00AE3C59" w:rsidP="00AE3C59">
      <w:pPr>
        <w:numPr>
          <w:ilvl w:val="0"/>
          <w:numId w:val="1"/>
        </w:num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Certificate of Amendment to the Certificate of Incorporation of the Corporation filed January 21, 2020; and</w:t>
      </w:r>
    </w:p>
    <w:p w14:paraId="05305B34" w14:textId="77777777" w:rsidR="00AE3C59" w:rsidRPr="00AE3C59" w:rsidRDefault="00AE3C59" w:rsidP="00AE3C59">
      <w:pPr>
        <w:numPr>
          <w:ilvl w:val="0"/>
          <w:numId w:val="1"/>
        </w:numPr>
        <w:spacing w:after="0" w:line="240" w:lineRule="auto"/>
        <w:contextualSpacing/>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Certificate of Designation filed on January 23, 2020,</w:t>
      </w:r>
    </w:p>
    <w:p w14:paraId="2B2783DA"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25FA113F"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is hereby further amended pursuant to Section 242 of the General Corporation Law of the State of Delaware.</w:t>
      </w:r>
    </w:p>
    <w:p w14:paraId="05746991"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5E02A4AF"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The Corporation does hereby further certify that this Certificate of Amendment was duly adopted by the Corporation’s Board of Directors and by the stockholders of the Corporation in accordance with the applicable provisions of Section 242 of the General Corporation Law of the State of Delaware.</w:t>
      </w:r>
    </w:p>
    <w:p w14:paraId="2674B294"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65F3ABE8"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The Certificate of Incorporation of the Corporation, as amended, is amended as follows:</w:t>
      </w:r>
    </w:p>
    <w:p w14:paraId="5016E2CF"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1907FEE3" w14:textId="77777777" w:rsidR="00AE3C59" w:rsidRPr="00AE3C59" w:rsidRDefault="00AE3C59" w:rsidP="00AE3C59">
      <w:pPr>
        <w:spacing w:after="0" w:line="240" w:lineRule="auto"/>
        <w:ind w:left="360"/>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The first paragraph of Article IV of the Certificate of Incorporation, as amended, shall be deleted in its </w:t>
      </w:r>
      <w:proofErr w:type="gramStart"/>
      <w:r w:rsidRPr="00AE3C59">
        <w:rPr>
          <w:rFonts w:ascii="Times New Roman" w:eastAsia="Times New Roman" w:hAnsi="Times New Roman" w:cs="Times New Roman"/>
          <w:sz w:val="20"/>
          <w:szCs w:val="20"/>
        </w:rPr>
        <w:t>entirety</w:t>
      </w:r>
      <w:proofErr w:type="gramEnd"/>
      <w:r w:rsidRPr="00AE3C59">
        <w:rPr>
          <w:rFonts w:ascii="Times New Roman" w:eastAsia="Times New Roman" w:hAnsi="Times New Roman" w:cs="Times New Roman"/>
          <w:sz w:val="20"/>
          <w:szCs w:val="20"/>
        </w:rPr>
        <w:t xml:space="preserve"> and replaced with the following:</w:t>
      </w:r>
    </w:p>
    <w:p w14:paraId="62C9FC37" w14:textId="77777777" w:rsidR="00AE3C59" w:rsidRPr="00AE3C59" w:rsidRDefault="00AE3C59" w:rsidP="00AE3C59">
      <w:pPr>
        <w:spacing w:after="0" w:line="240" w:lineRule="auto"/>
        <w:ind w:left="690"/>
        <w:rPr>
          <w:rFonts w:ascii="Times New Roman" w:eastAsia="Times New Roman" w:hAnsi="Times New Roman" w:cs="Times New Roman"/>
          <w:color w:val="000000"/>
          <w:sz w:val="20"/>
          <w:szCs w:val="20"/>
        </w:rPr>
      </w:pPr>
      <w:r w:rsidRPr="00AE3C59">
        <w:rPr>
          <w:rFonts w:ascii="Times New Roman" w:eastAsia="Times New Roman" w:hAnsi="Times New Roman" w:cs="Times New Roman"/>
          <w:color w:val="000000"/>
          <w:sz w:val="20"/>
          <w:szCs w:val="20"/>
        </w:rPr>
        <w:br/>
        <w:t>“The total number of shares of all classes of stock which the Corporation shall have the authority to issue is 610,000,000 shares, which are divided into two classes consisting of: (a) 600,000,000 shares of Common Stock, par value $0.001 per share, and (b) 10,000,000 shares of Preferred Stock, par value $0.01 per share.</w:t>
      </w:r>
    </w:p>
    <w:p w14:paraId="79DDBB32" w14:textId="77777777" w:rsidR="00AE3C59" w:rsidRPr="00AE3C59" w:rsidRDefault="00AE3C59" w:rsidP="00AE3C59">
      <w:pPr>
        <w:spacing w:after="0" w:line="240" w:lineRule="auto"/>
        <w:rPr>
          <w:rFonts w:ascii="Times New Roman" w:eastAsia="Times New Roman" w:hAnsi="Times New Roman" w:cs="Times New Roman"/>
          <w:color w:val="000000"/>
          <w:sz w:val="20"/>
          <w:szCs w:val="20"/>
        </w:rPr>
      </w:pPr>
      <w:r w:rsidRPr="00AE3C59">
        <w:rPr>
          <w:rFonts w:ascii="Times New Roman" w:eastAsia="Times New Roman" w:hAnsi="Times New Roman" w:cs="Times New Roman"/>
          <w:color w:val="000000"/>
          <w:sz w:val="20"/>
          <w:szCs w:val="20"/>
        </w:rPr>
        <w:t> </w:t>
      </w:r>
    </w:p>
    <w:p w14:paraId="4A63589C" w14:textId="77777777" w:rsidR="00AE3C59" w:rsidRPr="00AE3C59" w:rsidRDefault="00AE3C59" w:rsidP="00AE3C59">
      <w:pPr>
        <w:spacing w:after="0" w:line="240" w:lineRule="auto"/>
        <w:ind w:left="690"/>
        <w:rPr>
          <w:rFonts w:ascii="Times New Roman" w:eastAsia="Times New Roman" w:hAnsi="Times New Roman" w:cs="Times New Roman"/>
          <w:color w:val="000000"/>
          <w:sz w:val="20"/>
          <w:szCs w:val="20"/>
        </w:rPr>
      </w:pPr>
      <w:r w:rsidRPr="00AE3C59">
        <w:rPr>
          <w:rFonts w:ascii="Times New Roman" w:eastAsia="Times New Roman" w:hAnsi="Times New Roman" w:cs="Times New Roman"/>
          <w:color w:val="000000"/>
          <w:sz w:val="20"/>
          <w:szCs w:val="20"/>
        </w:rPr>
        <w:t xml:space="preserve">Upon the effectiveness of this Certificate of Amendment of the Certificate of Incorporation on </w:t>
      </w:r>
      <w:r w:rsidRPr="00AE3C59">
        <w:rPr>
          <w:rFonts w:ascii="Times New Roman" w:eastAsia="Times New Roman" w:hAnsi="Times New Roman" w:cs="Times New Roman"/>
          <w:sz w:val="20"/>
          <w:szCs w:val="20"/>
        </w:rPr>
        <w:t xml:space="preserve">September 25, 2020 at 12:01 a.m. Eastern Time </w:t>
      </w:r>
      <w:r w:rsidRPr="00AE3C59">
        <w:rPr>
          <w:rFonts w:ascii="Times New Roman" w:eastAsia="Times New Roman" w:hAnsi="Times New Roman" w:cs="Times New Roman"/>
          <w:color w:val="000000"/>
          <w:sz w:val="20"/>
          <w:szCs w:val="20"/>
        </w:rPr>
        <w:t xml:space="preserve">(the “Effective Time”), each twenty (20) shares of the Corporation’s Common Stock, par value $0.001 per share (“Old Common Stock”), issued and outstanding immediately prior to the Effective Time will automatically and without any action on the part of the respective holders thereof, be combined and reclassified into one (1) share of Common Stock, par value $0.001 per share (the “New Common Stock”) (and such combination and conversion, the “Reverse Stock Split”). Notwithstanding the immediately preceding sentence, no fractional shares of New Common Stock shall be issued to the holders of record of Old Common Stock in connection with the Reverse Stock Split and the Corporation shall not recognize on its stock record books any purported transfer of any fractional share of </w:t>
      </w:r>
      <w:r w:rsidRPr="00AE3C59">
        <w:rPr>
          <w:rFonts w:ascii="Times New Roman" w:eastAsia="Times New Roman" w:hAnsi="Times New Roman" w:cs="Times New Roman"/>
          <w:color w:val="000000"/>
          <w:sz w:val="20"/>
          <w:szCs w:val="20"/>
        </w:rPr>
        <w:lastRenderedPageBreak/>
        <w:t xml:space="preserve">New Common Stock. In lieu thereof, the Corporation shall make a cash payment equal to the Market Value (as subsequently defined herein) of such fractional share of Common Stock to holders thereof who would otherwise be entitled to receive fractional shares, except for the provisions hereof, upon surrender of certificates representing those shares to the Corporation’s transfer agent. The ownership of such fractional interests shall not entitle the holder thereof to any voting, </w:t>
      </w:r>
      <w:proofErr w:type="gramStart"/>
      <w:r w:rsidRPr="00AE3C59">
        <w:rPr>
          <w:rFonts w:ascii="Times New Roman" w:eastAsia="Times New Roman" w:hAnsi="Times New Roman" w:cs="Times New Roman"/>
          <w:color w:val="000000"/>
          <w:sz w:val="20"/>
          <w:szCs w:val="20"/>
        </w:rPr>
        <w:t>dividend</w:t>
      </w:r>
      <w:proofErr w:type="gramEnd"/>
      <w:r w:rsidRPr="00AE3C59">
        <w:rPr>
          <w:rFonts w:ascii="Times New Roman" w:eastAsia="Times New Roman" w:hAnsi="Times New Roman" w:cs="Times New Roman"/>
          <w:color w:val="000000"/>
          <w:sz w:val="20"/>
          <w:szCs w:val="20"/>
        </w:rPr>
        <w:t xml:space="preserve"> or other right, except the right to receive payment therefor as described above. For the purposes hereof, “Market Value” of shares of Common Stock shall mean an amount per share equal to the closing price of the Common Stock on the business day immediately preceding the Effective Time as reported by the OTC Market (or another exchange on which the Common Stock is then listed). Each stock certificate that, immediately prior to the Effective Time, represented shares of Old Common Stock shall, from and after the Effective Time, automatically and without the necessity of presenting the same for exchange, represent that number of whole shares of New Common Stock into which the shares of Old Common Stock represented by such certificate shall have been reclassified (including any full shares of New Commons Stock issued with respect to fractional shares of Old Common Stock as set forth above), provided, however, that each holder of record of a certificate that represented shares of Old Common Stock shall receive, upon surrender of such certificate, a new certificate representing the number of whole shares of New Common Stock into which the shares of Old Common Stock represented by such certificate shall have been reclassified.”</w:t>
      </w:r>
    </w:p>
    <w:p w14:paraId="604B44CB" w14:textId="77777777" w:rsidR="00AE3C59" w:rsidRPr="00AE3C59" w:rsidRDefault="00AE3C59" w:rsidP="00AE3C59">
      <w:pPr>
        <w:spacing w:after="0" w:line="240" w:lineRule="auto"/>
        <w:ind w:left="690"/>
        <w:rPr>
          <w:rFonts w:ascii="Times New Roman" w:eastAsia="Times New Roman" w:hAnsi="Times New Roman" w:cs="Times New Roman"/>
          <w:color w:val="000000"/>
          <w:sz w:val="20"/>
          <w:szCs w:val="20"/>
        </w:rPr>
      </w:pPr>
    </w:p>
    <w:p w14:paraId="429AFDB5"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The remainder of the Certificate of Incorporation shall remain unchanged and in full force and effect.</w:t>
      </w:r>
    </w:p>
    <w:p w14:paraId="4F03DA0D"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p>
    <w:p w14:paraId="61D101A2"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xml:space="preserve">This Certificate of Amendment shall be effective as of 12:01 a.m. Eastern Time on September 25, 2020. </w:t>
      </w:r>
    </w:p>
    <w:p w14:paraId="2A3886AF"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p w14:paraId="5593B174" w14:textId="77777777" w:rsidR="00AE3C59" w:rsidRPr="00AE3C59" w:rsidRDefault="00AE3C59" w:rsidP="00AE3C59">
      <w:pPr>
        <w:spacing w:after="0" w:line="240" w:lineRule="auto"/>
        <w:jc w:val="both"/>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IN WITNESS WHEREOF, the Corporation has caused this Certificate of Amendment to be signed on September 24, 2020.</w:t>
      </w:r>
    </w:p>
    <w:p w14:paraId="1E0B8CBA" w14:textId="77777777" w:rsidR="00AE3C59" w:rsidRPr="00AE3C59" w:rsidRDefault="00AE3C59" w:rsidP="00AE3C59">
      <w:pPr>
        <w:spacing w:after="0" w:line="240" w:lineRule="auto"/>
        <w:ind w:left="144" w:right="144"/>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304"/>
        <w:gridCol w:w="4442"/>
        <w:gridCol w:w="614"/>
      </w:tblGrid>
      <w:tr w:rsidR="00AE3C59" w:rsidRPr="00AE3C59" w14:paraId="32B3E07B" w14:textId="77777777" w:rsidTr="00EB26FE">
        <w:trPr>
          <w:tblCellSpacing w:w="0" w:type="dxa"/>
        </w:trPr>
        <w:tc>
          <w:tcPr>
            <w:tcW w:w="2299" w:type="pct"/>
            <w:tcBorders>
              <w:bottom w:val="nil"/>
            </w:tcBorders>
            <w:hideMark/>
          </w:tcPr>
          <w:p w14:paraId="3C229064" w14:textId="77777777" w:rsidR="00AE3C59" w:rsidRPr="00AE3C59" w:rsidRDefault="00AE3C59" w:rsidP="00AE3C59">
            <w:pPr>
              <w:spacing w:after="0" w:line="240" w:lineRule="auto"/>
              <w:rPr>
                <w:rFonts w:ascii="Times New Roman" w:eastAsia="Times New Roman" w:hAnsi="Times New Roman" w:cs="Times New Roman"/>
                <w:sz w:val="20"/>
                <w:szCs w:val="20"/>
              </w:rPr>
            </w:pPr>
          </w:p>
          <w:p w14:paraId="150A177C" w14:textId="77777777" w:rsidR="00AE3C59" w:rsidRPr="00AE3C59" w:rsidRDefault="00AE3C59" w:rsidP="00AE3C59">
            <w:pPr>
              <w:spacing w:after="0" w:line="240" w:lineRule="auto"/>
              <w:rPr>
                <w:rFonts w:ascii="Times New Roman" w:eastAsia="Times New Roman" w:hAnsi="Times New Roman" w:cs="Times New Roman"/>
                <w:sz w:val="20"/>
                <w:szCs w:val="20"/>
              </w:rPr>
            </w:pPr>
          </w:p>
        </w:tc>
        <w:tc>
          <w:tcPr>
            <w:tcW w:w="2373" w:type="pct"/>
            <w:tcBorders>
              <w:bottom w:val="nil"/>
            </w:tcBorders>
            <w:hideMark/>
          </w:tcPr>
          <w:p w14:paraId="3F33AAA4" w14:textId="77777777" w:rsidR="00AE3C59" w:rsidRPr="00AE3C59" w:rsidRDefault="00AE3C59" w:rsidP="00AE3C59">
            <w:pPr>
              <w:spacing w:after="0" w:line="240" w:lineRule="auto"/>
              <w:rPr>
                <w:rFonts w:ascii="Times New Roman" w:eastAsia="Times New Roman" w:hAnsi="Times New Roman" w:cs="Times New Roman"/>
                <w:sz w:val="20"/>
                <w:szCs w:val="20"/>
              </w:rPr>
            </w:pPr>
          </w:p>
          <w:p w14:paraId="3C263111" w14:textId="77777777" w:rsidR="00AE3C59" w:rsidRPr="00AE3C59" w:rsidRDefault="00AE3C59" w:rsidP="00AE3C59">
            <w:pPr>
              <w:spacing w:after="0" w:line="240" w:lineRule="auto"/>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GEOVAX LABS, INC.</w:t>
            </w:r>
          </w:p>
        </w:tc>
        <w:tc>
          <w:tcPr>
            <w:tcW w:w="328" w:type="pct"/>
            <w:tcBorders>
              <w:bottom w:val="nil"/>
            </w:tcBorders>
            <w:hideMark/>
          </w:tcPr>
          <w:p w14:paraId="20352AB3" w14:textId="77777777" w:rsidR="00AE3C59" w:rsidRPr="00AE3C59" w:rsidRDefault="00AE3C59" w:rsidP="00AE3C59">
            <w:pPr>
              <w:spacing w:after="0" w:line="240" w:lineRule="auto"/>
              <w:rPr>
                <w:rFonts w:ascii="Times New Roman" w:eastAsia="Times New Roman" w:hAnsi="Times New Roman" w:cs="Times New Roman"/>
                <w:sz w:val="20"/>
                <w:szCs w:val="20"/>
              </w:rPr>
            </w:pPr>
            <w:r w:rsidRPr="00AE3C59">
              <w:rPr>
                <w:rFonts w:ascii="Times New Roman" w:eastAsia="Times New Roman" w:hAnsi="Times New Roman" w:cs="Times New Roman"/>
                <w:sz w:val="20"/>
                <w:szCs w:val="20"/>
              </w:rPr>
              <w:t> </w:t>
            </w:r>
          </w:p>
        </w:tc>
      </w:tr>
    </w:tbl>
    <w:p w14:paraId="39B7A527" w14:textId="77777777" w:rsidR="00AE3C59" w:rsidRPr="00AE3C59" w:rsidRDefault="00AE3C59" w:rsidP="00AE3C59">
      <w:pPr>
        <w:spacing w:after="0" w:line="276" w:lineRule="auto"/>
        <w:rPr>
          <w:sz w:val="20"/>
          <w:szCs w:val="20"/>
        </w:rPr>
      </w:pPr>
      <w:r w:rsidRPr="00AE3C59">
        <w:rPr>
          <w:sz w:val="20"/>
          <w:szCs w:val="20"/>
        </w:rPr>
        <w:tab/>
      </w:r>
      <w:r w:rsidRPr="00AE3C59">
        <w:rPr>
          <w:sz w:val="20"/>
          <w:szCs w:val="20"/>
        </w:rPr>
        <w:tab/>
      </w:r>
      <w:r w:rsidRPr="00AE3C59">
        <w:rPr>
          <w:sz w:val="20"/>
          <w:szCs w:val="20"/>
        </w:rPr>
        <w:tab/>
      </w:r>
      <w:r w:rsidRPr="00AE3C59">
        <w:rPr>
          <w:sz w:val="20"/>
          <w:szCs w:val="20"/>
        </w:rPr>
        <w:tab/>
      </w:r>
      <w:r w:rsidRPr="00AE3C59">
        <w:rPr>
          <w:sz w:val="20"/>
          <w:szCs w:val="20"/>
        </w:rPr>
        <w:tab/>
      </w:r>
      <w:r w:rsidRPr="00AE3C59">
        <w:rPr>
          <w:sz w:val="20"/>
          <w:szCs w:val="20"/>
        </w:rPr>
        <w:tab/>
      </w:r>
    </w:p>
    <w:p w14:paraId="5547942C" w14:textId="77777777" w:rsidR="00AE3C59" w:rsidRPr="00AE3C59" w:rsidRDefault="00AE3C59" w:rsidP="00AE3C59">
      <w:pPr>
        <w:spacing w:after="0" w:line="276" w:lineRule="auto"/>
        <w:rPr>
          <w:sz w:val="20"/>
          <w:szCs w:val="20"/>
        </w:rPr>
      </w:pPr>
    </w:p>
    <w:p w14:paraId="360C2F01" w14:textId="77777777" w:rsidR="00AE3C59" w:rsidRPr="00AE3C59" w:rsidRDefault="00AE3C59" w:rsidP="00AE3C59">
      <w:pPr>
        <w:widowControl w:val="0"/>
        <w:tabs>
          <w:tab w:val="left" w:pos="-1440"/>
          <w:tab w:val="left" w:pos="-720"/>
          <w:tab w:val="left" w:pos="288"/>
          <w:tab w:val="left" w:pos="720"/>
        </w:tabs>
        <w:spacing w:after="0" w:line="276" w:lineRule="auto"/>
        <w:rPr>
          <w:rFonts w:ascii="Times New Roman" w:eastAsia="Times New Roman" w:hAnsi="Times New Roman" w:cs="Times New Roman"/>
          <w:snapToGrid w:val="0"/>
          <w:sz w:val="20"/>
          <w:szCs w:val="20"/>
          <w:u w:val="single"/>
        </w:rPr>
      </w:pPr>
      <w:r w:rsidRPr="00AE3C59">
        <w:rPr>
          <w:sz w:val="20"/>
          <w:szCs w:val="20"/>
        </w:rPr>
        <w:tab/>
      </w:r>
      <w:r w:rsidRPr="00AE3C59">
        <w:rPr>
          <w:sz w:val="20"/>
          <w:szCs w:val="20"/>
        </w:rPr>
        <w:tab/>
      </w:r>
      <w:r w:rsidRPr="00AE3C59">
        <w:rPr>
          <w:sz w:val="20"/>
          <w:szCs w:val="20"/>
        </w:rPr>
        <w:tab/>
      </w:r>
      <w:r w:rsidRPr="00AE3C59">
        <w:rPr>
          <w:sz w:val="20"/>
          <w:szCs w:val="20"/>
        </w:rPr>
        <w:tab/>
      </w:r>
      <w:r w:rsidRPr="00AE3C59">
        <w:rPr>
          <w:sz w:val="20"/>
          <w:szCs w:val="20"/>
        </w:rPr>
        <w:tab/>
      </w:r>
      <w:r w:rsidRPr="00AE3C59">
        <w:rPr>
          <w:sz w:val="20"/>
          <w:szCs w:val="20"/>
        </w:rPr>
        <w:tab/>
      </w:r>
      <w:r w:rsidRPr="00AE3C59">
        <w:rPr>
          <w:rFonts w:ascii="Times New Roman" w:hAnsi="Times New Roman" w:cs="Times New Roman"/>
          <w:sz w:val="20"/>
          <w:szCs w:val="20"/>
        </w:rPr>
        <w:tab/>
      </w:r>
      <w:r w:rsidRPr="00AE3C59">
        <w:rPr>
          <w:rFonts w:ascii="Times New Roman" w:hAnsi="Times New Roman" w:cs="Times New Roman"/>
          <w:sz w:val="20"/>
          <w:szCs w:val="20"/>
          <w:u w:val="single"/>
        </w:rPr>
        <w:t>/s/ David A. Dodd</w:t>
      </w:r>
      <w:r w:rsidRPr="00AE3C59">
        <w:rPr>
          <w:rFonts w:ascii="Times New Roman" w:hAnsi="Times New Roman" w:cs="Times New Roman"/>
          <w:sz w:val="20"/>
          <w:szCs w:val="20"/>
          <w:u w:val="single"/>
        </w:rPr>
        <w:tab/>
      </w:r>
      <w:r w:rsidRPr="00AE3C59">
        <w:rPr>
          <w:rFonts w:ascii="Times New Roman" w:hAnsi="Times New Roman" w:cs="Times New Roman"/>
          <w:sz w:val="20"/>
          <w:szCs w:val="20"/>
          <w:u w:val="single"/>
        </w:rPr>
        <w:tab/>
      </w:r>
      <w:r w:rsidRPr="00AE3C59">
        <w:rPr>
          <w:rFonts w:ascii="Times New Roman" w:hAnsi="Times New Roman" w:cs="Times New Roman"/>
          <w:sz w:val="20"/>
          <w:szCs w:val="20"/>
          <w:u w:val="single"/>
        </w:rPr>
        <w:tab/>
      </w:r>
    </w:p>
    <w:p w14:paraId="0C741D19" w14:textId="77777777" w:rsidR="00AE3C59" w:rsidRPr="00AE3C59" w:rsidRDefault="00AE3C59" w:rsidP="00AE3C59">
      <w:pPr>
        <w:widowControl w:val="0"/>
        <w:tabs>
          <w:tab w:val="left" w:pos="-1440"/>
          <w:tab w:val="left" w:pos="-720"/>
          <w:tab w:val="left" w:pos="288"/>
          <w:tab w:val="left" w:pos="720"/>
        </w:tabs>
        <w:spacing w:after="0" w:line="276" w:lineRule="auto"/>
        <w:rPr>
          <w:rFonts w:ascii="Times New Roman" w:eastAsia="Times New Roman" w:hAnsi="Times New Roman" w:cs="Times New Roman"/>
          <w:snapToGrid w:val="0"/>
          <w:sz w:val="20"/>
          <w:szCs w:val="20"/>
        </w:rPr>
      </w:pP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t>David A. Dodd</w:t>
      </w:r>
    </w:p>
    <w:p w14:paraId="5D8CF27D" w14:textId="77777777" w:rsidR="00AE3C59" w:rsidRPr="00AE3C59" w:rsidRDefault="00AE3C59" w:rsidP="00AE3C59">
      <w:pPr>
        <w:widowControl w:val="0"/>
        <w:tabs>
          <w:tab w:val="left" w:pos="-1440"/>
          <w:tab w:val="left" w:pos="-720"/>
          <w:tab w:val="left" w:pos="288"/>
          <w:tab w:val="left" w:pos="720"/>
        </w:tabs>
        <w:spacing w:after="0" w:line="276" w:lineRule="auto"/>
        <w:rPr>
          <w:rFonts w:ascii="Times New Roman" w:eastAsia="Times New Roman" w:hAnsi="Times New Roman" w:cs="Times New Roman"/>
          <w:snapToGrid w:val="0"/>
          <w:sz w:val="20"/>
          <w:szCs w:val="20"/>
        </w:rPr>
      </w:pP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r>
      <w:r w:rsidRPr="00AE3C59">
        <w:rPr>
          <w:rFonts w:ascii="Times New Roman" w:eastAsia="Times New Roman" w:hAnsi="Times New Roman" w:cs="Times New Roman"/>
          <w:snapToGrid w:val="0"/>
          <w:sz w:val="20"/>
          <w:szCs w:val="20"/>
        </w:rPr>
        <w:tab/>
        <w:t>President and Chief Executive Officer</w:t>
      </w:r>
    </w:p>
    <w:p w14:paraId="033F9E46" w14:textId="77777777" w:rsidR="00AE3C59" w:rsidRPr="00AE3C59" w:rsidRDefault="00AE3C59" w:rsidP="00AE3C59">
      <w:pPr>
        <w:widowControl w:val="0"/>
        <w:tabs>
          <w:tab w:val="left" w:pos="-1440"/>
          <w:tab w:val="left" w:pos="-720"/>
          <w:tab w:val="left" w:pos="288"/>
          <w:tab w:val="left" w:pos="720"/>
        </w:tabs>
        <w:spacing w:after="0" w:line="276" w:lineRule="auto"/>
        <w:rPr>
          <w:rFonts w:ascii="Times New Roman" w:eastAsia="Times New Roman" w:hAnsi="Times New Roman" w:cs="Times New Roman"/>
          <w:snapToGrid w:val="0"/>
          <w:sz w:val="20"/>
          <w:szCs w:val="20"/>
        </w:rPr>
      </w:pPr>
    </w:p>
    <w:p w14:paraId="3AA79662" w14:textId="77777777" w:rsidR="00AE3C59" w:rsidRPr="00AE3C59" w:rsidRDefault="00AE3C59" w:rsidP="00AE3C59">
      <w:pPr>
        <w:widowControl w:val="0"/>
        <w:tabs>
          <w:tab w:val="left" w:pos="-1440"/>
          <w:tab w:val="left" w:pos="-720"/>
          <w:tab w:val="left" w:pos="288"/>
          <w:tab w:val="left" w:pos="720"/>
        </w:tabs>
        <w:spacing w:after="0" w:line="276" w:lineRule="auto"/>
        <w:rPr>
          <w:rFonts w:ascii="Times New Roman" w:eastAsia="Times New Roman" w:hAnsi="Times New Roman" w:cs="Times New Roman"/>
          <w:snapToGrid w:val="0"/>
          <w:sz w:val="20"/>
          <w:szCs w:val="20"/>
        </w:rPr>
      </w:pPr>
    </w:p>
    <w:p w14:paraId="4A40F4DC" w14:textId="77777777" w:rsidR="00AE3C59" w:rsidRPr="00AE3C59" w:rsidRDefault="00AE3C59" w:rsidP="00AE3C59">
      <w:pPr>
        <w:widowControl w:val="0"/>
        <w:tabs>
          <w:tab w:val="left" w:pos="-1440"/>
          <w:tab w:val="left" w:pos="-720"/>
          <w:tab w:val="left" w:pos="288"/>
          <w:tab w:val="left" w:pos="720"/>
        </w:tabs>
        <w:spacing w:after="0" w:line="276" w:lineRule="auto"/>
        <w:rPr>
          <w:rFonts w:ascii="Arial" w:eastAsia="Times New Roman" w:hAnsi="Arial" w:cs="Arial"/>
          <w:snapToGrid w:val="0"/>
          <w:sz w:val="24"/>
          <w:szCs w:val="24"/>
        </w:rPr>
      </w:pPr>
      <w:r w:rsidRPr="00AE3C59">
        <w:rPr>
          <w:rFonts w:ascii="Arial" w:eastAsia="Times New Roman" w:hAnsi="Arial" w:cs="Arial"/>
          <w:snapToGrid w:val="0"/>
          <w:sz w:val="24"/>
          <w:szCs w:val="24"/>
        </w:rPr>
        <w:tab/>
      </w:r>
      <w:r w:rsidRPr="00AE3C59">
        <w:rPr>
          <w:rFonts w:ascii="Arial" w:eastAsia="Times New Roman" w:hAnsi="Arial" w:cs="Arial"/>
          <w:snapToGrid w:val="0"/>
          <w:sz w:val="24"/>
          <w:szCs w:val="24"/>
        </w:rPr>
        <w:tab/>
      </w:r>
      <w:r w:rsidRPr="00AE3C59">
        <w:rPr>
          <w:rFonts w:ascii="Arial" w:eastAsia="Times New Roman" w:hAnsi="Arial" w:cs="Arial"/>
          <w:snapToGrid w:val="0"/>
          <w:sz w:val="24"/>
          <w:szCs w:val="24"/>
        </w:rPr>
        <w:tab/>
      </w:r>
      <w:r w:rsidRPr="00AE3C59">
        <w:rPr>
          <w:rFonts w:ascii="Arial" w:eastAsia="Times New Roman" w:hAnsi="Arial" w:cs="Arial"/>
          <w:snapToGrid w:val="0"/>
          <w:sz w:val="24"/>
          <w:szCs w:val="24"/>
        </w:rPr>
        <w:tab/>
      </w:r>
      <w:r w:rsidRPr="00AE3C59">
        <w:rPr>
          <w:rFonts w:ascii="Arial" w:eastAsia="Times New Roman" w:hAnsi="Arial" w:cs="Arial"/>
          <w:snapToGrid w:val="0"/>
          <w:sz w:val="24"/>
          <w:szCs w:val="24"/>
        </w:rPr>
        <w:tab/>
      </w:r>
      <w:r w:rsidRPr="00AE3C59">
        <w:rPr>
          <w:rFonts w:ascii="Arial" w:eastAsia="Times New Roman" w:hAnsi="Arial" w:cs="Arial"/>
          <w:snapToGrid w:val="0"/>
          <w:sz w:val="24"/>
          <w:szCs w:val="24"/>
        </w:rPr>
        <w:tab/>
      </w:r>
    </w:p>
    <w:p w14:paraId="38FE82CD" w14:textId="77777777" w:rsidR="00AE3C59" w:rsidRPr="00AE3C59" w:rsidRDefault="00AE3C59" w:rsidP="00AE3C59">
      <w:pPr>
        <w:spacing w:after="0" w:line="276" w:lineRule="auto"/>
      </w:pPr>
    </w:p>
    <w:p w14:paraId="5BDE3FEA" w14:textId="77777777" w:rsidR="00AE3C59" w:rsidRDefault="00AE3C59" w:rsidP="00AE3C59">
      <w:pPr>
        <w:rPr>
          <w:rFonts w:cs="Times New Roman"/>
          <w:szCs w:val="24"/>
        </w:rPr>
        <w:sectPr w:rsidR="00AE3C59" w:rsidSect="00B01EC9">
          <w:footerReference w:type="default" r:id="rId10"/>
          <w:pgSz w:w="12240" w:h="15840"/>
          <w:pgMar w:top="1440" w:right="1440" w:bottom="1440" w:left="1440" w:header="720" w:footer="720" w:gutter="0"/>
          <w:cols w:space="720"/>
          <w:docGrid w:linePitch="360"/>
        </w:sectPr>
      </w:pPr>
    </w:p>
    <w:p w14:paraId="21381044" w14:textId="77777777" w:rsidR="00AE3C59" w:rsidRPr="00AE3C59" w:rsidRDefault="00AE3C59" w:rsidP="00AE3C59">
      <w:pPr>
        <w:spacing w:after="0" w:line="240" w:lineRule="auto"/>
        <w:rPr>
          <w:rFonts w:ascii="Times New Roman" w:eastAsia="Times New Roman" w:hAnsi="Times New Roman" w:cs="Times New Roman"/>
          <w:sz w:val="24"/>
          <w:szCs w:val="24"/>
          <w:lang w:val="en-US" w:eastAsia="en-US" w:bidi="ar-SA"/>
        </w:rPr>
      </w:pPr>
      <w:r w:rsidRPr="00AE3C59">
        <w:rPr>
          <w:rFonts w:ascii="Times New Roman" w:eastAsia="Times New Roman" w:hAnsi="Times New Roman" w:cs="Times New Roman"/>
          <w:sz w:val="24"/>
          <w:szCs w:val="24"/>
          <w:lang w:val="en-US" w:eastAsia="en-US" w:bidi="ar-SA"/>
        </w:rPr>
        <w:lastRenderedPageBreak/>
        <w:t> </w:t>
      </w:r>
    </w:p>
    <w:p w14:paraId="7ED4D72B" w14:textId="77777777" w:rsidR="00AE3C59" w:rsidRPr="00AE3C59" w:rsidRDefault="00AE3C59" w:rsidP="00AE3C59">
      <w:pPr>
        <w:spacing w:after="0" w:line="240" w:lineRule="auto"/>
        <w:jc w:val="right"/>
        <w:rPr>
          <w:rFonts w:ascii="Times New Roman" w:eastAsia="Times New Roman" w:hAnsi="Times New Roman" w:cs="Times New Roman"/>
          <w:b/>
          <w:bCs/>
          <w:sz w:val="20"/>
          <w:szCs w:val="20"/>
          <w:lang w:eastAsia="en-US" w:bidi="ar-SA"/>
        </w:rPr>
      </w:pPr>
      <w:r w:rsidRPr="00AE3C59">
        <w:rPr>
          <w:rFonts w:ascii="Times New Roman" w:eastAsia="Times New Roman" w:hAnsi="Times New Roman" w:cs="Times New Roman"/>
          <w:b/>
          <w:bCs/>
          <w:sz w:val="20"/>
          <w:szCs w:val="20"/>
          <w:lang w:val="en-US" w:eastAsia="en-US" w:bidi="ar-SA"/>
        </w:rPr>
        <w:t>Exhibit 4.4</w:t>
      </w:r>
      <w:r w:rsidRPr="00AE3C59">
        <w:rPr>
          <w:rFonts w:ascii="Times New Roman" w:eastAsia="Times New Roman" w:hAnsi="Times New Roman" w:cs="Times New Roman"/>
          <w:b/>
          <w:bCs/>
          <w:sz w:val="20"/>
          <w:szCs w:val="20"/>
          <w:lang w:eastAsia="en-US" w:bidi="ar-SA"/>
        </w:rPr>
        <w:t>.1</w:t>
      </w:r>
    </w:p>
    <w:p w14:paraId="464F7DFD" w14:textId="77777777" w:rsidR="00AE3C59" w:rsidRPr="00AE3C59" w:rsidRDefault="00AE3C59" w:rsidP="00AE3C59">
      <w:pPr>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A12601"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eastAsia="en-US" w:bidi="ar-SA"/>
        </w:rPr>
        <w:t>PRE-FUNDED</w:t>
      </w:r>
      <w:r w:rsidRPr="00AE3C59">
        <w:rPr>
          <w:rFonts w:ascii="Times New Roman" w:eastAsia="Times New Roman" w:hAnsi="Times New Roman" w:cs="Times New Roman"/>
          <w:b/>
          <w:bCs/>
          <w:sz w:val="20"/>
          <w:szCs w:val="20"/>
          <w:lang w:val="en-US" w:eastAsia="en-US" w:bidi="ar-SA"/>
        </w:rPr>
        <w:t xml:space="preserve"> </w:t>
      </w:r>
      <w:r w:rsidRPr="00AE3C59">
        <w:rPr>
          <w:rFonts w:ascii="Times New Roman" w:eastAsia="Times New Roman" w:hAnsi="Times New Roman" w:cs="Times New Roman"/>
          <w:b/>
          <w:bCs/>
          <w:sz w:val="20"/>
          <w:szCs w:val="20"/>
          <w:lang w:eastAsia="en-US" w:bidi="ar-SA"/>
        </w:rPr>
        <w:t xml:space="preserve">COMMON STOCK </w:t>
      </w:r>
      <w:r w:rsidRPr="00AE3C59">
        <w:rPr>
          <w:rFonts w:ascii="Times New Roman" w:eastAsia="Times New Roman" w:hAnsi="Times New Roman" w:cs="Times New Roman"/>
          <w:b/>
          <w:bCs/>
          <w:sz w:val="20"/>
          <w:szCs w:val="20"/>
          <w:lang w:val="en-US" w:eastAsia="en-US" w:bidi="ar-SA"/>
        </w:rPr>
        <w:t>PURCHASE WARRANT</w:t>
      </w:r>
    </w:p>
    <w:p w14:paraId="2B3BDF10" w14:textId="77777777" w:rsidR="00AE3C59" w:rsidRPr="00AE3C59" w:rsidRDefault="00AE3C59" w:rsidP="00AE3C59">
      <w:pPr>
        <w:spacing w:after="0" w:line="240" w:lineRule="auto"/>
        <w:jc w:val="center"/>
        <w:rPr>
          <w:rFonts w:ascii="Times New Roman" w:eastAsia="Times New Roman" w:hAnsi="Times New Roman" w:cs="Times New Roman"/>
          <w:b/>
          <w:bCs/>
          <w:caps/>
          <w:sz w:val="20"/>
          <w:szCs w:val="20"/>
          <w:lang w:val="en-US" w:eastAsia="en-US" w:bidi="ar-SA"/>
        </w:rPr>
      </w:pPr>
      <w:r w:rsidRPr="00AE3C59">
        <w:rPr>
          <w:rFonts w:ascii="Times New Roman" w:eastAsia="Times New Roman" w:hAnsi="Times New Roman" w:cs="Times New Roman"/>
          <w:b/>
          <w:bCs/>
          <w:caps/>
          <w:sz w:val="20"/>
          <w:szCs w:val="20"/>
          <w:lang w:val="en-US" w:eastAsia="en-US" w:bidi="ar-SA"/>
        </w:rPr>
        <w:t>GEOVAX LABS, INC.</w:t>
      </w:r>
    </w:p>
    <w:p w14:paraId="32E93577"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680"/>
        <w:gridCol w:w="4680"/>
      </w:tblGrid>
      <w:tr w:rsidR="00AE3C59" w:rsidRPr="00AE3C59" w14:paraId="0FFBDD2E" w14:textId="77777777" w:rsidTr="00EB26FE">
        <w:tc>
          <w:tcPr>
            <w:tcW w:w="2500" w:type="pct"/>
            <w:tcBorders>
              <w:left w:val="nil"/>
              <w:right w:val="nil"/>
            </w:tcBorders>
            <w:tcMar>
              <w:top w:w="0" w:type="dxa"/>
              <w:left w:w="0" w:type="dxa"/>
              <w:bottom w:w="0" w:type="dxa"/>
              <w:right w:w="0" w:type="dxa"/>
            </w:tcMar>
          </w:tcPr>
          <w:p w14:paraId="37B4E91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Warrant Shares: [_______]</w:t>
            </w:r>
          </w:p>
        </w:tc>
        <w:tc>
          <w:tcPr>
            <w:tcW w:w="2500" w:type="pct"/>
            <w:tcBorders>
              <w:left w:val="nil"/>
              <w:right w:val="nil"/>
            </w:tcBorders>
            <w:tcMar>
              <w:top w:w="0" w:type="dxa"/>
              <w:left w:w="0" w:type="dxa"/>
              <w:bottom w:w="0" w:type="dxa"/>
              <w:right w:w="0" w:type="dxa"/>
            </w:tcMar>
          </w:tcPr>
          <w:p w14:paraId="325F603D" w14:textId="77777777" w:rsidR="00AE3C59" w:rsidRPr="00AE3C59" w:rsidRDefault="00AE3C59" w:rsidP="00AE3C59">
            <w:pPr>
              <w:spacing w:after="0" w:line="240" w:lineRule="auto"/>
              <w:jc w:val="right"/>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Original Issuance Date: [_______], 2020</w:t>
            </w:r>
          </w:p>
        </w:tc>
      </w:tr>
    </w:tbl>
    <w:p w14:paraId="4C60D91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754E14"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THIS </w:t>
      </w:r>
      <w:r w:rsidRPr="00AE3C59">
        <w:rPr>
          <w:rFonts w:ascii="Times New Roman" w:eastAsia="Times New Roman" w:hAnsi="Times New Roman" w:cs="Times New Roman"/>
          <w:sz w:val="20"/>
          <w:szCs w:val="20"/>
          <w:lang w:eastAsia="en-US" w:bidi="ar-SA"/>
        </w:rPr>
        <w:t>PRE-FUNDED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lang w:eastAsia="en-US" w:bidi="ar-SA"/>
        </w:rPr>
        <w:t xml:space="preserve">COMMON STOCK </w:t>
      </w:r>
      <w:r w:rsidRPr="00AE3C59">
        <w:rPr>
          <w:rFonts w:ascii="Times New Roman" w:eastAsia="Times New Roman" w:hAnsi="Times New Roman" w:cs="Times New Roman"/>
          <w:sz w:val="20"/>
          <w:szCs w:val="20"/>
          <w:lang w:val="en-US" w:eastAsia="en-US" w:bidi="ar-SA"/>
        </w:rPr>
        <w:t>PURCHASE WARRANT (this “</w:t>
      </w:r>
      <w:r w:rsidRPr="00AE3C59">
        <w:rPr>
          <w:rFonts w:ascii="Times New Roman" w:eastAsia="Times New Roman" w:hAnsi="Times New Roman" w:cs="Times New Roman"/>
          <w:sz w:val="20"/>
          <w:szCs w:val="20"/>
          <w:u w:val="single"/>
          <w:lang w:val="en-US" w:eastAsia="en-US" w:bidi="ar-SA"/>
        </w:rPr>
        <w:t>Warrant</w:t>
      </w:r>
      <w:r w:rsidRPr="00AE3C59">
        <w:rPr>
          <w:rFonts w:ascii="Times New Roman" w:eastAsia="Times New Roman" w:hAnsi="Times New Roman" w:cs="Times New Roman"/>
          <w:sz w:val="20"/>
          <w:szCs w:val="20"/>
          <w:lang w:val="en-US" w:eastAsia="en-US" w:bidi="ar-SA"/>
        </w:rPr>
        <w:t>”) certifies that, for value received, _____________ or its assigns (the “</w:t>
      </w:r>
      <w:r w:rsidRPr="00AE3C59">
        <w:rPr>
          <w:rFonts w:ascii="Times New Roman" w:eastAsia="Times New Roman" w:hAnsi="Times New Roman" w:cs="Times New Roman"/>
          <w:sz w:val="20"/>
          <w:szCs w:val="20"/>
          <w:u w:val="single"/>
          <w:lang w:val="en-US" w:eastAsia="en-US" w:bidi="ar-SA"/>
        </w:rPr>
        <w:t>Holder</w:t>
      </w:r>
      <w:r w:rsidRPr="00AE3C59">
        <w:rPr>
          <w:rFonts w:ascii="Times New Roman" w:eastAsia="Times New Roman" w:hAnsi="Times New Roman" w:cs="Times New Roman"/>
          <w:sz w:val="20"/>
          <w:szCs w:val="20"/>
          <w:lang w:val="en-US" w:eastAsia="en-US" w:bidi="ar-SA"/>
        </w:rPr>
        <w:t>”) is entitled, upon the terms and subject to the limitations on exercise and the conditions hereinafter set forth, at any time on or after the date hereof (the “</w:t>
      </w:r>
      <w:r w:rsidRPr="00AE3C59">
        <w:rPr>
          <w:rFonts w:ascii="Times New Roman" w:eastAsia="Times New Roman" w:hAnsi="Times New Roman" w:cs="Times New Roman"/>
          <w:sz w:val="20"/>
          <w:szCs w:val="20"/>
          <w:u w:val="single"/>
          <w:lang w:val="en-US" w:eastAsia="en-US" w:bidi="ar-SA"/>
        </w:rPr>
        <w:t>Original Issuance Date</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lang w:eastAsia="en-US" w:bidi="ar-SA"/>
        </w:rPr>
        <w:t>until this Warrant is exercised in full</w:t>
      </w:r>
      <w:r w:rsidRPr="00AE3C59">
        <w:rPr>
          <w:rFonts w:ascii="Times New Roman" w:eastAsia="Times New Roman" w:hAnsi="Times New Roman" w:cs="Times New Roman"/>
          <w:sz w:val="20"/>
          <w:szCs w:val="20"/>
          <w:lang w:val="en-US" w:eastAsia="en-US" w:bidi="ar-SA"/>
        </w:rPr>
        <w:t xml:space="preserve"> (the “</w:t>
      </w:r>
      <w:r w:rsidRPr="00AE3C59">
        <w:rPr>
          <w:rFonts w:ascii="Times New Roman" w:eastAsia="Times New Roman" w:hAnsi="Times New Roman" w:cs="Times New Roman"/>
          <w:sz w:val="20"/>
          <w:szCs w:val="20"/>
          <w:u w:val="single"/>
          <w:lang w:val="en-US" w:eastAsia="en-US" w:bidi="ar-SA"/>
        </w:rPr>
        <w:t>Termination Date</w:t>
      </w:r>
      <w:r w:rsidRPr="00AE3C59">
        <w:rPr>
          <w:rFonts w:ascii="Times New Roman" w:eastAsia="Times New Roman" w:hAnsi="Times New Roman" w:cs="Times New Roman"/>
          <w:sz w:val="20"/>
          <w:szCs w:val="20"/>
          <w:lang w:val="en-US" w:eastAsia="en-US" w:bidi="ar-SA"/>
        </w:rPr>
        <w:t>”) but not thereafter, to subscribe for and purchase from GeoVax Labs, Inc., a Delaware corporation (the “</w:t>
      </w:r>
      <w:r w:rsidRPr="00AE3C59">
        <w:rPr>
          <w:rFonts w:ascii="Times New Roman" w:eastAsia="Times New Roman" w:hAnsi="Times New Roman" w:cs="Times New Roman"/>
          <w:sz w:val="20"/>
          <w:szCs w:val="20"/>
          <w:u w:val="single"/>
          <w:lang w:val="en-US" w:eastAsia="en-US" w:bidi="ar-SA"/>
        </w:rPr>
        <w:t>Company</w:t>
      </w:r>
      <w:r w:rsidRPr="00AE3C59">
        <w:rPr>
          <w:rFonts w:ascii="Times New Roman" w:eastAsia="Times New Roman" w:hAnsi="Times New Roman" w:cs="Times New Roman"/>
          <w:sz w:val="20"/>
          <w:szCs w:val="20"/>
          <w:lang w:val="en-US" w:eastAsia="en-US" w:bidi="ar-SA"/>
        </w:rPr>
        <w:t>”), up to [___] shares (as subject to adjustment hereunder, the “</w:t>
      </w:r>
      <w:r w:rsidRPr="00AE3C59">
        <w:rPr>
          <w:rFonts w:ascii="Times New Roman" w:eastAsia="Times New Roman" w:hAnsi="Times New Roman" w:cs="Times New Roman"/>
          <w:sz w:val="20"/>
          <w:szCs w:val="20"/>
          <w:u w:val="single"/>
          <w:lang w:val="en-US" w:eastAsia="en-US" w:bidi="ar-SA"/>
        </w:rPr>
        <w:t>Warrant Shares</w:t>
      </w:r>
      <w:r w:rsidRPr="00AE3C59">
        <w:rPr>
          <w:rFonts w:ascii="Times New Roman" w:eastAsia="Times New Roman" w:hAnsi="Times New Roman" w:cs="Times New Roman"/>
          <w:sz w:val="20"/>
          <w:szCs w:val="20"/>
          <w:lang w:val="en-US" w:eastAsia="en-US" w:bidi="ar-SA"/>
        </w:rPr>
        <w:t>”) of common stock of the Company, par value $0.001 per share (“</w:t>
      </w:r>
      <w:r w:rsidRPr="00AE3C59">
        <w:rPr>
          <w:rFonts w:ascii="Times New Roman" w:eastAsia="Times New Roman" w:hAnsi="Times New Roman" w:cs="Times New Roman"/>
          <w:sz w:val="20"/>
          <w:szCs w:val="20"/>
          <w:u w:val="single"/>
          <w:lang w:val="en-US" w:eastAsia="en-US" w:bidi="ar-SA"/>
        </w:rPr>
        <w:t>Common Stock</w:t>
      </w:r>
      <w:r w:rsidRPr="00AE3C59">
        <w:rPr>
          <w:rFonts w:ascii="Times New Roman" w:eastAsia="Times New Roman" w:hAnsi="Times New Roman" w:cs="Times New Roman"/>
          <w:sz w:val="20"/>
          <w:szCs w:val="20"/>
          <w:lang w:val="en-US" w:eastAsia="en-US" w:bidi="ar-SA"/>
        </w:rPr>
        <w:t>”). The purchase price of one share of Common Stock under this Warrant shall be equal to the Exercise Price, as defined in Section 2(b).</w:t>
      </w:r>
    </w:p>
    <w:p w14:paraId="41411F5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A5D4BA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Section 1</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Definitions</w:t>
      </w:r>
      <w:r w:rsidRPr="00AE3C59">
        <w:rPr>
          <w:rFonts w:ascii="Times New Roman" w:eastAsia="Times New Roman" w:hAnsi="Times New Roman" w:cs="Times New Roman"/>
          <w:sz w:val="20"/>
          <w:szCs w:val="20"/>
          <w:lang w:val="en-US" w:eastAsia="en-US" w:bidi="ar-SA"/>
        </w:rPr>
        <w:t>. In addition to the terms defined elsewhere in this Warrant, the following terms have the meanings indicated in this Section 1:</w:t>
      </w:r>
    </w:p>
    <w:p w14:paraId="682B9B0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BE7749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Affiliate</w:t>
      </w:r>
      <w:r w:rsidRPr="00AE3C59">
        <w:rPr>
          <w:rFonts w:ascii="Times New Roman" w:eastAsia="Times New Roman" w:hAnsi="Times New Roman" w:cs="Times New Roman"/>
          <w:sz w:val="20"/>
          <w:szCs w:val="20"/>
          <w:lang w:val="en-US" w:eastAsia="en-US" w:bidi="ar-SA"/>
        </w:rPr>
        <w:t>” means any Person that, directly or indirectly through one or more intermediaries, controls or is controlled by or is under common control with a Person, as such terms are used in and construed under Rule 405 under the Securities Act.</w:t>
      </w:r>
    </w:p>
    <w:p w14:paraId="2971D52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F09ECB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Business Day</w:t>
      </w:r>
      <w:r w:rsidRPr="00AE3C59">
        <w:rPr>
          <w:rFonts w:ascii="Times New Roman" w:eastAsia="Times New Roman" w:hAnsi="Times New Roman" w:cs="Times New Roman"/>
          <w:sz w:val="20"/>
          <w:szCs w:val="20"/>
          <w:lang w:val="en-US" w:eastAsia="en-US" w:bidi="ar-SA"/>
        </w:rPr>
        <w:t>” means any day other than Saturday, Sunday or other day on which commercial banks in The City of New York are authorized or required by law to remain closed; provided that banks shall not be deemed to be authorized or obligated to be closed due to a “shelter in place,” “non-essential employee” or similar closure of physical branch locations at the direction of any governmental authority if such banks’ electronic funds transfer systems (including for wire transfers) are open for use by customers on such day.</w:t>
      </w:r>
    </w:p>
    <w:p w14:paraId="0ACA016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2A430EC"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Commission</w:t>
      </w:r>
      <w:r w:rsidRPr="00AE3C59">
        <w:rPr>
          <w:rFonts w:ascii="Times New Roman" w:eastAsia="Times New Roman" w:hAnsi="Times New Roman" w:cs="Times New Roman"/>
          <w:sz w:val="20"/>
          <w:szCs w:val="20"/>
          <w:lang w:val="en-US" w:eastAsia="en-US" w:bidi="ar-SA"/>
        </w:rPr>
        <w:t>” means the United States Securities and Exchange Commission.</w:t>
      </w:r>
    </w:p>
    <w:p w14:paraId="6FF58E2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A5C0FEB"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Common Stock Equivalents</w:t>
      </w:r>
      <w:r w:rsidRPr="00AE3C59">
        <w:rPr>
          <w:rFonts w:ascii="Times New Roman" w:eastAsia="Times New Roman" w:hAnsi="Times New Roman" w:cs="Times New Roman"/>
          <w:sz w:val="20"/>
          <w:szCs w:val="20"/>
          <w:lang w:val="en-US" w:eastAsia="en-US" w:bidi="ar-SA"/>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78DB845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8719D0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Exchange Act</w:t>
      </w:r>
      <w:r w:rsidRPr="00AE3C59">
        <w:rPr>
          <w:rFonts w:ascii="Times New Roman" w:eastAsia="Times New Roman" w:hAnsi="Times New Roman" w:cs="Times New Roman"/>
          <w:sz w:val="20"/>
          <w:szCs w:val="20"/>
          <w:lang w:val="en-US" w:eastAsia="en-US" w:bidi="ar-SA"/>
        </w:rPr>
        <w:t>” means the Securities Exchange Act of 1934, as amended, and the rules and regulations promulgated thereunder.</w:t>
      </w:r>
    </w:p>
    <w:p w14:paraId="59A20D0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8DBA11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Person</w:t>
      </w:r>
      <w:r w:rsidRPr="00AE3C59">
        <w:rPr>
          <w:rFonts w:ascii="Times New Roman" w:eastAsia="Times New Roman" w:hAnsi="Times New Roman" w:cs="Times New Roman"/>
          <w:sz w:val="20"/>
          <w:szCs w:val="20"/>
          <w:lang w:val="en-US" w:eastAsia="en-US" w:bidi="ar-SA"/>
        </w:rPr>
        <w:t>” means an individual or corporation, partnership, trust, incorporated or unincorporated association, joint venture, limited liability company, joint stock company, government (or an agency or subdivision thereof) or other entity of any kind.</w:t>
      </w:r>
    </w:p>
    <w:p w14:paraId="5CBEA78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92D88D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Registration Statement</w:t>
      </w:r>
      <w:r w:rsidRPr="00AE3C59">
        <w:rPr>
          <w:rFonts w:ascii="Times New Roman" w:eastAsia="Times New Roman" w:hAnsi="Times New Roman" w:cs="Times New Roman"/>
          <w:sz w:val="20"/>
          <w:szCs w:val="20"/>
          <w:lang w:val="en-US" w:eastAsia="en-US" w:bidi="ar-SA"/>
        </w:rPr>
        <w:t>” means the Company’s registration statement on Form S-1, as amended (File No. 333-</w:t>
      </w:r>
      <w:r w:rsidRPr="00AE3C59">
        <w:rPr>
          <w:rFonts w:ascii="Times New Roman" w:eastAsia="Times New Roman" w:hAnsi="Times New Roman" w:cs="Times New Roman"/>
          <w:sz w:val="20"/>
          <w:szCs w:val="20"/>
          <w:lang w:eastAsia="en-US" w:bidi="ar-SA"/>
        </w:rPr>
        <w:t>239958</w:t>
      </w:r>
      <w:r w:rsidRPr="00AE3C59">
        <w:rPr>
          <w:rFonts w:ascii="Times New Roman" w:eastAsia="Times New Roman" w:hAnsi="Times New Roman" w:cs="Times New Roman"/>
          <w:sz w:val="20"/>
          <w:szCs w:val="20"/>
          <w:lang w:val="en-US" w:eastAsia="en-US" w:bidi="ar-SA"/>
        </w:rPr>
        <w:t>).</w:t>
      </w:r>
    </w:p>
    <w:p w14:paraId="02E651D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8DE09AE"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Securities Act</w:t>
      </w:r>
      <w:r w:rsidRPr="00AE3C59">
        <w:rPr>
          <w:rFonts w:ascii="Times New Roman" w:eastAsia="Times New Roman" w:hAnsi="Times New Roman" w:cs="Times New Roman"/>
          <w:sz w:val="20"/>
          <w:szCs w:val="20"/>
          <w:lang w:val="en-US" w:eastAsia="en-US" w:bidi="ar-SA"/>
        </w:rPr>
        <w:t>” means the Securities Act of 1933, as amended, and the rules and regulations promulgated thereunder.</w:t>
      </w:r>
    </w:p>
    <w:p w14:paraId="592645F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C57A300"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Trading Day</w:t>
      </w:r>
      <w:r w:rsidRPr="00AE3C59">
        <w:rPr>
          <w:rFonts w:ascii="Times New Roman" w:eastAsia="Times New Roman" w:hAnsi="Times New Roman" w:cs="Times New Roman"/>
          <w:sz w:val="20"/>
          <w:szCs w:val="20"/>
          <w:lang w:val="en-US" w:eastAsia="en-US" w:bidi="ar-SA"/>
        </w:rPr>
        <w:t>” means a day on which the Common Stock is traded on a Trading Market.</w:t>
      </w:r>
    </w:p>
    <w:p w14:paraId="3914F14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379B03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Trading Market</w:t>
      </w:r>
      <w:r w:rsidRPr="00AE3C59">
        <w:rPr>
          <w:rFonts w:ascii="Times New Roman" w:eastAsia="Times New Roman" w:hAnsi="Times New Roman" w:cs="Times New Roman"/>
          <w:sz w:val="20"/>
          <w:szCs w:val="20"/>
          <w:lang w:val="en-US" w:eastAsia="en-US" w:bidi="ar-SA"/>
        </w:rPr>
        <w:t>” means any of the following markets or exchanges on which the Common Stock is listed or quoted for trading on the date in question: the NYSE American, the Nasdaq Capital Market, the Nasdaq Global Market, the Nasdaq Global Select Market or the New York Stock Exchange (or any successors to any of the foregoing).</w:t>
      </w:r>
    </w:p>
    <w:p w14:paraId="1E6A5CB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73A26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w:t>
      </w:r>
      <w:r w:rsidRPr="00AE3C59">
        <w:rPr>
          <w:rFonts w:ascii="Times New Roman" w:eastAsia="Times New Roman" w:hAnsi="Times New Roman" w:cs="Times New Roman"/>
          <w:sz w:val="20"/>
          <w:szCs w:val="20"/>
          <w:u w:val="single"/>
          <w:lang w:val="en-US" w:eastAsia="en-US" w:bidi="ar-SA"/>
        </w:rPr>
        <w:t>Transfer Agent</w:t>
      </w:r>
      <w:r w:rsidRPr="00AE3C59">
        <w:rPr>
          <w:rFonts w:ascii="Times New Roman" w:eastAsia="Times New Roman" w:hAnsi="Times New Roman" w:cs="Times New Roman"/>
          <w:sz w:val="20"/>
          <w:szCs w:val="20"/>
          <w:lang w:val="en-US" w:eastAsia="en-US" w:bidi="ar-SA"/>
        </w:rPr>
        <w:t xml:space="preserve">” means American Stock Transfer &amp; Trust Company, </w:t>
      </w:r>
      <w:r w:rsidRPr="00AE3C59">
        <w:rPr>
          <w:rFonts w:ascii="Times New Roman" w:eastAsia="Times New Roman" w:hAnsi="Times New Roman" w:cs="Times New Roman"/>
          <w:sz w:val="20"/>
          <w:szCs w:val="20"/>
          <w:lang w:eastAsia="en-US" w:bidi="ar-SA"/>
        </w:rPr>
        <w:t xml:space="preserve">LLC, </w:t>
      </w:r>
      <w:r w:rsidRPr="00AE3C59">
        <w:rPr>
          <w:rFonts w:ascii="Times New Roman" w:eastAsia="Times New Roman" w:hAnsi="Times New Roman" w:cs="Times New Roman"/>
          <w:sz w:val="20"/>
          <w:szCs w:val="20"/>
          <w:lang w:val="en-US" w:eastAsia="en-US" w:bidi="ar-SA"/>
        </w:rPr>
        <w:t xml:space="preserve">the current transfer agent of the Company, with a mailing address of 6201 15th Avenue, Brooklyn, NY 11219 and a facsimile number of </w:t>
      </w:r>
      <w:r w:rsidRPr="00AE3C59">
        <w:rPr>
          <w:rFonts w:ascii="Times New Roman" w:eastAsia="Times New Roman" w:hAnsi="Times New Roman" w:cs="Times New Roman"/>
          <w:sz w:val="20"/>
          <w:szCs w:val="20"/>
          <w:lang w:eastAsia="en-US" w:bidi="ar-SA"/>
        </w:rPr>
        <w:t>718-765-8717</w:t>
      </w:r>
      <w:r w:rsidRPr="00AE3C59">
        <w:rPr>
          <w:rFonts w:ascii="Times New Roman" w:eastAsia="Times New Roman" w:hAnsi="Times New Roman" w:cs="Times New Roman"/>
          <w:sz w:val="20"/>
          <w:szCs w:val="20"/>
          <w:lang w:val="en-US" w:eastAsia="en-US" w:bidi="ar-SA"/>
        </w:rPr>
        <w:t>, and any successor transfer agent of the Company.</w:t>
      </w:r>
    </w:p>
    <w:p w14:paraId="7C2B60E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7306896"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VWAP</w:t>
      </w:r>
      <w:r w:rsidRPr="00AE3C59">
        <w:rPr>
          <w:rFonts w:ascii="Times New Roman" w:eastAsia="Times New Roman" w:hAnsi="Times New Roman" w:cs="Times New Roman"/>
          <w:sz w:val="20"/>
          <w:szCs w:val="20"/>
          <w:lang w:val="en-US" w:eastAsia="en-US" w:bidi="ar-SA"/>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the Common Stock is traded on OTCQB or OTCQX, the volume weighted average price of the Common Stock for such date (or the nearest preceding date) on OTCQB or OTCQX as applicable, (c) if the Common Stock is not then listed or quoted for trading on OTCQB or OTCQX and if prices for the Common Stock are then reported on the </w:t>
      </w:r>
      <w:r w:rsidRPr="00AE3C59">
        <w:rPr>
          <w:rFonts w:ascii="Times New Roman" w:eastAsia="Times New Roman" w:hAnsi="Times New Roman" w:cs="Times New Roman"/>
          <w:sz w:val="20"/>
          <w:szCs w:val="20"/>
          <w:lang w:eastAsia="en-US" w:bidi="ar-SA"/>
        </w:rPr>
        <w:t xml:space="preserve">OTC </w:t>
      </w:r>
      <w:r w:rsidRPr="00AE3C59">
        <w:rPr>
          <w:rFonts w:ascii="Times New Roman" w:eastAsia="Times New Roman" w:hAnsi="Times New Roman" w:cs="Times New Roman"/>
          <w:sz w:val="20"/>
          <w:szCs w:val="20"/>
          <w:lang w:val="en-US" w:eastAsia="en-US" w:bidi="ar-SA"/>
        </w:rPr>
        <w:t>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Warrants then outstanding and reasonably acceptable to the Company, the fees and expenses of which shall be paid by the Company.</w:t>
      </w:r>
    </w:p>
    <w:p w14:paraId="07291C0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F253B11"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r w:rsidRPr="00AE3C59">
        <w:rPr>
          <w:rFonts w:ascii="Times New Roman" w:eastAsia="Times New Roman" w:hAnsi="Times New Roman" w:cs="Times New Roman"/>
          <w:sz w:val="20"/>
          <w:szCs w:val="20"/>
          <w:u w:val="single"/>
          <w:lang w:val="en-US" w:eastAsia="en-US" w:bidi="ar-SA"/>
        </w:rPr>
        <w:t>Warrants</w:t>
      </w:r>
      <w:r w:rsidRPr="00AE3C59">
        <w:rPr>
          <w:rFonts w:ascii="Times New Roman" w:eastAsia="Times New Roman" w:hAnsi="Times New Roman" w:cs="Times New Roman"/>
          <w:sz w:val="20"/>
          <w:szCs w:val="20"/>
          <w:lang w:val="en-US" w:eastAsia="en-US" w:bidi="ar-SA"/>
        </w:rPr>
        <w:t>” means this Warrant and other Common Stock purchase warrants issued by the Company and delivered to the purchasers thereof pursuant to the Registration Statement.</w:t>
      </w:r>
    </w:p>
    <w:p w14:paraId="6257E50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0FAF073"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Section 2</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Exercise</w:t>
      </w:r>
      <w:r w:rsidRPr="00AE3C59">
        <w:rPr>
          <w:rFonts w:ascii="Times New Roman" w:eastAsia="Times New Roman" w:hAnsi="Times New Roman" w:cs="Times New Roman"/>
          <w:sz w:val="20"/>
          <w:szCs w:val="20"/>
          <w:lang w:val="en-US" w:eastAsia="en-US" w:bidi="ar-SA"/>
        </w:rPr>
        <w:t>.</w:t>
      </w:r>
    </w:p>
    <w:p w14:paraId="15E7459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669012"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w:t>
      </w:r>
      <w:r w:rsidRPr="00AE3C59">
        <w:rPr>
          <w:rFonts w:ascii="Times New Roman" w:eastAsia="Times New Roman" w:hAnsi="Times New Roman" w:cs="Times New Roman"/>
          <w:sz w:val="20"/>
          <w:szCs w:val="20"/>
          <w:u w:val="single"/>
          <w:lang w:val="en-US" w:eastAsia="en-US" w:bidi="ar-SA"/>
        </w:rPr>
        <w:t>Exercise of Warrant</w:t>
      </w:r>
      <w:r w:rsidRPr="00AE3C59">
        <w:rPr>
          <w:rFonts w:ascii="Times New Roman" w:eastAsia="Times New Roman" w:hAnsi="Times New Roman" w:cs="Times New Roman"/>
          <w:sz w:val="20"/>
          <w:szCs w:val="20"/>
          <w:lang w:val="en-US" w:eastAsia="en-US" w:bidi="ar-SA"/>
        </w:rPr>
        <w:t>. Subject to the provisions of Section 2(e) herein, exercise of the purchase rights represented by this Warrant may be made, in whole or in part, at any time or times on or after the Original Issuance Date and on or before the Termination Date by delivery to the Company (or such other office or agency of the Company as it may designate by notice in writing to the registered Holder at the address of the Holder appearing on the books of the Company) of a duly executed facsimile copy or PDF copy submitted by e-mail (or e-mail attachment) of the Notice of Exercise in the form annexed hereto (the “</w:t>
      </w:r>
      <w:r w:rsidRPr="00AE3C59">
        <w:rPr>
          <w:rFonts w:ascii="Times New Roman" w:eastAsia="Times New Roman" w:hAnsi="Times New Roman" w:cs="Times New Roman"/>
          <w:sz w:val="20"/>
          <w:szCs w:val="20"/>
          <w:u w:val="single"/>
          <w:lang w:val="en-US" w:eastAsia="en-US" w:bidi="ar-SA"/>
        </w:rPr>
        <w:t>Notice of Exercise</w:t>
      </w:r>
      <w:r w:rsidRPr="00AE3C59">
        <w:rPr>
          <w:rFonts w:ascii="Times New Roman" w:eastAsia="Times New Roman" w:hAnsi="Times New Roman" w:cs="Times New Roman"/>
          <w:sz w:val="20"/>
          <w:szCs w:val="20"/>
          <w:lang w:val="en-US" w:eastAsia="en-US" w:bidi="ar-SA"/>
        </w:rPr>
        <w:t>”). Within the earlier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two (2) Trading Days and (ii) the number of Trading Days comprising the Standard Settlement Period (as defined in Section 2(d)(</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herein) following the date of exercise as aforesaid, the Holder shall deliver the aggregate Exercise Price for the Warrant Shares specified in the applicable Notice of Exercise by wire transfer or cashier’s check drawn on a United States bank unless the cashless exercise procedure specified in Section 2(c) below is specified in the applicable Notice of Exercise. 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until the Holder has purchased all of the Warrant Shares available hereunder and the Warrant has been exercised in full, in which case, the Holder shall surrender this Warrant to the Company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applicable number of Warrant Shares purchased. The Holder and the Company shall maintain records showing the number of Warrant Shares purchased and the date of such purchases. The Company shall deliver any objection to any Notice of Exercise within one (1) Trading Day of receipt of such notice. </w:t>
      </w:r>
      <w:r w:rsidRPr="00AE3C59">
        <w:rPr>
          <w:rFonts w:ascii="Times New Roman" w:eastAsia="Times New Roman" w:hAnsi="Times New Roman" w:cs="Times New Roman"/>
          <w:b/>
          <w:bCs/>
          <w:sz w:val="20"/>
          <w:szCs w:val="20"/>
          <w:lang w:val="en-US" w:eastAsia="en-US" w:bidi="ar-SA"/>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4DB1DBE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B4F07B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w:t>
      </w:r>
      <w:r w:rsidRPr="00AE3C59">
        <w:rPr>
          <w:rFonts w:ascii="Times New Roman" w:eastAsia="Times New Roman" w:hAnsi="Times New Roman" w:cs="Times New Roman"/>
          <w:sz w:val="20"/>
          <w:szCs w:val="20"/>
          <w:u w:val="single"/>
          <w:lang w:val="en-US" w:eastAsia="en-US" w:bidi="ar-SA"/>
        </w:rPr>
        <w:t>Exercise Price</w:t>
      </w:r>
      <w:r w:rsidRPr="00AE3C59">
        <w:rPr>
          <w:rFonts w:ascii="Times New Roman" w:eastAsia="Times New Roman" w:hAnsi="Times New Roman" w:cs="Times New Roman"/>
          <w:sz w:val="20"/>
          <w:szCs w:val="20"/>
          <w:lang w:val="en-US" w:eastAsia="en-US" w:bidi="ar-SA"/>
        </w:rPr>
        <w:t>. The exercise price per share of Common Stock under this Warrant shall be $0</w:t>
      </w:r>
      <w:r w:rsidRPr="00AE3C59">
        <w:rPr>
          <w:rFonts w:ascii="Times New Roman" w:eastAsia="Times New Roman" w:hAnsi="Times New Roman" w:cs="Times New Roman"/>
          <w:sz w:val="20"/>
          <w:szCs w:val="20"/>
          <w:lang w:eastAsia="en-US" w:bidi="ar-SA"/>
        </w:rPr>
        <w:t>.01</w:t>
      </w:r>
      <w:r w:rsidRPr="00AE3C59">
        <w:rPr>
          <w:rFonts w:ascii="Times New Roman" w:eastAsia="Times New Roman" w:hAnsi="Times New Roman" w:cs="Times New Roman"/>
          <w:sz w:val="20"/>
          <w:szCs w:val="20"/>
          <w:lang w:val="en-US" w:eastAsia="en-US" w:bidi="ar-SA"/>
        </w:rPr>
        <w:t>, subject to adjustment hereunder (the “</w:t>
      </w:r>
      <w:r w:rsidRPr="00AE3C59">
        <w:rPr>
          <w:rFonts w:ascii="Times New Roman" w:eastAsia="Times New Roman" w:hAnsi="Times New Roman" w:cs="Times New Roman"/>
          <w:sz w:val="20"/>
          <w:szCs w:val="20"/>
          <w:u w:val="single"/>
          <w:lang w:val="en-US" w:eastAsia="en-US" w:bidi="ar-SA"/>
        </w:rPr>
        <w:t>Exercise Price</w:t>
      </w:r>
      <w:r w:rsidRPr="00AE3C59">
        <w:rPr>
          <w:rFonts w:ascii="Times New Roman" w:eastAsia="Times New Roman" w:hAnsi="Times New Roman" w:cs="Times New Roman"/>
          <w:sz w:val="20"/>
          <w:szCs w:val="20"/>
          <w:lang w:val="en-US" w:eastAsia="en-US" w:bidi="ar-SA"/>
        </w:rPr>
        <w:t>”).</w:t>
      </w:r>
    </w:p>
    <w:p w14:paraId="61E6B6B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AFB7047"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     </w:t>
      </w:r>
      <w:r w:rsidRPr="00AE3C59">
        <w:rPr>
          <w:rFonts w:ascii="Times New Roman" w:eastAsia="Times New Roman" w:hAnsi="Times New Roman" w:cs="Times New Roman"/>
          <w:sz w:val="20"/>
          <w:szCs w:val="20"/>
          <w:u w:val="single"/>
          <w:lang w:val="en-US" w:eastAsia="en-US" w:bidi="ar-SA"/>
        </w:rPr>
        <w:t>Cashless Exercise</w:t>
      </w:r>
      <w:r w:rsidRPr="00AE3C59">
        <w:rPr>
          <w:rFonts w:ascii="Times New Roman" w:eastAsia="Times New Roman" w:hAnsi="Times New Roman" w:cs="Times New Roman"/>
          <w:sz w:val="20"/>
          <w:szCs w:val="20"/>
          <w:lang w:val="en-US" w:eastAsia="en-US" w:bidi="ar-SA"/>
        </w:rPr>
        <w:t xml:space="preserve">. If at the time of exercise hereof there is no effective registration statement registering, or the prospectus contained therein is not available for the issuance of the Warrant Shares to the Holder, then this Warrant may also be exercised, in whole or in part, at such time by means of a “cashless </w:t>
      </w:r>
      <w:r w:rsidRPr="00AE3C59">
        <w:rPr>
          <w:rFonts w:ascii="Times New Roman" w:eastAsia="Times New Roman" w:hAnsi="Times New Roman" w:cs="Times New Roman"/>
          <w:sz w:val="20"/>
          <w:szCs w:val="20"/>
          <w:lang w:val="en-US" w:eastAsia="en-US" w:bidi="ar-SA"/>
        </w:rPr>
        <w:lastRenderedPageBreak/>
        <w:t>exercise” in which the Holder shall be entitled to receive a number of Warrant Shares equal to the quotient obtained by dividing [(A-B) (X)] by (A), where:</w:t>
      </w:r>
    </w:p>
    <w:p w14:paraId="4B0F34A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1440"/>
        <w:gridCol w:w="540"/>
        <w:gridCol w:w="7380"/>
      </w:tblGrid>
      <w:tr w:rsidR="00AE3C59" w:rsidRPr="00AE3C59" w14:paraId="2AB022D8" w14:textId="77777777" w:rsidTr="00EB26FE">
        <w:tc>
          <w:tcPr>
            <w:tcW w:w="1440" w:type="dxa"/>
            <w:tcBorders>
              <w:left w:val="nil"/>
              <w:right w:val="nil"/>
            </w:tcBorders>
            <w:tcMar>
              <w:top w:w="0" w:type="dxa"/>
              <w:left w:w="0" w:type="dxa"/>
              <w:bottom w:w="0" w:type="dxa"/>
              <w:right w:w="0" w:type="dxa"/>
            </w:tcMar>
            <w:vAlign w:val="center"/>
          </w:tcPr>
          <w:p w14:paraId="2164A57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540" w:type="dxa"/>
            <w:tcBorders>
              <w:left w:val="nil"/>
              <w:right w:val="nil"/>
            </w:tcBorders>
            <w:tcMar>
              <w:top w:w="0" w:type="dxa"/>
              <w:left w:w="0" w:type="dxa"/>
              <w:bottom w:w="0" w:type="dxa"/>
              <w:right w:w="0" w:type="dxa"/>
            </w:tcMar>
          </w:tcPr>
          <w:p w14:paraId="2D2BBCAA"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w:t>
            </w:r>
          </w:p>
        </w:tc>
        <w:tc>
          <w:tcPr>
            <w:tcW w:w="0" w:type="auto"/>
            <w:tcBorders>
              <w:left w:val="nil"/>
              <w:right w:val="nil"/>
            </w:tcBorders>
            <w:tcMar>
              <w:top w:w="0" w:type="dxa"/>
              <w:left w:w="0" w:type="dxa"/>
              <w:bottom w:w="0" w:type="dxa"/>
              <w:right w:w="0" w:type="dxa"/>
            </w:tcMar>
          </w:tcPr>
          <w:p w14:paraId="01F18CB8" w14:textId="77777777" w:rsidR="00AE3C59" w:rsidRPr="00AE3C59" w:rsidRDefault="00AE3C59" w:rsidP="00AE3C59">
            <w:pPr>
              <w:spacing w:after="0" w:line="240" w:lineRule="auto"/>
              <w:jc w:val="both"/>
              <w:rPr>
                <w:rFonts w:ascii="Times New Roman" w:eastAsia="Times New Roman" w:hAnsi="Times New Roman" w:cs="Times New Roman"/>
                <w:sz w:val="20"/>
                <w:szCs w:val="20"/>
                <w:lang w:eastAsia="en-US" w:bidi="ar-SA"/>
              </w:rPr>
            </w:pPr>
            <w:r w:rsidRPr="00AE3C59">
              <w:rPr>
                <w:rFonts w:ascii="Times New Roman" w:eastAsia="Times New Roman" w:hAnsi="Times New Roman" w:cs="Times New Roman"/>
                <w:sz w:val="20"/>
                <w:szCs w:val="20"/>
                <w:lang w:val="en-US" w:eastAsia="en-US" w:bidi="ar-SA"/>
              </w:rPr>
              <w:t>the last VWAP immediately preceding the time of delivery of the Notice of Exercise giving rise to the applicable “cashless exercise”, as set forth in the applicable Notice of Exercise (to clarify, the “last VWAP” will be the last VWAP as calculated over an entire Trading Day such that, in the event that this Warrant is exercised at a time that the Trading Market is open, the prior Trading Day’s VWAP shall be used in this calculation);</w:t>
            </w:r>
          </w:p>
        </w:tc>
      </w:tr>
    </w:tbl>
    <w:p w14:paraId="4235948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C91057F" w14:textId="77777777" w:rsidR="00AE3C59" w:rsidRPr="00AE3C59" w:rsidRDefault="00AE3C59" w:rsidP="00AE3C59">
      <w:pPr>
        <w:spacing w:after="0" w:line="240" w:lineRule="auto"/>
        <w:ind w:left="2160" w:hanging="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 the Exercise Price of this Warrant, as adjusted hereunder; and</w:t>
      </w:r>
    </w:p>
    <w:p w14:paraId="028CA0E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1440"/>
        <w:gridCol w:w="640"/>
        <w:gridCol w:w="7280"/>
      </w:tblGrid>
      <w:tr w:rsidR="00AE3C59" w:rsidRPr="00AE3C59" w14:paraId="637CBB2B" w14:textId="77777777" w:rsidTr="00EB26FE">
        <w:tc>
          <w:tcPr>
            <w:tcW w:w="1440" w:type="dxa"/>
            <w:tcBorders>
              <w:left w:val="nil"/>
              <w:right w:val="nil"/>
            </w:tcBorders>
            <w:tcMar>
              <w:top w:w="0" w:type="dxa"/>
              <w:left w:w="0" w:type="dxa"/>
              <w:bottom w:w="0" w:type="dxa"/>
              <w:right w:w="0" w:type="dxa"/>
            </w:tcMar>
            <w:vAlign w:val="center"/>
          </w:tcPr>
          <w:p w14:paraId="680631A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40" w:type="dxa"/>
            <w:tcBorders>
              <w:left w:val="nil"/>
              <w:right w:val="nil"/>
            </w:tcBorders>
            <w:tcMar>
              <w:top w:w="0" w:type="dxa"/>
              <w:left w:w="0" w:type="dxa"/>
              <w:bottom w:w="0" w:type="dxa"/>
              <w:right w:w="0" w:type="dxa"/>
            </w:tcMar>
          </w:tcPr>
          <w:p w14:paraId="50ABF584"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(X) =</w:t>
            </w:r>
          </w:p>
        </w:tc>
        <w:tc>
          <w:tcPr>
            <w:tcW w:w="0" w:type="auto"/>
            <w:tcBorders>
              <w:left w:val="nil"/>
              <w:right w:val="nil"/>
            </w:tcBorders>
            <w:tcMar>
              <w:top w:w="0" w:type="dxa"/>
              <w:left w:w="0" w:type="dxa"/>
              <w:bottom w:w="0" w:type="dxa"/>
              <w:right w:w="0" w:type="dxa"/>
            </w:tcMar>
          </w:tcPr>
          <w:p w14:paraId="6FF6A09E"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number of Warrant Shares that would be issuable upon exercise of this Warrant in accordance with the terms of this Warrant if such exercise were by means of a cash exercise rather than a cashless exercise.</w:t>
            </w:r>
          </w:p>
        </w:tc>
      </w:tr>
    </w:tbl>
    <w:p w14:paraId="43253E82" w14:textId="77777777" w:rsidR="00AE3C59" w:rsidRPr="00AE3C59" w:rsidRDefault="00AE3C59" w:rsidP="00AE3C59">
      <w:pPr>
        <w:spacing w:after="0" w:line="240" w:lineRule="auto"/>
        <w:ind w:left="2070" w:hanging="63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6DBCB8F"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If Warrant Shares are issued in such a cashless exercise, the parties acknowledge and agree that in accordance with Section 3(a)(9) of the Securities Act, the Warrant Shares shall take on the registered characteristics of the Warrants being exercised. The Company agrees not to take any position contrary to this Section 2(c).</w:t>
      </w:r>
    </w:p>
    <w:p w14:paraId="391CE79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4EE7AD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     </w:t>
      </w:r>
      <w:r w:rsidRPr="00AE3C59">
        <w:rPr>
          <w:rFonts w:ascii="Times New Roman" w:eastAsia="Times New Roman" w:hAnsi="Times New Roman" w:cs="Times New Roman"/>
          <w:sz w:val="20"/>
          <w:szCs w:val="20"/>
          <w:u w:val="single"/>
          <w:lang w:val="en-US" w:eastAsia="en-US" w:bidi="ar-SA"/>
        </w:rPr>
        <w:t>Mechanics of Exercise</w:t>
      </w:r>
      <w:r w:rsidRPr="00AE3C59">
        <w:rPr>
          <w:rFonts w:ascii="Times New Roman" w:eastAsia="Times New Roman" w:hAnsi="Times New Roman" w:cs="Times New Roman"/>
          <w:sz w:val="20"/>
          <w:szCs w:val="20"/>
          <w:lang w:val="en-US" w:eastAsia="en-US" w:bidi="ar-SA"/>
        </w:rPr>
        <w:t>.</w:t>
      </w:r>
    </w:p>
    <w:p w14:paraId="6BEBF0F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587D932" w14:textId="77777777" w:rsidR="00AE3C59" w:rsidRPr="00AE3C59" w:rsidRDefault="00AE3C59" w:rsidP="00AE3C59">
      <w:pPr>
        <w:spacing w:after="0" w:line="240" w:lineRule="auto"/>
        <w:ind w:left="1440" w:firstLine="720"/>
        <w:jc w:val="both"/>
        <w:rPr>
          <w:rFonts w:ascii="Times New Roman" w:eastAsia="Times New Roman" w:hAnsi="Times New Roman" w:cs="Times New Roman"/>
          <w:sz w:val="20"/>
          <w:szCs w:val="20"/>
        </w:rPr>
      </w:pP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Delivery of Warrant Shares Upon Exercise</w:t>
      </w:r>
      <w:r w:rsidRPr="00AE3C59">
        <w:rPr>
          <w:rFonts w:ascii="Times New Roman" w:eastAsia="Times New Roman" w:hAnsi="Times New Roman" w:cs="Times New Roman"/>
          <w:sz w:val="20"/>
          <w:szCs w:val="20"/>
          <w:lang w:val="en-US" w:eastAsia="en-US" w:bidi="ar-SA"/>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AE3C59">
        <w:rPr>
          <w:rFonts w:ascii="Times New Roman" w:eastAsia="Times New Roman" w:hAnsi="Times New Roman" w:cs="Times New Roman"/>
          <w:sz w:val="20"/>
          <w:szCs w:val="20"/>
          <w:u w:val="single"/>
          <w:lang w:val="en-US" w:eastAsia="en-US" w:bidi="ar-SA"/>
        </w:rPr>
        <w:t>DWAC</w:t>
      </w:r>
      <w:r w:rsidRPr="00AE3C59">
        <w:rPr>
          <w:rFonts w:ascii="Times New Roman" w:eastAsia="Times New Roman" w:hAnsi="Times New Roman" w:cs="Times New Roman"/>
          <w:sz w:val="20"/>
          <w:szCs w:val="20"/>
          <w:lang w:val="en-US" w:eastAsia="en-US" w:bidi="ar-SA"/>
        </w:rPr>
        <w:t>”) if the Company is then a participant in such system and either (A) there is an effective registration statement permitting the issuance of the Warrant Shares to or resale of the Warrant Shares by the Holder or (B) this Warrant is being exercised via cashless exercise,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earlier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two (2) Trading Days after the delivery to the Company of the Notice of Exercise, and (ii) the number of Trading Days comprising the Standard Settlement Period after the delivery to the Company of the Notice of Exercise, all subject to receipt of any cash payments required by the Holder (such date, the “</w:t>
      </w:r>
      <w:r w:rsidRPr="00AE3C59">
        <w:rPr>
          <w:rFonts w:ascii="Times New Roman" w:eastAsia="Times New Roman" w:hAnsi="Times New Roman" w:cs="Times New Roman"/>
          <w:sz w:val="20"/>
          <w:szCs w:val="20"/>
          <w:u w:val="single"/>
          <w:lang w:val="en-US" w:eastAsia="en-US" w:bidi="ar-SA"/>
        </w:rPr>
        <w:t>Warrant Share Delivery Date</w:t>
      </w:r>
      <w:r w:rsidRPr="00AE3C59">
        <w:rPr>
          <w:rFonts w:ascii="Times New Roman" w:eastAsia="Times New Roman" w:hAnsi="Times New Roman" w:cs="Times New Roman"/>
          <w:sz w:val="20"/>
          <w:szCs w:val="20"/>
          <w:lang w:val="en-US" w:eastAsia="en-US" w:bidi="ar-SA"/>
        </w:rPr>
        <w:t>”).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(5</w:t>
      </w:r>
      <w:r w:rsidRPr="00AE3C59">
        <w:rPr>
          <w:rFonts w:ascii="Times New Roman" w:eastAsia="Times New Roman" w:hAnsi="Times New Roman" w:cs="Times New Roman"/>
          <w:sz w:val="17"/>
          <w:szCs w:val="17"/>
          <w:lang w:val="en-US" w:eastAsia="en-US" w:bidi="ar-SA"/>
        </w:rPr>
        <w:t>th</w:t>
      </w:r>
      <w:r w:rsidRPr="00AE3C59">
        <w:rPr>
          <w:rFonts w:ascii="Times New Roman" w:eastAsia="Times New Roman" w:hAnsi="Times New Roman" w:cs="Times New Roman"/>
          <w:sz w:val="20"/>
          <w:szCs w:val="20"/>
          <w:lang w:eastAsia="en-US" w:bidi="ar-SA"/>
        </w:rPr>
        <w:t xml:space="preserve">) </w:t>
      </w:r>
      <w:r w:rsidRPr="00AE3C59">
        <w:rPr>
          <w:rFonts w:ascii="Times New Roman" w:eastAsia="Times New Roman" w:hAnsi="Times New Roman" w:cs="Times New Roman"/>
          <w:sz w:val="20"/>
          <w:szCs w:val="20"/>
          <w:lang w:val="en-US" w:eastAsia="en-US" w:bidi="ar-SA"/>
        </w:rPr>
        <w:t>Trading Day after such liquidated damages begin to accrue) for each Trading Day after such Warrant Share Delivery Date until such Warrant Shares are delivered or Holder rescinds such exercise. The Company agrees to maintain a transfer agent that is a participant in the FAST program so long as this Warrant remains outstanding and exercisable. As used herein, “</w:t>
      </w:r>
      <w:r w:rsidRPr="00AE3C59">
        <w:rPr>
          <w:rFonts w:ascii="Times New Roman" w:eastAsia="Times New Roman" w:hAnsi="Times New Roman" w:cs="Times New Roman"/>
          <w:sz w:val="20"/>
          <w:szCs w:val="20"/>
          <w:u w:val="single"/>
          <w:lang w:val="en-US" w:eastAsia="en-US" w:bidi="ar-SA"/>
        </w:rPr>
        <w:t>Standard Settlement Period</w:t>
      </w:r>
      <w:r w:rsidRPr="00AE3C59">
        <w:rPr>
          <w:rFonts w:ascii="Times New Roman" w:eastAsia="Times New Roman" w:hAnsi="Times New Roman" w:cs="Times New Roman"/>
          <w:sz w:val="20"/>
          <w:szCs w:val="20"/>
          <w:lang w:val="en-US" w:eastAsia="en-US" w:bidi="ar-SA"/>
        </w:rPr>
        <w:t>” means the standard settlement period, expressed in a number of Trading Days, on the Company’s primary Trading Market with respect to the Common Stock as in effect on the date of delivery of the Notice of Exercise.</w:t>
      </w:r>
      <w:r w:rsidRPr="00AE3C59">
        <w:rPr>
          <w:rFonts w:ascii="Times New Roman" w:eastAsia="Times New Roman" w:hAnsi="Times New Roman" w:cs="Times New Roman"/>
          <w:color w:val="000000"/>
          <w:sz w:val="20"/>
          <w:szCs w:val="20"/>
        </w:rPr>
        <w:t xml:space="preserve"> Notwithstanding the foregoing, with respect to any Notice(s) of Exercise delivered by 12:00 p.m. (New York City time) on the Original Issuance Date, which may be delivered at any time after the time of execution of the Underwriting Agreement, dated as of September 24, 2020, between the Company and Maxim Group LLC, as representative of the several underwriters, the </w:t>
      </w:r>
      <w:r w:rsidRPr="00AE3C59">
        <w:rPr>
          <w:rFonts w:ascii="Times New Roman" w:eastAsia="Times New Roman" w:hAnsi="Times New Roman" w:cs="Times New Roman"/>
          <w:color w:val="000000"/>
          <w:sz w:val="20"/>
          <w:szCs w:val="20"/>
        </w:rPr>
        <w:lastRenderedPageBreak/>
        <w:t>Company agrees to deliver the Warrant Shares subject to such notice(s) by 4:00 p.m. (New York City time) on the Original Issuance Date and the Original Issuance Date shall be the Warrant Share Delivery Date for purposes hereunder; provided that payment of the aggregate Exercise Price (other than in the case of a cashless exercise) is received on or prior to 4:00 p.m. (New York City time) on the Original Issuance Date.</w:t>
      </w:r>
    </w:p>
    <w:p w14:paraId="57A4261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F56DCEF"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     </w:t>
      </w:r>
      <w:r w:rsidRPr="00AE3C59">
        <w:rPr>
          <w:rFonts w:ascii="Times New Roman" w:eastAsia="Times New Roman" w:hAnsi="Times New Roman" w:cs="Times New Roman"/>
          <w:sz w:val="20"/>
          <w:szCs w:val="20"/>
          <w:u w:val="single"/>
          <w:lang w:val="en-US" w:eastAsia="en-US" w:bidi="ar-SA"/>
        </w:rPr>
        <w:t>Delivery of New Warrants Upon Exercise</w:t>
      </w:r>
      <w:r w:rsidRPr="00AE3C59">
        <w:rPr>
          <w:rFonts w:ascii="Times New Roman" w:eastAsia="Times New Roman" w:hAnsi="Times New Roman" w:cs="Times New Roman"/>
          <w:sz w:val="20"/>
          <w:szCs w:val="20"/>
          <w:lang w:val="en-US" w:eastAsia="en-US" w:bidi="ar-SA"/>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526691B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3F111F7"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iii.     </w:t>
      </w:r>
      <w:r w:rsidRPr="00AE3C59">
        <w:rPr>
          <w:rFonts w:ascii="Times New Roman" w:eastAsia="Times New Roman" w:hAnsi="Times New Roman" w:cs="Times New Roman"/>
          <w:sz w:val="20"/>
          <w:szCs w:val="20"/>
          <w:u w:val="single"/>
          <w:lang w:val="en-US" w:eastAsia="en-US" w:bidi="ar-SA"/>
        </w:rPr>
        <w:t>Rescission Rights</w:t>
      </w:r>
      <w:r w:rsidRPr="00AE3C59">
        <w:rPr>
          <w:rFonts w:ascii="Times New Roman" w:eastAsia="Times New Roman" w:hAnsi="Times New Roman" w:cs="Times New Roman"/>
          <w:sz w:val="20"/>
          <w:szCs w:val="20"/>
          <w:lang w:val="en-US" w:eastAsia="en-US" w:bidi="ar-SA"/>
        </w:rPr>
        <w:t>. If the Company fails to cause the Transfer Agent to transmit to the Holder the Warrant Shares pursuant to Section 2(d)(</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by the Warrant Share Delivery Date, then the Holder will have the right to rescind such exercise.</w:t>
      </w:r>
    </w:p>
    <w:p w14:paraId="124B0D9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544F89"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iv.     </w:t>
      </w:r>
      <w:r w:rsidRPr="00AE3C59">
        <w:rPr>
          <w:rFonts w:ascii="Times New Roman" w:eastAsia="Times New Roman" w:hAnsi="Times New Roman" w:cs="Times New Roman"/>
          <w:sz w:val="20"/>
          <w:szCs w:val="20"/>
          <w:u w:val="single"/>
          <w:lang w:val="en-US" w:eastAsia="en-US" w:bidi="ar-SA"/>
        </w:rPr>
        <w:t>Compensation for Buy-In on Failure to Timely Deliver Warrant Shares Upon Exercise</w:t>
      </w:r>
      <w:r w:rsidRPr="00AE3C59">
        <w:rPr>
          <w:rFonts w:ascii="Times New Roman" w:eastAsia="Times New Roman" w:hAnsi="Times New Roman" w:cs="Times New Roman"/>
          <w:sz w:val="20"/>
          <w:szCs w:val="20"/>
          <w:lang w:val="en-US" w:eastAsia="en-US" w:bidi="ar-SA"/>
        </w:rPr>
        <w:t>. In addition to any other rights available to the Holder, if the Company fails to cause the Transfer Agent to transmit to the Holder the Warrant Shares in accordance with the provisions of Section 2(d)(</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AE3C59">
        <w:rPr>
          <w:rFonts w:ascii="Times New Roman" w:eastAsia="Times New Roman" w:hAnsi="Times New Roman" w:cs="Times New Roman"/>
          <w:sz w:val="20"/>
          <w:szCs w:val="20"/>
          <w:u w:val="single"/>
          <w:lang w:val="en-US" w:eastAsia="en-US" w:bidi="ar-SA"/>
        </w:rPr>
        <w:t>Buy-In</w:t>
      </w:r>
      <w:r w:rsidRPr="00AE3C59">
        <w:rPr>
          <w:rFonts w:ascii="Times New Roman" w:eastAsia="Times New Roman" w:hAnsi="Times New Roman" w:cs="Times New Roman"/>
          <w:sz w:val="20"/>
          <w:szCs w:val="20"/>
          <w:lang w:val="en-US" w:eastAsia="en-US" w:bidi="ar-SA"/>
        </w:rPr>
        <w:t>”),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w:t>
      </w:r>
    </w:p>
    <w:p w14:paraId="117C2F2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29088F"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     </w:t>
      </w:r>
      <w:r w:rsidRPr="00AE3C59">
        <w:rPr>
          <w:rFonts w:ascii="Times New Roman" w:eastAsia="Times New Roman" w:hAnsi="Times New Roman" w:cs="Times New Roman"/>
          <w:sz w:val="20"/>
          <w:szCs w:val="20"/>
          <w:u w:val="single"/>
          <w:lang w:val="en-US" w:eastAsia="en-US" w:bidi="ar-SA"/>
        </w:rPr>
        <w:t>No Fractional Shares or Scrip</w:t>
      </w:r>
      <w:r w:rsidRPr="00AE3C59">
        <w:rPr>
          <w:rFonts w:ascii="Times New Roman" w:eastAsia="Times New Roman" w:hAnsi="Times New Roman" w:cs="Times New Roman"/>
          <w:sz w:val="20"/>
          <w:szCs w:val="20"/>
          <w:lang w:val="en-US" w:eastAsia="en-US" w:bidi="ar-SA"/>
        </w:rPr>
        <w:t>. No fractional shares or scrip representing fractional shares shall be issued upon the exercise of this Warrant. As to any fraction of a share which the Holder would otherwise be entitled to purchase upon such exercise, the Company shall round up or down, as applicable, to the nearest whole share.</w:t>
      </w:r>
    </w:p>
    <w:p w14:paraId="153A54A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9CE6A6C"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vi.     </w:t>
      </w:r>
      <w:r w:rsidRPr="00AE3C59">
        <w:rPr>
          <w:rFonts w:ascii="Times New Roman" w:eastAsia="Times New Roman" w:hAnsi="Times New Roman" w:cs="Times New Roman"/>
          <w:sz w:val="20"/>
          <w:szCs w:val="20"/>
          <w:u w:val="single"/>
          <w:lang w:val="en-US" w:eastAsia="en-US" w:bidi="ar-SA"/>
        </w:rPr>
        <w:t>Charges, Taxes and Expenses</w:t>
      </w:r>
      <w:r w:rsidRPr="00AE3C59">
        <w:rPr>
          <w:rFonts w:ascii="Times New Roman" w:eastAsia="Times New Roman" w:hAnsi="Times New Roman" w:cs="Times New Roman"/>
          <w:sz w:val="20"/>
          <w:szCs w:val="20"/>
          <w:lang w:val="en-US" w:eastAsia="en-US" w:bidi="ar-SA"/>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AE3C59">
        <w:rPr>
          <w:rFonts w:ascii="Times New Roman" w:eastAsia="Times New Roman" w:hAnsi="Times New Roman" w:cs="Times New Roman"/>
          <w:sz w:val="20"/>
          <w:szCs w:val="20"/>
          <w:u w:val="single"/>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however</w:t>
      </w:r>
      <w:r w:rsidRPr="00AE3C59">
        <w:rPr>
          <w:rFonts w:ascii="Times New Roman" w:eastAsia="Times New Roman" w:hAnsi="Times New Roman" w:cs="Times New Roman"/>
          <w:sz w:val="20"/>
          <w:szCs w:val="20"/>
          <w:lang w:val="en-US" w:eastAsia="en-US" w:bidi="ar-SA"/>
        </w:rPr>
        <w:t xml:space="preserve">, that in the event that Warrant Shares are to be issued in a name other than the name of the Holder, this Warrant when surrendered for exercise shall be accompanied by the Assignment Form attached hereto duly executed by the Holder and the </w:t>
      </w:r>
      <w:r w:rsidRPr="00AE3C59">
        <w:rPr>
          <w:rFonts w:ascii="Times New Roman" w:eastAsia="Times New Roman" w:hAnsi="Times New Roman" w:cs="Times New Roman"/>
          <w:sz w:val="20"/>
          <w:szCs w:val="20"/>
          <w:lang w:val="en-US" w:eastAsia="en-US" w:bidi="ar-SA"/>
        </w:rPr>
        <w:lastRenderedPageBreak/>
        <w:t>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7ED5B6A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7CE1E61"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vii.     </w:t>
      </w:r>
      <w:r w:rsidRPr="00AE3C59">
        <w:rPr>
          <w:rFonts w:ascii="Times New Roman" w:eastAsia="Times New Roman" w:hAnsi="Times New Roman" w:cs="Times New Roman"/>
          <w:sz w:val="20"/>
          <w:szCs w:val="20"/>
          <w:u w:val="single"/>
          <w:lang w:val="en-US" w:eastAsia="en-US" w:bidi="ar-SA"/>
        </w:rPr>
        <w:t>Closing of Books</w:t>
      </w:r>
      <w:r w:rsidRPr="00AE3C59">
        <w:rPr>
          <w:rFonts w:ascii="Times New Roman" w:eastAsia="Times New Roman" w:hAnsi="Times New Roman" w:cs="Times New Roman"/>
          <w:sz w:val="20"/>
          <w:szCs w:val="20"/>
          <w:lang w:val="en-US" w:eastAsia="en-US" w:bidi="ar-SA"/>
        </w:rPr>
        <w:t>. The Company will not close its stockholder books or records in any manner which prevents the timely exercise of this Warrant, pursuant to the terms hereof.</w:t>
      </w:r>
    </w:p>
    <w:p w14:paraId="6970621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7706ABF"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     </w:t>
      </w:r>
      <w:r w:rsidRPr="00AE3C59">
        <w:rPr>
          <w:rFonts w:ascii="Times New Roman" w:eastAsia="Times New Roman" w:hAnsi="Times New Roman" w:cs="Times New Roman"/>
          <w:sz w:val="20"/>
          <w:szCs w:val="20"/>
          <w:u w:val="single"/>
          <w:lang w:val="en-US" w:eastAsia="en-US" w:bidi="ar-SA"/>
        </w:rPr>
        <w:t>Holder’s Exercise Limitations</w:t>
      </w:r>
      <w:r w:rsidRPr="00AE3C59">
        <w:rPr>
          <w:rFonts w:ascii="Times New Roman" w:eastAsia="Times New Roman" w:hAnsi="Times New Roman" w:cs="Times New Roman"/>
          <w:sz w:val="20"/>
          <w:szCs w:val="20"/>
          <w:lang w:val="en-US" w:eastAsia="en-US" w:bidi="ar-SA"/>
        </w:rPr>
        <w:t xml:space="preserve">. The Company shall not </w:t>
      </w:r>
      <w:proofErr w:type="spellStart"/>
      <w:r w:rsidRPr="00AE3C59">
        <w:rPr>
          <w:rFonts w:ascii="Times New Roman" w:eastAsia="Times New Roman" w:hAnsi="Times New Roman" w:cs="Times New Roman"/>
          <w:sz w:val="20"/>
          <w:szCs w:val="20"/>
          <w:lang w:val="en-US" w:eastAsia="en-US" w:bidi="ar-SA"/>
        </w:rPr>
        <w:t>effect</w:t>
      </w:r>
      <w:proofErr w:type="spellEnd"/>
      <w:r w:rsidRPr="00AE3C59">
        <w:rPr>
          <w:rFonts w:ascii="Times New Roman" w:eastAsia="Times New Roman" w:hAnsi="Times New Roman" w:cs="Times New Roman"/>
          <w:sz w:val="20"/>
          <w:szCs w:val="20"/>
          <w:lang w:val="en-US" w:eastAsia="en-US" w:bidi="ar-SA"/>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(such Persons, “Attribution Parties”)),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determination is being made, but shall exclude the number of shares of Common Stock which would be issuable upon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setting forth the number of shares of Common Stock outstanding. Upon the written or oral request of a Holder, the Company shall within two Trading Days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AE3C59">
        <w:rPr>
          <w:rFonts w:ascii="Times New Roman" w:eastAsia="Times New Roman" w:hAnsi="Times New Roman" w:cs="Times New Roman"/>
          <w:sz w:val="20"/>
          <w:szCs w:val="20"/>
          <w:u w:val="single"/>
          <w:lang w:val="en-US" w:eastAsia="en-US" w:bidi="ar-SA"/>
        </w:rPr>
        <w:t>Beneficial Ownership Limitation</w:t>
      </w:r>
      <w:r w:rsidRPr="00AE3C59">
        <w:rPr>
          <w:rFonts w:ascii="Times New Roman" w:eastAsia="Times New Roman" w:hAnsi="Times New Roman" w:cs="Times New Roman"/>
          <w:sz w:val="20"/>
          <w:szCs w:val="20"/>
          <w:lang w:val="en-US" w:eastAsia="en-US" w:bidi="ar-SA"/>
        </w:rPr>
        <w:t>” shall be 4.99% (or, upon election by a Holder prior to the issuance of any Warrants, 9.99%) of the number of shares of the Common Stock outstanding immediately after giving effect to the issuance of shares of Common Stock issuable upon exercise of this Warrant. The Holder, upon at least</w:t>
      </w:r>
      <w:r w:rsidRPr="00AE3C59">
        <w:rPr>
          <w:rFonts w:ascii="Times New Roman" w:eastAsia="Times New Roman" w:hAnsi="Times New Roman" w:cs="Times New Roman"/>
          <w:sz w:val="20"/>
          <w:szCs w:val="20"/>
          <w:lang w:eastAsia="en-US" w:bidi="ar-SA"/>
        </w:rPr>
        <w:t xml:space="preserve"> sixty-one</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lang w:eastAsia="en-US" w:bidi="ar-SA"/>
        </w:rPr>
        <w:t>(61)</w:t>
      </w:r>
      <w:r w:rsidRPr="00AE3C59">
        <w:rPr>
          <w:rFonts w:ascii="Times New Roman" w:eastAsia="Times New Roman" w:hAnsi="Times New Roman" w:cs="Times New Roman"/>
          <w:sz w:val="20"/>
          <w:szCs w:val="20"/>
          <w:lang w:val="en-US" w:eastAsia="en-US" w:bidi="ar-SA"/>
        </w:rPr>
        <w:t xml:space="preserve"> days’ prior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w:t>
      </w:r>
      <w:r w:rsidRPr="00AE3C59">
        <w:rPr>
          <w:rFonts w:ascii="Times New Roman" w:eastAsia="Times New Roman" w:hAnsi="Times New Roman" w:cs="Times New Roman"/>
          <w:sz w:val="17"/>
          <w:szCs w:val="17"/>
          <w:lang w:val="en-US" w:eastAsia="en-US" w:bidi="ar-SA"/>
        </w:rPr>
        <w:t>st</w:t>
      </w:r>
      <w:r w:rsidRPr="00AE3C59">
        <w:rPr>
          <w:rFonts w:ascii="Times New Roman" w:eastAsia="Times New Roman" w:hAnsi="Times New Roman" w:cs="Times New Roman"/>
          <w:sz w:val="20"/>
          <w:szCs w:val="20"/>
          <w:lang w:val="en-US" w:eastAsia="en-US" w:bidi="ar-SA"/>
        </w:rPr>
        <w:t xml:space="preserve"> day after such notice is delivered to the Company. The provisions of this paragraph shall be construed and implemented in a </w:t>
      </w:r>
      <w:r w:rsidRPr="00AE3C59">
        <w:rPr>
          <w:rFonts w:ascii="Times New Roman" w:eastAsia="Times New Roman" w:hAnsi="Times New Roman" w:cs="Times New Roman"/>
          <w:sz w:val="20"/>
          <w:szCs w:val="20"/>
          <w:lang w:val="en-US" w:eastAsia="en-US" w:bidi="ar-SA"/>
        </w:rPr>
        <w:lastRenderedPageBreak/>
        <w:t>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4EBBD90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782ECB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Section 3.</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Certain Adjustments</w:t>
      </w:r>
      <w:r w:rsidRPr="00AE3C59">
        <w:rPr>
          <w:rFonts w:ascii="Times New Roman" w:eastAsia="Times New Roman" w:hAnsi="Times New Roman" w:cs="Times New Roman"/>
          <w:sz w:val="20"/>
          <w:szCs w:val="20"/>
          <w:lang w:val="en-US" w:eastAsia="en-US" w:bidi="ar-SA"/>
        </w:rPr>
        <w:t>.</w:t>
      </w:r>
    </w:p>
    <w:p w14:paraId="14C0014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4FD9746"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w:t>
      </w:r>
      <w:r w:rsidRPr="00AE3C59">
        <w:rPr>
          <w:rFonts w:ascii="Times New Roman" w:eastAsia="Times New Roman" w:hAnsi="Times New Roman" w:cs="Times New Roman"/>
          <w:sz w:val="20"/>
          <w:szCs w:val="20"/>
          <w:u w:val="single"/>
          <w:lang w:val="en-US" w:eastAsia="en-US" w:bidi="ar-SA"/>
        </w:rPr>
        <w:t>Stock Dividends and Splits</w:t>
      </w:r>
      <w:r w:rsidRPr="00AE3C59">
        <w:rPr>
          <w:rFonts w:ascii="Times New Roman" w:eastAsia="Times New Roman" w:hAnsi="Times New Roman" w:cs="Times New Roman"/>
          <w:sz w:val="20"/>
          <w:szCs w:val="20"/>
          <w:lang w:val="en-US" w:eastAsia="en-US" w:bidi="ar-SA"/>
        </w:rPr>
        <w:t>. If the Company, at any time while this Warrant is outstanding: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re-classification.</w:t>
      </w:r>
    </w:p>
    <w:p w14:paraId="2FA11EC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26F45D"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w:t>
      </w:r>
      <w:r w:rsidRPr="00AE3C59">
        <w:rPr>
          <w:rFonts w:ascii="Times New Roman" w:eastAsia="Times New Roman" w:hAnsi="Times New Roman" w:cs="Times New Roman"/>
          <w:sz w:val="20"/>
          <w:szCs w:val="20"/>
          <w:u w:val="single"/>
          <w:lang w:val="en-US" w:eastAsia="en-US" w:bidi="ar-SA"/>
        </w:rPr>
        <w:t>Subsequent Rights Offerings</w:t>
      </w:r>
      <w:r w:rsidRPr="00AE3C59">
        <w:rPr>
          <w:rFonts w:ascii="Times New Roman" w:eastAsia="Times New Roman" w:hAnsi="Times New Roman" w:cs="Times New Roman"/>
          <w:sz w:val="20"/>
          <w:szCs w:val="20"/>
          <w:lang w:val="en-US" w:eastAsia="en-US" w:bidi="ar-SA"/>
        </w:rPr>
        <w:t>. In addition to any adjustments pursuant to Section 3(a) above, if at any time after the issuance of this Warrant the Company grants, issues or sells any Common Stock Equivalents or rights to purchase stock, warrants, securities or other property pro rata to all of the record holders of any class of shares of Common Stock (the “</w:t>
      </w:r>
      <w:r w:rsidRPr="00AE3C59">
        <w:rPr>
          <w:rFonts w:ascii="Times New Roman" w:eastAsia="Times New Roman" w:hAnsi="Times New Roman" w:cs="Times New Roman"/>
          <w:sz w:val="20"/>
          <w:szCs w:val="20"/>
          <w:u w:val="single"/>
          <w:lang w:val="en-US" w:eastAsia="en-US" w:bidi="ar-SA"/>
        </w:rPr>
        <w:t>Purchase Rights</w:t>
      </w:r>
      <w:r w:rsidRPr="00AE3C59">
        <w:rPr>
          <w:rFonts w:ascii="Times New Roman" w:eastAsia="Times New Roman" w:hAnsi="Times New Roman" w:cs="Times New Roman"/>
          <w:sz w:val="20"/>
          <w:szCs w:val="20"/>
          <w:lang w:val="en-US" w:eastAsia="en-US" w:bidi="ar-SA"/>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(provided, however,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p>
    <w:p w14:paraId="18796A7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4F6AA3C"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     </w:t>
      </w:r>
      <w:r w:rsidRPr="00AE3C59">
        <w:rPr>
          <w:rFonts w:ascii="Times New Roman" w:eastAsia="Times New Roman" w:hAnsi="Times New Roman" w:cs="Times New Roman"/>
          <w:sz w:val="20"/>
          <w:szCs w:val="20"/>
          <w:u w:val="single"/>
          <w:lang w:val="en-US" w:eastAsia="en-US" w:bidi="ar-SA"/>
        </w:rPr>
        <w:t>Pro Rata Distributions</w:t>
      </w:r>
      <w:r w:rsidRPr="00AE3C59">
        <w:rPr>
          <w:rFonts w:ascii="Times New Roman" w:eastAsia="Times New Roman" w:hAnsi="Times New Roman" w:cs="Times New Roman"/>
          <w:sz w:val="20"/>
          <w:szCs w:val="20"/>
          <w:lang w:val="en-US" w:eastAsia="en-US" w:bidi="ar-SA"/>
        </w:rPr>
        <w:t>. During such time as this Warrant is outstanding, if the Company shall declare or make any dividend or other distribution of its assets (or rights to acquire its assets) to all of the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AE3C59">
        <w:rPr>
          <w:rFonts w:ascii="Times New Roman" w:eastAsia="Times New Roman" w:hAnsi="Times New Roman" w:cs="Times New Roman"/>
          <w:sz w:val="20"/>
          <w:szCs w:val="20"/>
          <w:u w:val="single"/>
          <w:lang w:val="en-US" w:eastAsia="en-US" w:bidi="ar-SA"/>
        </w:rPr>
        <w:t>Distribution</w:t>
      </w:r>
      <w:r w:rsidRPr="00AE3C59">
        <w:rPr>
          <w:rFonts w:ascii="Times New Roman" w:eastAsia="Times New Roman" w:hAnsi="Times New Roman" w:cs="Times New Roman"/>
          <w:sz w:val="20"/>
          <w:szCs w:val="20"/>
          <w:lang w:val="en-US" w:eastAsia="en-US" w:bidi="ar-SA"/>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AE3C59">
        <w:rPr>
          <w:rFonts w:ascii="Times New Roman" w:eastAsia="Times New Roman" w:hAnsi="Times New Roman" w:cs="Times New Roman"/>
          <w:sz w:val="20"/>
          <w:szCs w:val="20"/>
          <w:u w:val="single"/>
          <w:lang w:val="en-US" w:eastAsia="en-US" w:bidi="ar-SA"/>
        </w:rPr>
        <w:t>provided</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u w:val="single"/>
          <w:lang w:val="en-US" w:eastAsia="en-US" w:bidi="ar-SA"/>
        </w:rPr>
        <w:t>however</w:t>
      </w:r>
      <w:r w:rsidRPr="00AE3C59">
        <w:rPr>
          <w:rFonts w:ascii="Times New Roman" w:eastAsia="Times New Roman" w:hAnsi="Times New Roman" w:cs="Times New Roman"/>
          <w:sz w:val="20"/>
          <w:szCs w:val="20"/>
          <w:lang w:val="en-US" w:eastAsia="en-US" w:bidi="ar-SA"/>
        </w:rPr>
        <w:t xml:space="preserve">,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w:t>
      </w:r>
      <w:r w:rsidRPr="00AE3C59">
        <w:rPr>
          <w:rFonts w:ascii="Times New Roman" w:eastAsia="Times New Roman" w:hAnsi="Times New Roman" w:cs="Times New Roman"/>
          <w:sz w:val="20"/>
          <w:szCs w:val="20"/>
          <w:lang w:val="en-US" w:eastAsia="en-US" w:bidi="ar-SA"/>
        </w:rPr>
        <w:lastRenderedPageBreak/>
        <w:t>Distribution shall be held in abeyance for the benefit of the Holder until such time, if ever, as its right thereto would not result in the Holder exceeding the Beneficial Ownership Limitation).</w:t>
      </w:r>
    </w:p>
    <w:p w14:paraId="05ED601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E8C3735"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     </w:t>
      </w:r>
      <w:r w:rsidRPr="00AE3C59">
        <w:rPr>
          <w:rFonts w:ascii="Times New Roman" w:eastAsia="Times New Roman" w:hAnsi="Times New Roman" w:cs="Times New Roman"/>
          <w:sz w:val="20"/>
          <w:szCs w:val="20"/>
          <w:u w:val="single"/>
          <w:lang w:val="en-US" w:eastAsia="en-US" w:bidi="ar-SA"/>
        </w:rPr>
        <w:t>Fundamental Transaction</w:t>
      </w:r>
      <w:r w:rsidRPr="00AE3C59">
        <w:rPr>
          <w:rFonts w:ascii="Times New Roman" w:eastAsia="Times New Roman" w:hAnsi="Times New Roman" w:cs="Times New Roman"/>
          <w:sz w:val="20"/>
          <w:szCs w:val="20"/>
          <w:lang w:val="en-US" w:eastAsia="en-US" w:bidi="ar-SA"/>
        </w:rPr>
        <w:t>. If, at any time while this Warrant is outstanding,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Company, directly or indirectly, in one or more related transactions effects any merger or consolidation of the Company with or into another Person, (ii) the Company,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AE3C59">
        <w:rPr>
          <w:rFonts w:ascii="Times New Roman" w:eastAsia="Times New Roman" w:hAnsi="Times New Roman" w:cs="Times New Roman"/>
          <w:sz w:val="20"/>
          <w:szCs w:val="20"/>
          <w:u w:val="single"/>
          <w:lang w:val="en-US" w:eastAsia="en-US" w:bidi="ar-SA"/>
        </w:rPr>
        <w:t>Fundamental Transaction</w:t>
      </w:r>
      <w:r w:rsidRPr="00AE3C59">
        <w:rPr>
          <w:rFonts w:ascii="Times New Roman" w:eastAsia="Times New Roman" w:hAnsi="Times New Roman" w:cs="Times New Roman"/>
          <w:sz w:val="20"/>
          <w:szCs w:val="20"/>
          <w:lang w:val="en-US" w:eastAsia="en-US" w:bidi="ar-SA"/>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AE3C59">
        <w:rPr>
          <w:rFonts w:ascii="Times New Roman" w:eastAsia="Times New Roman" w:hAnsi="Times New Roman" w:cs="Times New Roman"/>
          <w:sz w:val="20"/>
          <w:szCs w:val="20"/>
          <w:u w:val="single"/>
          <w:lang w:val="en-US" w:eastAsia="en-US" w:bidi="ar-SA"/>
        </w:rPr>
        <w:t>Alternate Consideration</w:t>
      </w:r>
      <w:r w:rsidRPr="00AE3C59">
        <w:rPr>
          <w:rFonts w:ascii="Times New Roman" w:eastAsia="Times New Roman" w:hAnsi="Times New Roman" w:cs="Times New Roman"/>
          <w:sz w:val="20"/>
          <w:szCs w:val="20"/>
          <w:lang w:val="en-US" w:eastAsia="en-US" w:bidi="ar-SA"/>
        </w:rPr>
        <w:t>”)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cash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AE3C59">
        <w:rPr>
          <w:rFonts w:ascii="Times New Roman" w:eastAsia="Times New Roman" w:hAnsi="Times New Roman" w:cs="Times New Roman"/>
          <w:sz w:val="20"/>
          <w:szCs w:val="20"/>
          <w:u w:val="single"/>
          <w:lang w:val="en-US" w:eastAsia="en-US" w:bidi="ar-SA"/>
        </w:rPr>
        <w:t>Successor Entity</w:t>
      </w:r>
      <w:r w:rsidRPr="00AE3C59">
        <w:rPr>
          <w:rFonts w:ascii="Times New Roman" w:eastAsia="Times New Roman" w:hAnsi="Times New Roman" w:cs="Times New Roman"/>
          <w:sz w:val="20"/>
          <w:szCs w:val="20"/>
          <w:lang w:val="en-US" w:eastAsia="en-US" w:bidi="ar-SA"/>
        </w:rPr>
        <w:t>”) to assume in writing all of the obligations of the Company under this Warrant in accordance with the provisions of this Section 3(d) pursuant to written agreements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For the avoidance of doubt, if, at any time while this Warrant is outstanding, a Fundamental Transaction occurs, pursuant to the terms of this Section 3(d), the Holder shall not be entitled to receive more than one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consideration receivable as a result of such Fundamental Transaction by a holder of the number of shares of Common Stock </w:t>
      </w:r>
      <w:r w:rsidRPr="00AE3C59">
        <w:rPr>
          <w:rFonts w:ascii="Times New Roman" w:eastAsia="Times New Roman" w:hAnsi="Times New Roman" w:cs="Times New Roman"/>
          <w:sz w:val="20"/>
          <w:szCs w:val="20"/>
          <w:lang w:val="en-US" w:eastAsia="en-US" w:bidi="ar-SA"/>
        </w:rPr>
        <w:lastRenderedPageBreak/>
        <w:t>for which this Warrant is exercisable immediately prior to such Fundamental Transaction, or (ii) the assumption by the Successor Entity of all of the obligations of the Company under this Warrant and the option to receive a security of the Successor Entity evidenced by a written instrument substantially similar in form and substance to this Warrant.</w:t>
      </w:r>
    </w:p>
    <w:p w14:paraId="642ED8D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440F822"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eastAsia="en-US" w:bidi="ar-SA"/>
        </w:rPr>
        <w:t>e</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Calculations</w:t>
      </w:r>
      <w:r w:rsidRPr="00AE3C59">
        <w:rPr>
          <w:rFonts w:ascii="Times New Roman" w:eastAsia="Times New Roman" w:hAnsi="Times New Roman" w:cs="Times New Roman"/>
          <w:sz w:val="20"/>
          <w:szCs w:val="20"/>
          <w:lang w:val="en-US" w:eastAsia="en-US" w:bidi="ar-SA"/>
        </w:rPr>
        <w:t>. All calculations under this Section 3 shall be made to the nearest cent or the nearest 1/100th of a share, as the case may be. For purposes of this Section 3, the number of shares of Common Stock deemed to be issued and outstanding as of a given date shall be the sum of the number of shares of Common Stock (excluding treasury shares, if any) issued and outstanding.</w:t>
      </w:r>
    </w:p>
    <w:p w14:paraId="7B7C164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26E96A6"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eastAsia="en-US" w:bidi="ar-SA"/>
        </w:rPr>
        <w:t>f</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Notice to Holder</w:t>
      </w:r>
      <w:r w:rsidRPr="00AE3C59">
        <w:rPr>
          <w:rFonts w:ascii="Times New Roman" w:eastAsia="Times New Roman" w:hAnsi="Times New Roman" w:cs="Times New Roman"/>
          <w:sz w:val="20"/>
          <w:szCs w:val="20"/>
          <w:lang w:val="en-US" w:eastAsia="en-US" w:bidi="ar-SA"/>
        </w:rPr>
        <w:t>.</w:t>
      </w:r>
    </w:p>
    <w:p w14:paraId="479652D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CF40712"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Adjustment to Exercise Price</w:t>
      </w:r>
      <w:r w:rsidRPr="00AE3C59">
        <w:rPr>
          <w:rFonts w:ascii="Times New Roman" w:eastAsia="Times New Roman" w:hAnsi="Times New Roman" w:cs="Times New Roman"/>
          <w:sz w:val="20"/>
          <w:szCs w:val="20"/>
          <w:lang w:val="en-US" w:eastAsia="en-US" w:bidi="ar-SA"/>
        </w:rPr>
        <w:t>.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w:t>
      </w:r>
    </w:p>
    <w:p w14:paraId="68C0340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097C495" w14:textId="77777777" w:rsidR="00AE3C59" w:rsidRPr="00AE3C59" w:rsidRDefault="00AE3C59" w:rsidP="00AE3C59">
      <w:pPr>
        <w:spacing w:after="0" w:line="240" w:lineRule="auto"/>
        <w:ind w:left="1440" w:firstLine="5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ii.     </w:t>
      </w:r>
      <w:r w:rsidRPr="00AE3C59">
        <w:rPr>
          <w:rFonts w:ascii="Times New Roman" w:eastAsia="Times New Roman" w:hAnsi="Times New Roman" w:cs="Times New Roman"/>
          <w:sz w:val="20"/>
          <w:szCs w:val="20"/>
          <w:u w:val="single"/>
          <w:lang w:val="en-US" w:eastAsia="en-US" w:bidi="ar-SA"/>
        </w:rPr>
        <w:t>Notice to Allow Exercise by Holder</w:t>
      </w:r>
      <w:r w:rsidRPr="00AE3C59">
        <w:rPr>
          <w:rFonts w:ascii="Times New Roman" w:eastAsia="Times New Roman" w:hAnsi="Times New Roman" w:cs="Times New Roman"/>
          <w:sz w:val="20"/>
          <w:szCs w:val="20"/>
          <w:lang w:val="en-US" w:eastAsia="en-US" w:bidi="ar-SA"/>
        </w:rPr>
        <w:t>.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is a party, any sale or transfer of all or substantially all of the assets of the Company,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twenty (20) calendar days prior to the applicable record or effective date hereinafter specified, a notice (unless such information is filed with the Commission, in which case a notice shall not be required)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notice except as may otherwise be expressly set forth herein.</w:t>
      </w:r>
    </w:p>
    <w:p w14:paraId="495D672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4A8FD8"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Section 4</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Transfer of Warrant</w:t>
      </w:r>
      <w:r w:rsidRPr="00AE3C59">
        <w:rPr>
          <w:rFonts w:ascii="Times New Roman" w:eastAsia="Times New Roman" w:hAnsi="Times New Roman" w:cs="Times New Roman"/>
          <w:sz w:val="20"/>
          <w:szCs w:val="20"/>
          <w:lang w:val="en-US" w:eastAsia="en-US" w:bidi="ar-SA"/>
        </w:rPr>
        <w:t>.</w:t>
      </w:r>
    </w:p>
    <w:p w14:paraId="0A7D1B0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83836E"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w:t>
      </w:r>
      <w:r w:rsidRPr="00AE3C59">
        <w:rPr>
          <w:rFonts w:ascii="Times New Roman" w:eastAsia="Times New Roman" w:hAnsi="Times New Roman" w:cs="Times New Roman"/>
          <w:sz w:val="20"/>
          <w:szCs w:val="20"/>
          <w:u w:val="single"/>
          <w:lang w:val="en-US" w:eastAsia="en-US" w:bidi="ar-SA"/>
        </w:rPr>
        <w:t>Transferability</w:t>
      </w:r>
      <w:r w:rsidRPr="00AE3C59">
        <w:rPr>
          <w:rFonts w:ascii="Times New Roman" w:eastAsia="Times New Roman" w:hAnsi="Times New Roman" w:cs="Times New Roman"/>
          <w:sz w:val="20"/>
          <w:szCs w:val="20"/>
          <w:lang w:val="en-US" w:eastAsia="en-US" w:bidi="ar-SA"/>
        </w:rPr>
        <w:t xml:space="preserve">. This Warrant and all rights hereunder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w:t>
      </w:r>
      <w:r w:rsidRPr="00AE3C59">
        <w:rPr>
          <w:rFonts w:ascii="Times New Roman" w:eastAsia="Times New Roman" w:hAnsi="Times New Roman" w:cs="Times New Roman"/>
          <w:sz w:val="20"/>
          <w:szCs w:val="20"/>
          <w:lang w:val="en-US" w:eastAsia="en-US" w:bidi="ar-SA"/>
        </w:rPr>
        <w:lastRenderedPageBreak/>
        <w:t>specified in such instrument of assignment, and shall issue to the assignor a new Warrant evidencing the portion of this Warrant not so assigned, and this Warrant shall promptly be cancelled. In order to effectuate a transfer (in whole or in part) of this Warrant, the Holder shall surrender this Warrant to the Company within three (3) Trading Days of the date on which the Holder delivers an assignment form to the Company assigning this Warrant in full. The Warrant, if properly assigned in accordance herewith, may be exercised by a new holder for the purchase of Warrant Shares without having a new Warrant issued.</w:t>
      </w:r>
    </w:p>
    <w:p w14:paraId="5C561EA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EE1D024"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w:t>
      </w:r>
      <w:r w:rsidRPr="00AE3C59">
        <w:rPr>
          <w:rFonts w:ascii="Times New Roman" w:eastAsia="Times New Roman" w:hAnsi="Times New Roman" w:cs="Times New Roman"/>
          <w:sz w:val="20"/>
          <w:szCs w:val="20"/>
          <w:u w:val="single"/>
          <w:lang w:val="en-US" w:eastAsia="en-US" w:bidi="ar-SA"/>
        </w:rPr>
        <w:t>New Warrants</w:t>
      </w:r>
      <w:r w:rsidRPr="00AE3C59">
        <w:rPr>
          <w:rFonts w:ascii="Times New Roman" w:eastAsia="Times New Roman" w:hAnsi="Times New Roman" w:cs="Times New Roman"/>
          <w:sz w:val="20"/>
          <w:szCs w:val="20"/>
          <w:lang w:val="en-US" w:eastAsia="en-US" w:bidi="ar-SA"/>
        </w:rPr>
        <w:t xml:space="preserve">. </w:t>
      </w:r>
      <w:r w:rsidRPr="00AE3C59">
        <w:rPr>
          <w:rFonts w:ascii="Times New Roman" w:eastAsia="Times New Roman" w:hAnsi="Times New Roman" w:cs="Times New Roman"/>
          <w:sz w:val="20"/>
          <w:szCs w:val="20"/>
          <w:lang w:eastAsia="en-US" w:bidi="ar-SA"/>
        </w:rPr>
        <w:t>T</w:t>
      </w:r>
      <w:r w:rsidRPr="00AE3C59">
        <w:rPr>
          <w:rFonts w:ascii="Times New Roman" w:eastAsia="Times New Roman" w:hAnsi="Times New Roman" w:cs="Times New Roman"/>
          <w:sz w:val="20"/>
          <w:szCs w:val="20"/>
          <w:lang w:val="en-US" w:eastAsia="en-US" w:bidi="ar-SA"/>
        </w:rPr>
        <w: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initial issuance date of this Warrant and shall be identical with this Warrant except as to the number of Warrant Shares issuable pursuant thereto.</w:t>
      </w:r>
    </w:p>
    <w:p w14:paraId="67FAE41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F0E5A99"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     </w:t>
      </w:r>
      <w:r w:rsidRPr="00AE3C59">
        <w:rPr>
          <w:rFonts w:ascii="Times New Roman" w:eastAsia="Times New Roman" w:hAnsi="Times New Roman" w:cs="Times New Roman"/>
          <w:sz w:val="20"/>
          <w:szCs w:val="20"/>
          <w:u w:val="single"/>
          <w:lang w:val="en-US" w:eastAsia="en-US" w:bidi="ar-SA"/>
        </w:rPr>
        <w:t>Warrant Register</w:t>
      </w:r>
      <w:r w:rsidRPr="00AE3C59">
        <w:rPr>
          <w:rFonts w:ascii="Times New Roman" w:eastAsia="Times New Roman" w:hAnsi="Times New Roman" w:cs="Times New Roman"/>
          <w:sz w:val="20"/>
          <w:szCs w:val="20"/>
          <w:lang w:val="en-US" w:eastAsia="en-US" w:bidi="ar-SA"/>
        </w:rPr>
        <w:t xml:space="preserve">. The </w:t>
      </w:r>
      <w:r w:rsidRPr="00AE3C59">
        <w:rPr>
          <w:rFonts w:ascii="Times New Roman" w:eastAsia="Times New Roman" w:hAnsi="Times New Roman" w:cs="Times New Roman"/>
          <w:sz w:val="20"/>
          <w:szCs w:val="20"/>
          <w:lang w:eastAsia="en-US" w:bidi="ar-SA"/>
        </w:rPr>
        <w:t>Company</w:t>
      </w:r>
      <w:r w:rsidRPr="00AE3C59">
        <w:rPr>
          <w:rFonts w:ascii="Times New Roman" w:eastAsia="Times New Roman" w:hAnsi="Times New Roman" w:cs="Times New Roman"/>
          <w:sz w:val="20"/>
          <w:szCs w:val="20"/>
          <w:lang w:val="en-US" w:eastAsia="en-US" w:bidi="ar-SA"/>
        </w:rPr>
        <w:t xml:space="preserve"> shall register this Warrant, upon records to be maintained by the </w:t>
      </w:r>
      <w:r w:rsidRPr="00AE3C59">
        <w:rPr>
          <w:rFonts w:ascii="Times New Roman" w:eastAsia="Times New Roman" w:hAnsi="Times New Roman" w:cs="Times New Roman"/>
          <w:sz w:val="20"/>
          <w:szCs w:val="20"/>
          <w:lang w:eastAsia="en-US" w:bidi="ar-SA"/>
        </w:rPr>
        <w:t>Company</w:t>
      </w:r>
      <w:r w:rsidRPr="00AE3C59">
        <w:rPr>
          <w:rFonts w:ascii="Times New Roman" w:eastAsia="Times New Roman" w:hAnsi="Times New Roman" w:cs="Times New Roman"/>
          <w:sz w:val="20"/>
          <w:szCs w:val="20"/>
          <w:lang w:val="en-US" w:eastAsia="en-US" w:bidi="ar-SA"/>
        </w:rPr>
        <w:t xml:space="preserve"> for that purpose (the “</w:t>
      </w:r>
      <w:r w:rsidRPr="00AE3C59">
        <w:rPr>
          <w:rFonts w:ascii="Times New Roman" w:eastAsia="Times New Roman" w:hAnsi="Times New Roman" w:cs="Times New Roman"/>
          <w:sz w:val="20"/>
          <w:szCs w:val="20"/>
          <w:u w:val="single"/>
          <w:lang w:val="en-US" w:eastAsia="en-US" w:bidi="ar-SA"/>
        </w:rPr>
        <w:t>Warrant Register</w:t>
      </w:r>
      <w:r w:rsidRPr="00AE3C59">
        <w:rPr>
          <w:rFonts w:ascii="Times New Roman" w:eastAsia="Times New Roman" w:hAnsi="Times New Roman" w:cs="Times New Roman"/>
          <w:sz w:val="20"/>
          <w:szCs w:val="20"/>
          <w:lang w:val="en-US" w:eastAsia="en-US" w:bidi="ar-SA"/>
        </w:rPr>
        <w:t>”), in the name of the record Holder hereof from time to time. The Company may deem and treat the registered Holder of this Warrant as the absolute owner hereof for the purpose of any exercise hereof or any distribution to the Holder, and for all other purposes, absent actual notice to the contrary.</w:t>
      </w:r>
    </w:p>
    <w:p w14:paraId="04B651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1555B5A"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u w:val="single"/>
          <w:lang w:val="en-US" w:eastAsia="en-US" w:bidi="ar-SA"/>
        </w:rPr>
      </w:pPr>
      <w:r w:rsidRPr="00AE3C59">
        <w:rPr>
          <w:rFonts w:ascii="Times New Roman" w:eastAsia="Times New Roman" w:hAnsi="Times New Roman" w:cs="Times New Roman"/>
          <w:sz w:val="20"/>
          <w:szCs w:val="20"/>
          <w:u w:val="single"/>
          <w:lang w:val="en-US" w:eastAsia="en-US" w:bidi="ar-SA"/>
        </w:rPr>
        <w:t>Section 5</w:t>
      </w:r>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Miscellaneous</w:t>
      </w:r>
      <w:r w:rsidRPr="00AE3C59">
        <w:rPr>
          <w:rFonts w:ascii="Times New Roman" w:eastAsia="Times New Roman" w:hAnsi="Times New Roman" w:cs="Times New Roman"/>
          <w:sz w:val="20"/>
          <w:szCs w:val="20"/>
          <w:lang w:val="en-US" w:eastAsia="en-US" w:bidi="ar-SA"/>
        </w:rPr>
        <w:t>.</w:t>
      </w:r>
    </w:p>
    <w:p w14:paraId="229E7F6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589BDD3"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     </w:t>
      </w:r>
      <w:r w:rsidRPr="00AE3C59">
        <w:rPr>
          <w:rFonts w:ascii="Times New Roman" w:eastAsia="Times New Roman" w:hAnsi="Times New Roman" w:cs="Times New Roman"/>
          <w:sz w:val="20"/>
          <w:szCs w:val="20"/>
          <w:u w:val="single"/>
          <w:lang w:val="en-US" w:eastAsia="en-US" w:bidi="ar-SA"/>
        </w:rPr>
        <w:t>No Rights as Stockholder Until Exercise; No Settlement in Cash</w:t>
      </w:r>
      <w:r w:rsidRPr="00AE3C59">
        <w:rPr>
          <w:rFonts w:ascii="Times New Roman" w:eastAsia="Times New Roman" w:hAnsi="Times New Roman" w:cs="Times New Roman"/>
          <w:sz w:val="20"/>
          <w:szCs w:val="20"/>
          <w:lang w:val="en-US" w:eastAsia="en-US" w:bidi="ar-SA"/>
        </w:rPr>
        <w:t>. This Warrant does not entitle the Holder to any voting rights, dividends or other rights as a stockholder of the Company prior to the exercise hereof as set forth in Section 2(d)(</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except as expressly set forth in Section 3. Without limiting the rights of a Holder to receive Warrant Shares on a “cashless exercise,” and to receive the cash payments contemplated pursuant to Sections 2(d)(</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and 2(d)(iv), In no event, including if the Company is for any reason unable to issue and deliver Warrant Shares upon exercise of this Warrant as required pursuant to the terms hereof, shall the Company be required to net cash settle an exercise of this Warrant or cash settle in any other form.</w:t>
      </w:r>
    </w:p>
    <w:p w14:paraId="00441EB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05B553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     </w:t>
      </w:r>
      <w:r w:rsidRPr="00AE3C59">
        <w:rPr>
          <w:rFonts w:ascii="Times New Roman" w:eastAsia="Times New Roman" w:hAnsi="Times New Roman" w:cs="Times New Roman"/>
          <w:sz w:val="20"/>
          <w:szCs w:val="20"/>
          <w:u w:val="single"/>
          <w:lang w:val="en-US" w:eastAsia="en-US" w:bidi="ar-SA"/>
        </w:rPr>
        <w:t>Loss, Theft, Destruction or Mutilation of Warrant</w:t>
      </w:r>
      <w:r w:rsidRPr="00AE3C59">
        <w:rPr>
          <w:rFonts w:ascii="Times New Roman" w:eastAsia="Times New Roman" w:hAnsi="Times New Roman" w:cs="Times New Roman"/>
          <w:sz w:val="20"/>
          <w:szCs w:val="20"/>
          <w:lang w:val="en-US" w:eastAsia="en-US" w:bidi="ar-SA"/>
        </w:rPr>
        <w:t>.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w:t>
      </w:r>
    </w:p>
    <w:p w14:paraId="5AE190D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A7EC9F3"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c)     </w:t>
      </w:r>
      <w:r w:rsidRPr="00AE3C59">
        <w:rPr>
          <w:rFonts w:ascii="Times New Roman" w:eastAsia="Times New Roman" w:hAnsi="Times New Roman" w:cs="Times New Roman"/>
          <w:sz w:val="20"/>
          <w:szCs w:val="20"/>
          <w:u w:val="single"/>
          <w:lang w:val="en-US" w:eastAsia="en-US" w:bidi="ar-SA"/>
        </w:rPr>
        <w:t>Saturdays, Sundays, Holidays, etc</w:t>
      </w:r>
      <w:r w:rsidRPr="00AE3C59">
        <w:rPr>
          <w:rFonts w:ascii="Times New Roman" w:eastAsia="Times New Roman" w:hAnsi="Times New Roman" w:cs="Times New Roman"/>
          <w:sz w:val="20"/>
          <w:szCs w:val="20"/>
          <w:lang w:val="en-US" w:eastAsia="en-US" w:bidi="ar-SA"/>
        </w:rPr>
        <w:t>. If the last or appointed day for the taking of any action or the expiration of any right required or granted herein shall not be a Business Day, then, such action may be taken or such right may be exercised on the next succeeding Business Day.</w:t>
      </w:r>
    </w:p>
    <w:p w14:paraId="0D161F1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4B33E2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     </w:t>
      </w:r>
      <w:r w:rsidRPr="00AE3C59">
        <w:rPr>
          <w:rFonts w:ascii="Times New Roman" w:eastAsia="Times New Roman" w:hAnsi="Times New Roman" w:cs="Times New Roman"/>
          <w:sz w:val="20"/>
          <w:szCs w:val="20"/>
          <w:u w:val="single"/>
          <w:lang w:val="en-US" w:eastAsia="en-US" w:bidi="ar-SA"/>
        </w:rPr>
        <w:t>Authorized Shares</w:t>
      </w:r>
      <w:r w:rsidRPr="00AE3C59">
        <w:rPr>
          <w:rFonts w:ascii="Times New Roman" w:eastAsia="Times New Roman" w:hAnsi="Times New Roman" w:cs="Times New Roman"/>
          <w:sz w:val="20"/>
          <w:szCs w:val="20"/>
          <w:lang w:val="en-US" w:eastAsia="en-US" w:bidi="ar-SA"/>
        </w:rPr>
        <w:t>.</w:t>
      </w:r>
    </w:p>
    <w:p w14:paraId="0B630EC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3A576E"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The Company covenants that, during the period the Warrant is outstanding, it will reserve from its authorized and unissued Common Stock a sufficient number of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w:t>
      </w:r>
      <w:r w:rsidRPr="00AE3C59">
        <w:rPr>
          <w:rFonts w:ascii="Times New Roman" w:eastAsia="Times New Roman" w:hAnsi="Times New Roman" w:cs="Times New Roman"/>
          <w:sz w:val="20"/>
          <w:szCs w:val="20"/>
          <w:lang w:val="en-US" w:eastAsia="en-US" w:bidi="ar-SA"/>
        </w:rPr>
        <w:lastRenderedPageBreak/>
        <w:t>accordance herewith, be duly authorized, validly issued, fully paid and nonassessable and free from all taxes, liens and charges created by the Company in respect of the issue thereof (other than taxes in respect of any transfer occurring contemporaneously with such issue).</w:t>
      </w:r>
    </w:p>
    <w:p w14:paraId="43391C2F"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0FB0F6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3A8B354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98750C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Before taking any action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27332795"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0823C91"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     </w:t>
      </w:r>
      <w:r w:rsidRPr="00AE3C59">
        <w:rPr>
          <w:rFonts w:ascii="Times New Roman" w:eastAsia="Times New Roman" w:hAnsi="Times New Roman" w:cs="Times New Roman"/>
          <w:sz w:val="20"/>
          <w:szCs w:val="20"/>
          <w:u w:val="single"/>
          <w:lang w:val="en-US" w:eastAsia="en-US" w:bidi="ar-SA"/>
        </w:rPr>
        <w:t>Governing Law</w:t>
      </w:r>
      <w:r w:rsidRPr="00AE3C59">
        <w:rPr>
          <w:rFonts w:ascii="Times New Roman" w:eastAsia="Times New Roman" w:hAnsi="Times New Roman" w:cs="Times New Roman"/>
          <w:sz w:val="20"/>
          <w:szCs w:val="20"/>
          <w:lang w:val="en-US" w:eastAsia="en-US" w:bidi="ar-SA"/>
        </w:rPr>
        <w:t>. All questions concerning the construction, validity, enforcement and interpretation of this Warrant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Warrant (whether brought against a party hereto or their respective affiliates, directors, officers, shareholders, partners, members, employees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improper or is an inconvenient venue for such proceeding. Each party hereby irrevocably waives personal service of process and consents to process being served in any such suit, action or proceeding by mailing a copy thereof via registered or certified mail or overnight delivery (with evidence of delivery) to such party at the address in effect for notices to it under this Warrant and agrees that such service shall constitute good and sufficient service of process and notice thereof. Nothing contained herein shall be deemed to limit in any way any right to serve process in any other manner permitted by law. If either party shall commence an action, suit or proceeding to enforce any provisions of this Warrant, the prevailing party in such action, suit or proceeding shall be reimbursed by the other party for their reasonable attorneys’ fees and other costs and expenses incurred with the investigation, preparation and prosecution of such action or proceeding.</w:t>
      </w:r>
    </w:p>
    <w:p w14:paraId="4F5A84C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EA4BB1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     </w:t>
      </w:r>
      <w:r w:rsidRPr="00AE3C59">
        <w:rPr>
          <w:rFonts w:ascii="Times New Roman" w:eastAsia="Times New Roman" w:hAnsi="Times New Roman" w:cs="Times New Roman"/>
          <w:sz w:val="20"/>
          <w:szCs w:val="20"/>
          <w:u w:val="single"/>
          <w:lang w:val="en-US" w:eastAsia="en-US" w:bidi="ar-SA"/>
        </w:rPr>
        <w:t>Restrictions</w:t>
      </w:r>
      <w:r w:rsidRPr="00AE3C59">
        <w:rPr>
          <w:rFonts w:ascii="Times New Roman" w:eastAsia="Times New Roman" w:hAnsi="Times New Roman" w:cs="Times New Roman"/>
          <w:sz w:val="20"/>
          <w:szCs w:val="20"/>
          <w:lang w:val="en-US" w:eastAsia="en-US" w:bidi="ar-SA"/>
        </w:rPr>
        <w:t>. The Holder acknowledges that the Warrant Shares acquired upon the exercise of this Warrant, if not registered, and the Holder does not utilize cashless exercise, will have restrictions upon resale imposed by state and federal securities laws.</w:t>
      </w:r>
    </w:p>
    <w:p w14:paraId="70AADB7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B24A35"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g)     </w:t>
      </w:r>
      <w:r w:rsidRPr="00AE3C59">
        <w:rPr>
          <w:rFonts w:ascii="Times New Roman" w:eastAsia="Times New Roman" w:hAnsi="Times New Roman" w:cs="Times New Roman"/>
          <w:sz w:val="20"/>
          <w:szCs w:val="20"/>
          <w:u w:val="single"/>
          <w:lang w:val="en-US" w:eastAsia="en-US" w:bidi="ar-SA"/>
        </w:rPr>
        <w:t>Nonwaiver and Expenses</w:t>
      </w:r>
      <w:r w:rsidRPr="00AE3C59">
        <w:rPr>
          <w:rFonts w:ascii="Times New Roman" w:eastAsia="Times New Roman" w:hAnsi="Times New Roman" w:cs="Times New Roman"/>
          <w:sz w:val="20"/>
          <w:szCs w:val="20"/>
          <w:lang w:val="en-US" w:eastAsia="en-US" w:bidi="ar-SA"/>
        </w:rPr>
        <w:t xml:space="preserve">. No course of dealing or any delay or failure to exercise any right hereunder on the part of Holder shall operate as a waiver of such right or otherwise prejudice the Holder’s rights, powers or remedies. Without limiting any other provision of this Warrant,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w:t>
      </w:r>
      <w:r w:rsidRPr="00AE3C59">
        <w:rPr>
          <w:rFonts w:ascii="Times New Roman" w:eastAsia="Times New Roman" w:hAnsi="Times New Roman" w:cs="Times New Roman"/>
          <w:sz w:val="20"/>
          <w:szCs w:val="20"/>
          <w:lang w:val="en-US" w:eastAsia="en-US" w:bidi="ar-SA"/>
        </w:rPr>
        <w:lastRenderedPageBreak/>
        <w:t>incurred by the Holder in collecting any amounts due pursuant hereto or in otherwise enforcing any of its rights, powers or remedies hereunder.</w:t>
      </w:r>
    </w:p>
    <w:p w14:paraId="03D5B55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89A752A"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h)     </w:t>
      </w:r>
      <w:r w:rsidRPr="00AE3C59">
        <w:rPr>
          <w:rFonts w:ascii="Times New Roman" w:eastAsia="Times New Roman" w:hAnsi="Times New Roman" w:cs="Times New Roman"/>
          <w:sz w:val="20"/>
          <w:szCs w:val="20"/>
          <w:u w:val="single"/>
          <w:lang w:val="en-US" w:eastAsia="en-US" w:bidi="ar-SA"/>
        </w:rPr>
        <w:t>Notices</w:t>
      </w:r>
      <w:r w:rsidRPr="00AE3C59">
        <w:rPr>
          <w:rFonts w:ascii="Times New Roman" w:eastAsia="Times New Roman" w:hAnsi="Times New Roman" w:cs="Times New Roman"/>
          <w:sz w:val="20"/>
          <w:szCs w:val="20"/>
          <w:lang w:val="en-US" w:eastAsia="en-US" w:bidi="ar-SA"/>
        </w:rPr>
        <w:t xml:space="preserve">. Any and all notices or other communications or deliveries to be provided by the Holders hereunder including, without limitation, any Notice of Exercise, shall be in writing and delivered personally, by facsimile or e-mail, or sent by a nationally recognized overnight courier service, addressed to the Company, at 1900 Lake Park Drive, Suite 380, Smyrna, Georgia 30080, Attention: Mark W. Reynolds, E-mail: MReynolds@GeoVax.com, or such other facsimile number, email address or address as the Company may specify for such purposes by notice to the Holders. Any and all notices or other communications or deliveries to be provided by the Company hereunder shall be in writing and delivered personally, by facsimile or e-mail, or sent by a nationally recognized overnight courier service addressed to each Holder at the facsimile number, e-mail address or address of such Holder appearing on the books of the </w:t>
      </w:r>
      <w:r w:rsidRPr="00AE3C59">
        <w:rPr>
          <w:rFonts w:ascii="Times New Roman" w:eastAsia="Times New Roman" w:hAnsi="Times New Roman" w:cs="Times New Roman"/>
          <w:sz w:val="20"/>
          <w:szCs w:val="20"/>
          <w:lang w:eastAsia="en-US" w:bidi="ar-SA"/>
        </w:rPr>
        <w:t>Company</w:t>
      </w:r>
      <w:r w:rsidRPr="00AE3C59">
        <w:rPr>
          <w:rFonts w:ascii="Times New Roman" w:eastAsia="Times New Roman" w:hAnsi="Times New Roman" w:cs="Times New Roman"/>
          <w:sz w:val="20"/>
          <w:szCs w:val="20"/>
          <w:lang w:val="en-US" w:eastAsia="en-US" w:bidi="ar-SA"/>
        </w:rPr>
        <w:t>. Any notice or other communication or deliveries hereunder shall be deemed given and effective on the earliest of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the time of transmission, if such notice or communication is delivered via facsimile at the facsimile number or via e-mail at the e-mail address set forth in this Section prior to 5:30 p.m. (New York City time) on any date, (ii) the next Trading Day after the date of transmission, if such notice or communication is delivered via facsimile at the facsimile number or via e-mail at the e-mail address set forth in this Section on a day that is not a Trading Day or later than 5:30 p.m. (New York City time) on any Trading Day, (iii) the second Trading Day following the date of mailing, if sent by U.S. nationally recognized overnight courier service, or (iv) upon actual receipt by the party to whom such notice is required to be given. To the extent that any notice provided hereunder constitutes, or contains, material, non-public information regarding the Company or any subsidiaries, the Company shall simultaneously file such notice with the Commission pursuant to a Current Report on Form 8-K.</w:t>
      </w:r>
    </w:p>
    <w:p w14:paraId="188DACB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E26D36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w:t>
      </w:r>
      <w:r w:rsidRPr="00AE3C59">
        <w:rPr>
          <w:rFonts w:ascii="Times New Roman" w:eastAsia="Times New Roman" w:hAnsi="Times New Roman" w:cs="Times New Roman"/>
          <w:sz w:val="20"/>
          <w:szCs w:val="20"/>
          <w:u w:val="single"/>
          <w:lang w:val="en-US" w:eastAsia="en-US" w:bidi="ar-SA"/>
        </w:rPr>
        <w:t>Limitation of Liability</w:t>
      </w:r>
      <w:r w:rsidRPr="00AE3C59">
        <w:rPr>
          <w:rFonts w:ascii="Times New Roman" w:eastAsia="Times New Roman" w:hAnsi="Times New Roman" w:cs="Times New Roman"/>
          <w:sz w:val="20"/>
          <w:szCs w:val="20"/>
          <w:lang w:val="en-US" w:eastAsia="en-US" w:bidi="ar-SA"/>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0287D1E3"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8B93EF"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j)     </w:t>
      </w:r>
      <w:r w:rsidRPr="00AE3C59">
        <w:rPr>
          <w:rFonts w:ascii="Times New Roman" w:eastAsia="Times New Roman" w:hAnsi="Times New Roman" w:cs="Times New Roman"/>
          <w:sz w:val="20"/>
          <w:szCs w:val="20"/>
          <w:u w:val="single"/>
          <w:lang w:val="en-US" w:eastAsia="en-US" w:bidi="ar-SA"/>
        </w:rPr>
        <w:t>Remedies</w:t>
      </w:r>
      <w:r w:rsidRPr="00AE3C59">
        <w:rPr>
          <w:rFonts w:ascii="Times New Roman" w:eastAsia="Times New Roman" w:hAnsi="Times New Roman" w:cs="Times New Roman"/>
          <w:sz w:val="20"/>
          <w:szCs w:val="20"/>
          <w:lang w:val="en-US" w:eastAsia="en-US" w:bidi="ar-SA"/>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18B7009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F9E2CEB"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k)     </w:t>
      </w:r>
      <w:r w:rsidRPr="00AE3C59">
        <w:rPr>
          <w:rFonts w:ascii="Times New Roman" w:eastAsia="Times New Roman" w:hAnsi="Times New Roman" w:cs="Times New Roman"/>
          <w:sz w:val="20"/>
          <w:szCs w:val="20"/>
          <w:u w:val="single"/>
          <w:lang w:val="en-US" w:eastAsia="en-US" w:bidi="ar-SA"/>
        </w:rPr>
        <w:t>Successors and Assigns</w:t>
      </w:r>
      <w:r w:rsidRPr="00AE3C59">
        <w:rPr>
          <w:rFonts w:ascii="Times New Roman" w:eastAsia="Times New Roman" w:hAnsi="Times New Roman" w:cs="Times New Roman"/>
          <w:sz w:val="20"/>
          <w:szCs w:val="20"/>
          <w:lang w:val="en-US" w:eastAsia="en-US" w:bidi="ar-SA"/>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322E169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D24F22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l)     </w:t>
      </w:r>
      <w:r w:rsidRPr="00AE3C59">
        <w:rPr>
          <w:rFonts w:ascii="Times New Roman" w:eastAsia="Times New Roman" w:hAnsi="Times New Roman" w:cs="Times New Roman"/>
          <w:sz w:val="20"/>
          <w:szCs w:val="20"/>
          <w:u w:val="single"/>
          <w:lang w:val="en-US" w:eastAsia="en-US" w:bidi="ar-SA"/>
        </w:rPr>
        <w:t>Amendment</w:t>
      </w:r>
      <w:r w:rsidRPr="00AE3C59">
        <w:rPr>
          <w:rFonts w:ascii="Times New Roman" w:eastAsia="Times New Roman" w:hAnsi="Times New Roman" w:cs="Times New Roman"/>
          <w:sz w:val="20"/>
          <w:szCs w:val="20"/>
          <w:lang w:val="en-US" w:eastAsia="en-US" w:bidi="ar-SA"/>
        </w:rPr>
        <w:t>. This Warrant may be modified or amended or the provisions hereof waived with the written consent of the Company, on the one hand, and either: (</w:t>
      </w:r>
      <w:proofErr w:type="spellStart"/>
      <w:r w:rsidRPr="00AE3C59">
        <w:rPr>
          <w:rFonts w:ascii="Times New Roman" w:eastAsia="Times New Roman" w:hAnsi="Times New Roman" w:cs="Times New Roman"/>
          <w:sz w:val="20"/>
          <w:szCs w:val="20"/>
          <w:lang w:val="en-US" w:eastAsia="en-US" w:bidi="ar-SA"/>
        </w:rPr>
        <w:t>i</w:t>
      </w:r>
      <w:proofErr w:type="spellEnd"/>
      <w:r w:rsidRPr="00AE3C59">
        <w:rPr>
          <w:rFonts w:ascii="Times New Roman" w:eastAsia="Times New Roman" w:hAnsi="Times New Roman" w:cs="Times New Roman"/>
          <w:sz w:val="20"/>
          <w:szCs w:val="20"/>
          <w:lang w:val="en-US" w:eastAsia="en-US" w:bidi="ar-SA"/>
        </w:rPr>
        <w:t xml:space="preserve">) the Holder or the beneficial owner of this Warrant, on the other hand, or (ii) the vote or written consent of the Holders of at least 50.1% of the then outstanding Warrants issued </w:t>
      </w:r>
      <w:r w:rsidRPr="00AE3C59">
        <w:rPr>
          <w:rFonts w:ascii="Times New Roman" w:eastAsia="Times New Roman" w:hAnsi="Times New Roman" w:cs="Times New Roman"/>
          <w:sz w:val="20"/>
          <w:szCs w:val="20"/>
          <w:lang w:eastAsia="en-US" w:bidi="ar-SA"/>
        </w:rPr>
        <w:t>by the Company</w:t>
      </w:r>
      <w:r w:rsidRPr="00AE3C59">
        <w:rPr>
          <w:rFonts w:ascii="Times New Roman" w:eastAsia="Times New Roman" w:hAnsi="Times New Roman" w:cs="Times New Roman"/>
          <w:sz w:val="20"/>
          <w:szCs w:val="20"/>
          <w:lang w:val="en-US" w:eastAsia="en-US" w:bidi="ar-SA"/>
        </w:rPr>
        <w:t>, on the other hand, provided that adjustments may be made to the Warrant terms and rights of this Warrant in accordance with Section 3 of this Warrant without the consent of any Holder or beneficial owner of the Warrants.</w:t>
      </w:r>
    </w:p>
    <w:p w14:paraId="7D697E9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32AD700"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m)     </w:t>
      </w:r>
      <w:r w:rsidRPr="00AE3C59">
        <w:rPr>
          <w:rFonts w:ascii="Times New Roman" w:eastAsia="Times New Roman" w:hAnsi="Times New Roman" w:cs="Times New Roman"/>
          <w:sz w:val="20"/>
          <w:szCs w:val="20"/>
          <w:u w:val="single"/>
          <w:lang w:val="en-US" w:eastAsia="en-US" w:bidi="ar-SA"/>
        </w:rPr>
        <w:t>Severability</w:t>
      </w:r>
      <w:r w:rsidRPr="00AE3C59">
        <w:rPr>
          <w:rFonts w:ascii="Times New Roman" w:eastAsia="Times New Roman" w:hAnsi="Times New Roman" w:cs="Times New Roman"/>
          <w:sz w:val="20"/>
          <w:szCs w:val="20"/>
          <w:lang w:val="en-US" w:eastAsia="en-US" w:bidi="ar-SA"/>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2D86FAF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E57632D" w14:textId="77777777" w:rsidR="00AE3C59" w:rsidRPr="00AE3C59" w:rsidRDefault="00AE3C59" w:rsidP="00AE3C59">
      <w:pPr>
        <w:spacing w:after="0" w:line="240" w:lineRule="auto"/>
        <w:ind w:left="720"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lastRenderedPageBreak/>
        <w:t>n)     </w:t>
      </w:r>
      <w:r w:rsidRPr="00AE3C59">
        <w:rPr>
          <w:rFonts w:ascii="Times New Roman" w:eastAsia="Times New Roman" w:hAnsi="Times New Roman" w:cs="Times New Roman"/>
          <w:sz w:val="20"/>
          <w:szCs w:val="20"/>
          <w:u w:val="single"/>
          <w:lang w:val="en-US" w:eastAsia="en-US" w:bidi="ar-SA"/>
        </w:rPr>
        <w:t>Headings</w:t>
      </w:r>
      <w:r w:rsidRPr="00AE3C59">
        <w:rPr>
          <w:rFonts w:ascii="Times New Roman" w:eastAsia="Times New Roman" w:hAnsi="Times New Roman" w:cs="Times New Roman"/>
          <w:sz w:val="20"/>
          <w:szCs w:val="20"/>
          <w:lang w:val="en-US" w:eastAsia="en-US" w:bidi="ar-SA"/>
        </w:rPr>
        <w:t>. The headings used in this Warrant are for the convenience of reference only and shall not, for any purpose, be deemed a part of this Warrant.</w:t>
      </w:r>
    </w:p>
    <w:p w14:paraId="69846FB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8BEAC6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5E9AF7B"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w:t>
      </w:r>
    </w:p>
    <w:p w14:paraId="50FDF260"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9482DE8" w14:textId="77777777" w:rsidR="00AE3C59" w:rsidRPr="00AE3C59" w:rsidRDefault="00AE3C59" w:rsidP="00AE3C59">
      <w:pPr>
        <w:spacing w:after="0" w:line="240" w:lineRule="auto"/>
        <w:jc w:val="center"/>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(Signature Page Follows)</w:t>
      </w:r>
      <w:r w:rsidRPr="00AE3C59">
        <w:rPr>
          <w:rFonts w:ascii="Times New Roman" w:eastAsia="Times New Roman" w:hAnsi="Times New Roman" w:cs="Times New Roman"/>
          <w:sz w:val="20"/>
          <w:szCs w:val="20"/>
          <w:lang w:val="en-US" w:eastAsia="en-US" w:bidi="ar-SA"/>
        </w:rPr>
        <w:t> </w:t>
      </w:r>
    </w:p>
    <w:p w14:paraId="2115FFB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400C30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br w:type="page"/>
      </w:r>
      <w:r w:rsidRPr="00AE3C59">
        <w:rPr>
          <w:rFonts w:ascii="Times New Roman" w:eastAsia="Times New Roman" w:hAnsi="Times New Roman" w:cs="Times New Roman"/>
          <w:sz w:val="20"/>
          <w:szCs w:val="20"/>
          <w:lang w:val="en-US" w:eastAsia="en-US" w:bidi="ar-SA"/>
        </w:rPr>
        <w:lastRenderedPageBreak/>
        <w:t>IN WITNESS WHEREOF, the Company has caused this Warrant to be executed by its officer thereunto duly authorized as of the date first above indicated.</w:t>
      </w:r>
    </w:p>
    <w:p w14:paraId="0C4808A5"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677"/>
        <w:gridCol w:w="290"/>
        <w:gridCol w:w="3273"/>
        <w:gridCol w:w="1120"/>
      </w:tblGrid>
      <w:tr w:rsidR="00AE3C59" w:rsidRPr="00AE3C59" w14:paraId="212EAC0A" w14:textId="77777777" w:rsidTr="00EB26FE">
        <w:tc>
          <w:tcPr>
            <w:tcW w:w="2500" w:type="pct"/>
            <w:tcBorders>
              <w:left w:val="nil"/>
              <w:right w:val="nil"/>
            </w:tcBorders>
            <w:tcMar>
              <w:top w:w="0" w:type="dxa"/>
              <w:left w:w="0" w:type="dxa"/>
              <w:bottom w:w="0" w:type="dxa"/>
              <w:right w:w="0" w:type="dxa"/>
            </w:tcMar>
          </w:tcPr>
          <w:p w14:paraId="42804E8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900" w:type="pct"/>
            <w:gridSpan w:val="2"/>
            <w:tcBorders>
              <w:top w:val="nil"/>
              <w:left w:val="nil"/>
              <w:bottom w:val="nil"/>
              <w:right w:val="nil"/>
            </w:tcBorders>
            <w:tcMar>
              <w:top w:w="0" w:type="dxa"/>
              <w:left w:w="0" w:type="dxa"/>
              <w:bottom w:w="0" w:type="dxa"/>
              <w:right w:w="0" w:type="dxa"/>
            </w:tcMar>
          </w:tcPr>
          <w:p w14:paraId="4F514771" w14:textId="77777777" w:rsidR="00AE3C59" w:rsidRPr="00AE3C59" w:rsidRDefault="00AE3C59" w:rsidP="00AE3C59">
            <w:pPr>
              <w:spacing w:after="0" w:line="240" w:lineRule="auto"/>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t>GEOVAX LABS, INC.</w:t>
            </w:r>
          </w:p>
        </w:tc>
        <w:tc>
          <w:tcPr>
            <w:tcW w:w="600" w:type="pct"/>
            <w:tcBorders>
              <w:left w:val="nil"/>
              <w:right w:val="nil"/>
            </w:tcBorders>
            <w:tcMar>
              <w:top w:w="0" w:type="dxa"/>
              <w:left w:w="0" w:type="dxa"/>
              <w:bottom w:w="0" w:type="dxa"/>
              <w:right w:w="0" w:type="dxa"/>
            </w:tcMar>
          </w:tcPr>
          <w:p w14:paraId="7C2E8EF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6EA32F51" w14:textId="77777777" w:rsidTr="00EB26FE">
        <w:tc>
          <w:tcPr>
            <w:tcW w:w="2500" w:type="pct"/>
            <w:tcBorders>
              <w:left w:val="nil"/>
              <w:right w:val="nil"/>
            </w:tcBorders>
            <w:tcMar>
              <w:top w:w="0" w:type="dxa"/>
              <w:left w:w="0" w:type="dxa"/>
              <w:bottom w:w="0" w:type="dxa"/>
              <w:right w:w="0" w:type="dxa"/>
            </w:tcMar>
          </w:tcPr>
          <w:p w14:paraId="168AB21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0" w:type="pct"/>
            <w:tcBorders>
              <w:left w:val="nil"/>
              <w:right w:val="nil"/>
            </w:tcBorders>
            <w:tcMar>
              <w:top w:w="0" w:type="dxa"/>
              <w:left w:w="0" w:type="dxa"/>
              <w:bottom w:w="0" w:type="dxa"/>
              <w:right w:w="0" w:type="dxa"/>
            </w:tcMar>
          </w:tcPr>
          <w:p w14:paraId="61DF91A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50" w:type="pct"/>
            <w:tcBorders>
              <w:left w:val="nil"/>
              <w:right w:val="nil"/>
            </w:tcBorders>
            <w:tcMar>
              <w:top w:w="0" w:type="dxa"/>
              <w:left w:w="0" w:type="dxa"/>
              <w:bottom w:w="0" w:type="dxa"/>
              <w:right w:w="0" w:type="dxa"/>
            </w:tcMar>
          </w:tcPr>
          <w:p w14:paraId="58E4417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tcMar>
              <w:top w:w="0" w:type="dxa"/>
              <w:left w:w="0" w:type="dxa"/>
              <w:bottom w:w="0" w:type="dxa"/>
              <w:right w:w="0" w:type="dxa"/>
            </w:tcMar>
          </w:tcPr>
          <w:p w14:paraId="47B10F4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3FF308C5" w14:textId="77777777" w:rsidTr="00EB26FE">
        <w:tc>
          <w:tcPr>
            <w:tcW w:w="2500" w:type="pct"/>
            <w:tcBorders>
              <w:left w:val="nil"/>
              <w:right w:val="nil"/>
            </w:tcBorders>
            <w:tcMar>
              <w:top w:w="0" w:type="dxa"/>
              <w:left w:w="0" w:type="dxa"/>
              <w:bottom w:w="0" w:type="dxa"/>
              <w:right w:w="0" w:type="dxa"/>
            </w:tcMar>
          </w:tcPr>
          <w:p w14:paraId="055B163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0" w:type="pct"/>
            <w:tcBorders>
              <w:left w:val="nil"/>
              <w:right w:val="nil"/>
            </w:tcBorders>
            <w:tcMar>
              <w:top w:w="0" w:type="dxa"/>
              <w:left w:w="0" w:type="dxa"/>
              <w:bottom w:w="0" w:type="dxa"/>
              <w:right w:w="0" w:type="dxa"/>
            </w:tcMar>
          </w:tcPr>
          <w:p w14:paraId="126EE85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50" w:type="pct"/>
            <w:tcBorders>
              <w:left w:val="nil"/>
              <w:right w:val="nil"/>
            </w:tcBorders>
            <w:noWrap/>
            <w:tcMar>
              <w:top w:w="0" w:type="dxa"/>
              <w:left w:w="0" w:type="dxa"/>
              <w:bottom w:w="0" w:type="dxa"/>
              <w:right w:w="0" w:type="dxa"/>
            </w:tcMar>
            <w:vAlign w:val="bottom"/>
          </w:tcPr>
          <w:p w14:paraId="43D2F35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tcMar>
              <w:top w:w="0" w:type="dxa"/>
              <w:left w:w="0" w:type="dxa"/>
              <w:bottom w:w="0" w:type="dxa"/>
              <w:right w:w="0" w:type="dxa"/>
            </w:tcMar>
          </w:tcPr>
          <w:p w14:paraId="0ECF40B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28B78B09" w14:textId="77777777" w:rsidTr="00EB26FE">
        <w:tc>
          <w:tcPr>
            <w:tcW w:w="2500" w:type="pct"/>
            <w:tcBorders>
              <w:left w:val="nil"/>
              <w:right w:val="nil"/>
            </w:tcBorders>
            <w:tcMar>
              <w:top w:w="0" w:type="dxa"/>
              <w:left w:w="0" w:type="dxa"/>
              <w:bottom w:w="0" w:type="dxa"/>
              <w:right w:w="0" w:type="dxa"/>
            </w:tcMar>
          </w:tcPr>
          <w:p w14:paraId="69A4484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0" w:type="pct"/>
            <w:tcBorders>
              <w:left w:val="nil"/>
              <w:right w:val="nil"/>
            </w:tcBorders>
            <w:tcMar>
              <w:top w:w="0" w:type="dxa"/>
              <w:left w:w="0" w:type="dxa"/>
              <w:bottom w:w="0" w:type="dxa"/>
              <w:right w:w="0" w:type="dxa"/>
            </w:tcMar>
          </w:tcPr>
          <w:p w14:paraId="5E76B0E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xml:space="preserve">By: </w:t>
            </w:r>
          </w:p>
        </w:tc>
        <w:tc>
          <w:tcPr>
            <w:tcW w:w="1750" w:type="pct"/>
            <w:tcBorders>
              <w:left w:val="nil"/>
              <w:bottom w:val="single" w:sz="6" w:space="0" w:color="000000"/>
              <w:right w:val="nil"/>
            </w:tcBorders>
            <w:noWrap/>
            <w:tcMar>
              <w:top w:w="0" w:type="dxa"/>
              <w:left w:w="0" w:type="dxa"/>
              <w:bottom w:w="0" w:type="dxa"/>
              <w:right w:w="0" w:type="dxa"/>
            </w:tcMar>
          </w:tcPr>
          <w:p w14:paraId="0A6D5C3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600" w:type="pct"/>
            <w:tcBorders>
              <w:left w:val="nil"/>
              <w:right w:val="nil"/>
            </w:tcBorders>
            <w:tcMar>
              <w:top w:w="0" w:type="dxa"/>
              <w:left w:w="0" w:type="dxa"/>
              <w:bottom w:w="0" w:type="dxa"/>
              <w:right w:w="0" w:type="dxa"/>
            </w:tcMar>
          </w:tcPr>
          <w:p w14:paraId="2077A31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43808829" w14:textId="77777777" w:rsidTr="00EB26FE">
        <w:tc>
          <w:tcPr>
            <w:tcW w:w="2500" w:type="pct"/>
            <w:tcBorders>
              <w:left w:val="nil"/>
              <w:right w:val="nil"/>
            </w:tcBorders>
            <w:tcMar>
              <w:top w:w="0" w:type="dxa"/>
              <w:left w:w="0" w:type="dxa"/>
              <w:bottom w:w="0" w:type="dxa"/>
              <w:right w:w="0" w:type="dxa"/>
            </w:tcMar>
          </w:tcPr>
          <w:p w14:paraId="245D932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0" w:type="pct"/>
            <w:tcBorders>
              <w:left w:val="nil"/>
              <w:right w:val="nil"/>
            </w:tcBorders>
            <w:tcMar>
              <w:top w:w="0" w:type="dxa"/>
              <w:left w:w="0" w:type="dxa"/>
              <w:bottom w:w="0" w:type="dxa"/>
              <w:right w:w="0" w:type="dxa"/>
            </w:tcMar>
          </w:tcPr>
          <w:p w14:paraId="34E38342"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50" w:type="pct"/>
            <w:tcBorders>
              <w:left w:val="nil"/>
              <w:right w:val="nil"/>
            </w:tcBorders>
            <w:tcMar>
              <w:top w:w="0" w:type="dxa"/>
              <w:left w:w="0" w:type="dxa"/>
              <w:bottom w:w="0" w:type="dxa"/>
              <w:right w:w="0" w:type="dxa"/>
            </w:tcMar>
          </w:tcPr>
          <w:p w14:paraId="172F3C0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w:t>
            </w:r>
          </w:p>
        </w:tc>
        <w:tc>
          <w:tcPr>
            <w:tcW w:w="600" w:type="pct"/>
            <w:tcBorders>
              <w:left w:val="nil"/>
              <w:right w:val="nil"/>
            </w:tcBorders>
            <w:tcMar>
              <w:top w:w="0" w:type="dxa"/>
              <w:left w:w="0" w:type="dxa"/>
              <w:bottom w:w="0" w:type="dxa"/>
              <w:right w:w="0" w:type="dxa"/>
            </w:tcMar>
          </w:tcPr>
          <w:p w14:paraId="0A1E326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303A0C01" w14:textId="77777777" w:rsidTr="00EB26FE">
        <w:tc>
          <w:tcPr>
            <w:tcW w:w="2500" w:type="pct"/>
            <w:tcBorders>
              <w:left w:val="nil"/>
              <w:right w:val="nil"/>
            </w:tcBorders>
            <w:tcMar>
              <w:top w:w="0" w:type="dxa"/>
              <w:left w:w="0" w:type="dxa"/>
              <w:bottom w:w="0" w:type="dxa"/>
              <w:right w:w="0" w:type="dxa"/>
            </w:tcMar>
          </w:tcPr>
          <w:p w14:paraId="34F4789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50" w:type="pct"/>
            <w:tcBorders>
              <w:left w:val="nil"/>
              <w:right w:val="nil"/>
            </w:tcBorders>
            <w:tcMar>
              <w:top w:w="0" w:type="dxa"/>
              <w:left w:w="0" w:type="dxa"/>
              <w:bottom w:w="0" w:type="dxa"/>
              <w:right w:w="0" w:type="dxa"/>
            </w:tcMar>
          </w:tcPr>
          <w:p w14:paraId="21C22D3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1750" w:type="pct"/>
            <w:tcBorders>
              <w:left w:val="nil"/>
              <w:right w:val="nil"/>
            </w:tcBorders>
            <w:tcMar>
              <w:top w:w="0" w:type="dxa"/>
              <w:left w:w="0" w:type="dxa"/>
              <w:bottom w:w="0" w:type="dxa"/>
              <w:right w:w="0" w:type="dxa"/>
            </w:tcMar>
          </w:tcPr>
          <w:p w14:paraId="314C747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w:t>
            </w:r>
          </w:p>
        </w:tc>
        <w:tc>
          <w:tcPr>
            <w:tcW w:w="600" w:type="pct"/>
            <w:tcBorders>
              <w:left w:val="nil"/>
              <w:right w:val="nil"/>
            </w:tcBorders>
            <w:tcMar>
              <w:top w:w="0" w:type="dxa"/>
              <w:left w:w="0" w:type="dxa"/>
              <w:bottom w:w="0" w:type="dxa"/>
              <w:right w:w="0" w:type="dxa"/>
            </w:tcMar>
          </w:tcPr>
          <w:p w14:paraId="5D1CAD8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3DEB54C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0820755F"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br w:type="page"/>
      </w:r>
      <w:r w:rsidRPr="00AE3C59">
        <w:rPr>
          <w:rFonts w:ascii="Times New Roman" w:eastAsia="Times New Roman" w:hAnsi="Times New Roman" w:cs="Times New Roman"/>
          <w:b/>
          <w:bCs/>
          <w:sz w:val="20"/>
          <w:szCs w:val="20"/>
          <w:lang w:val="en-US" w:eastAsia="en-US" w:bidi="ar-SA"/>
        </w:rPr>
        <w:lastRenderedPageBreak/>
        <w:t>NOTICE OF EXERCISE</w:t>
      </w:r>
    </w:p>
    <w:p w14:paraId="60436286" w14:textId="77777777" w:rsidR="00AE3C59" w:rsidRPr="00AE3C59" w:rsidRDefault="00AE3C59" w:rsidP="00AE3C59">
      <w:pPr>
        <w:spacing w:after="0" w:line="240" w:lineRule="auto"/>
        <w:jc w:val="center"/>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1427A48B" w14:textId="77777777" w:rsidR="00AE3C59" w:rsidRPr="00AE3C59" w:rsidRDefault="00AE3C59" w:rsidP="00AE3C59">
      <w:pPr>
        <w:spacing w:after="0" w:line="240" w:lineRule="auto"/>
        <w:jc w:val="both"/>
        <w:rPr>
          <w:rFonts w:ascii="Times New Roman" w:eastAsia="Times New Roman" w:hAnsi="Times New Roman" w:cs="Times New Roman"/>
          <w:caps/>
          <w:sz w:val="20"/>
          <w:szCs w:val="20"/>
          <w:lang w:val="en-US" w:eastAsia="en-US" w:bidi="ar-SA"/>
        </w:rPr>
      </w:pPr>
      <w:r w:rsidRPr="00AE3C59">
        <w:rPr>
          <w:rFonts w:ascii="Times New Roman" w:eastAsia="Times New Roman" w:hAnsi="Times New Roman" w:cs="Times New Roman"/>
          <w:caps/>
          <w:sz w:val="20"/>
          <w:szCs w:val="20"/>
          <w:lang w:val="en-US" w:eastAsia="en-US" w:bidi="ar-SA"/>
        </w:rPr>
        <w:t>To: GEOVAX LABS, INC.</w:t>
      </w:r>
    </w:p>
    <w:p w14:paraId="4FE0379F"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7C2A168"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(1) 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30B6FA09"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6A2EA48"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(2) Payment shall take the form of (check applicable box):</w:t>
      </w:r>
    </w:p>
    <w:p w14:paraId="6302C324"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C0526FF" w14:textId="77777777" w:rsidR="00AE3C59" w:rsidRPr="00AE3C59" w:rsidRDefault="00AE3C59" w:rsidP="00AE3C59">
      <w:pPr>
        <w:spacing w:after="0" w:line="240" w:lineRule="auto"/>
        <w:ind w:left="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 in lawful money of the United States; or</w:t>
      </w:r>
    </w:p>
    <w:p w14:paraId="6CB60C8E" w14:textId="77777777" w:rsidR="00AE3C59" w:rsidRPr="00AE3C59" w:rsidRDefault="00AE3C59" w:rsidP="00AE3C59">
      <w:pPr>
        <w:spacing w:after="0" w:line="240" w:lineRule="auto"/>
        <w:ind w:left="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1F0C909C" w14:textId="77777777" w:rsidR="00AE3C59" w:rsidRPr="00AE3C59" w:rsidRDefault="00AE3C59" w:rsidP="00AE3C59">
      <w:pPr>
        <w:spacing w:after="0" w:line="240" w:lineRule="auto"/>
        <w:ind w:left="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40146F3D"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(3) Please issue said Warrant Shares in the name of the undersigned or in such other name as is specified below:</w:t>
      </w:r>
    </w:p>
    <w:p w14:paraId="6AFC4456" w14:textId="77777777" w:rsidR="00AE3C59" w:rsidRPr="00AE3C59" w:rsidRDefault="00AE3C59" w:rsidP="00AE3C59">
      <w:pPr>
        <w:spacing w:after="0" w:line="240" w:lineRule="auto"/>
        <w:ind w:firstLine="144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6AD67487"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w:t>
      </w:r>
    </w:p>
    <w:p w14:paraId="40413E6D"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204BE48"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The Warrant Shares shall be delivered to the following DWAC Account Number:</w:t>
      </w:r>
    </w:p>
    <w:p w14:paraId="2B048C1A"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w:t>
      </w:r>
    </w:p>
    <w:p w14:paraId="687F80E8"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w:t>
      </w:r>
    </w:p>
    <w:p w14:paraId="7E813EB6"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w:t>
      </w:r>
    </w:p>
    <w:p w14:paraId="3F4FC4AD" w14:textId="77777777" w:rsidR="00AE3C59" w:rsidRPr="00AE3C59" w:rsidRDefault="00AE3C59" w:rsidP="00AE3C59">
      <w:pPr>
        <w:spacing w:after="0" w:line="240" w:lineRule="auto"/>
        <w:ind w:firstLine="216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23904B9" w14:textId="77777777" w:rsidR="00AE3C59" w:rsidRPr="00AE3C59" w:rsidRDefault="00AE3C59" w:rsidP="00AE3C59">
      <w:pPr>
        <w:spacing w:after="0" w:line="240" w:lineRule="auto"/>
        <w:jc w:val="both"/>
        <w:rPr>
          <w:rFonts w:ascii="Times New Roman" w:eastAsia="Times New Roman" w:hAnsi="Times New Roman" w:cs="Times New Roman"/>
          <w:caps/>
          <w:sz w:val="20"/>
          <w:szCs w:val="20"/>
          <w:lang w:val="en-US" w:eastAsia="en-US" w:bidi="ar-SA"/>
        </w:rPr>
      </w:pPr>
      <w:r w:rsidRPr="00AE3C59">
        <w:rPr>
          <w:rFonts w:ascii="Times New Roman" w:eastAsia="Times New Roman" w:hAnsi="Times New Roman" w:cs="Times New Roman"/>
          <w:caps/>
          <w:sz w:val="20"/>
          <w:szCs w:val="20"/>
          <w:lang w:val="en-US" w:eastAsia="en-US" w:bidi="ar-SA"/>
        </w:rPr>
        <w:t>[SIGNATURE OF HOLDER]</w:t>
      </w:r>
    </w:p>
    <w:p w14:paraId="1077324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2083"/>
        <w:gridCol w:w="7277"/>
      </w:tblGrid>
      <w:tr w:rsidR="00AE3C59" w:rsidRPr="00AE3C59" w14:paraId="73E683D4" w14:textId="77777777" w:rsidTr="00EB26FE">
        <w:tc>
          <w:tcPr>
            <w:tcW w:w="500" w:type="pct"/>
            <w:tcBorders>
              <w:left w:val="nil"/>
              <w:right w:val="nil"/>
            </w:tcBorders>
            <w:noWrap/>
            <w:tcMar>
              <w:top w:w="0" w:type="dxa"/>
              <w:left w:w="0" w:type="dxa"/>
              <w:bottom w:w="0" w:type="dxa"/>
              <w:right w:w="0" w:type="dxa"/>
            </w:tcMar>
            <w:vAlign w:val="center"/>
          </w:tcPr>
          <w:p w14:paraId="47D0BE69"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of Investing Entity:</w:t>
            </w:r>
          </w:p>
        </w:tc>
        <w:tc>
          <w:tcPr>
            <w:tcW w:w="4500" w:type="pct"/>
            <w:tcBorders>
              <w:left w:val="nil"/>
              <w:bottom w:val="single" w:sz="12" w:space="0" w:color="000000"/>
              <w:right w:val="nil"/>
            </w:tcBorders>
            <w:tcMar>
              <w:top w:w="0" w:type="dxa"/>
              <w:left w:w="0" w:type="dxa"/>
              <w:bottom w:w="0" w:type="dxa"/>
              <w:right w:w="0" w:type="dxa"/>
            </w:tcMar>
            <w:vAlign w:val="center"/>
          </w:tcPr>
          <w:p w14:paraId="2E259C3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6D5C4F67" w14:textId="77777777" w:rsidR="00AE3C59" w:rsidRPr="00AE3C59" w:rsidRDefault="00AE3C59" w:rsidP="00AE3C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311"/>
        <w:gridCol w:w="5049"/>
      </w:tblGrid>
      <w:tr w:rsidR="00AE3C59" w:rsidRPr="00AE3C59" w14:paraId="0F3815E5" w14:textId="77777777" w:rsidTr="00EB26FE">
        <w:tc>
          <w:tcPr>
            <w:tcW w:w="750" w:type="pct"/>
            <w:tcBorders>
              <w:left w:val="nil"/>
              <w:right w:val="nil"/>
            </w:tcBorders>
            <w:noWrap/>
            <w:tcMar>
              <w:top w:w="0" w:type="dxa"/>
              <w:left w:w="0" w:type="dxa"/>
              <w:bottom w:w="0" w:type="dxa"/>
              <w:right w:w="0" w:type="dxa"/>
            </w:tcMar>
            <w:vAlign w:val="center"/>
          </w:tcPr>
          <w:p w14:paraId="095F1822" w14:textId="77777777" w:rsidR="00AE3C59" w:rsidRPr="00AE3C59" w:rsidRDefault="00AE3C59" w:rsidP="00AE3C59">
            <w:pPr>
              <w:spacing w:after="0" w:line="240" w:lineRule="auto"/>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Signature of Authorized Signatory of Investing Entity</w:t>
            </w:r>
            <w:r w:rsidRPr="00AE3C59">
              <w:rPr>
                <w:rFonts w:ascii="Times New Roman" w:eastAsia="Times New Roman" w:hAnsi="Times New Roman" w:cs="Times New Roman"/>
                <w:sz w:val="20"/>
                <w:szCs w:val="20"/>
                <w:lang w:val="en-US" w:eastAsia="en-US" w:bidi="ar-SA"/>
              </w:rPr>
              <w:t>:</w:t>
            </w:r>
          </w:p>
        </w:tc>
        <w:tc>
          <w:tcPr>
            <w:tcW w:w="4250" w:type="pct"/>
            <w:tcBorders>
              <w:left w:val="nil"/>
              <w:bottom w:val="single" w:sz="12" w:space="0" w:color="000000"/>
              <w:right w:val="nil"/>
            </w:tcBorders>
            <w:tcMar>
              <w:top w:w="0" w:type="dxa"/>
              <w:left w:w="0" w:type="dxa"/>
              <w:bottom w:w="0" w:type="dxa"/>
              <w:right w:w="0" w:type="dxa"/>
            </w:tcMar>
            <w:vAlign w:val="center"/>
          </w:tcPr>
          <w:p w14:paraId="202D919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75ACAE35" w14:textId="77777777" w:rsidR="00AE3C59" w:rsidRPr="00AE3C59" w:rsidRDefault="00AE3C59" w:rsidP="00AE3C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2528"/>
        <w:gridCol w:w="6832"/>
      </w:tblGrid>
      <w:tr w:rsidR="00AE3C59" w:rsidRPr="00AE3C59" w14:paraId="0BE6C722" w14:textId="77777777" w:rsidTr="00EB26FE">
        <w:tc>
          <w:tcPr>
            <w:tcW w:w="500" w:type="pct"/>
            <w:tcBorders>
              <w:left w:val="nil"/>
              <w:right w:val="nil"/>
            </w:tcBorders>
            <w:noWrap/>
            <w:tcMar>
              <w:top w:w="0" w:type="dxa"/>
              <w:left w:w="0" w:type="dxa"/>
              <w:bottom w:w="0" w:type="dxa"/>
              <w:right w:w="0" w:type="dxa"/>
            </w:tcMar>
            <w:vAlign w:val="center"/>
          </w:tcPr>
          <w:p w14:paraId="7CA4140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 of Authorized Signatory:</w:t>
            </w:r>
          </w:p>
        </w:tc>
        <w:tc>
          <w:tcPr>
            <w:tcW w:w="4500" w:type="pct"/>
            <w:tcBorders>
              <w:left w:val="nil"/>
              <w:bottom w:val="single" w:sz="12" w:space="0" w:color="000000"/>
              <w:right w:val="nil"/>
            </w:tcBorders>
            <w:tcMar>
              <w:top w:w="0" w:type="dxa"/>
              <w:left w:w="0" w:type="dxa"/>
              <w:bottom w:w="0" w:type="dxa"/>
              <w:right w:w="0" w:type="dxa"/>
            </w:tcMar>
            <w:vAlign w:val="center"/>
          </w:tcPr>
          <w:p w14:paraId="3DA206A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8AB07C2" w14:textId="77777777" w:rsidTr="00EB26FE">
        <w:tc>
          <w:tcPr>
            <w:tcW w:w="500" w:type="pct"/>
            <w:tcBorders>
              <w:left w:val="nil"/>
              <w:right w:val="nil"/>
            </w:tcBorders>
            <w:tcMar>
              <w:top w:w="0" w:type="dxa"/>
              <w:left w:w="0" w:type="dxa"/>
              <w:bottom w:w="0" w:type="dxa"/>
              <w:right w:w="0" w:type="dxa"/>
            </w:tcMar>
            <w:vAlign w:val="center"/>
          </w:tcPr>
          <w:p w14:paraId="2F72243E"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Title of Authorized Signatory:</w:t>
            </w:r>
          </w:p>
        </w:tc>
        <w:tc>
          <w:tcPr>
            <w:tcW w:w="4500" w:type="pct"/>
            <w:tcBorders>
              <w:left w:val="nil"/>
              <w:bottom w:val="single" w:sz="12" w:space="0" w:color="000000"/>
              <w:right w:val="nil"/>
            </w:tcBorders>
            <w:tcMar>
              <w:top w:w="0" w:type="dxa"/>
              <w:left w:w="0" w:type="dxa"/>
              <w:bottom w:w="0" w:type="dxa"/>
              <w:right w:w="0" w:type="dxa"/>
            </w:tcMar>
            <w:vAlign w:val="center"/>
          </w:tcPr>
          <w:p w14:paraId="48E51D8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74556208" w14:textId="77777777" w:rsidR="00AE3C59" w:rsidRPr="00AE3C59" w:rsidRDefault="00AE3C59" w:rsidP="00AE3C5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34"/>
        <w:gridCol w:w="8926"/>
      </w:tblGrid>
      <w:tr w:rsidR="00AE3C59" w:rsidRPr="00AE3C59" w14:paraId="5C2F9E56" w14:textId="77777777" w:rsidTr="00EB26FE">
        <w:tc>
          <w:tcPr>
            <w:tcW w:w="200" w:type="pct"/>
            <w:tcBorders>
              <w:left w:val="nil"/>
              <w:right w:val="nil"/>
            </w:tcBorders>
            <w:tcMar>
              <w:top w:w="0" w:type="dxa"/>
              <w:left w:w="0" w:type="dxa"/>
              <w:bottom w:w="0" w:type="dxa"/>
              <w:right w:w="0" w:type="dxa"/>
            </w:tcMar>
            <w:vAlign w:val="center"/>
          </w:tcPr>
          <w:p w14:paraId="0A9ED4D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Date:</w:t>
            </w:r>
          </w:p>
        </w:tc>
        <w:tc>
          <w:tcPr>
            <w:tcW w:w="4800" w:type="pct"/>
            <w:tcBorders>
              <w:left w:val="nil"/>
              <w:bottom w:val="single" w:sz="12" w:space="0" w:color="000000"/>
              <w:right w:val="nil"/>
            </w:tcBorders>
            <w:tcMar>
              <w:top w:w="0" w:type="dxa"/>
              <w:left w:w="0" w:type="dxa"/>
              <w:bottom w:w="0" w:type="dxa"/>
              <w:right w:w="0" w:type="dxa"/>
            </w:tcMar>
            <w:vAlign w:val="center"/>
          </w:tcPr>
          <w:p w14:paraId="0A578FAD"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29DA35D1"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34F4DF8" w14:textId="77777777" w:rsidR="00AE3C59" w:rsidRPr="00AE3C59" w:rsidRDefault="00AE3C59" w:rsidP="00AE3C59">
      <w:pPr>
        <w:spacing w:after="0" w:line="240" w:lineRule="auto"/>
        <w:jc w:val="center"/>
        <w:rPr>
          <w:rFonts w:ascii="Times New Roman" w:eastAsia="Times New Roman" w:hAnsi="Times New Roman" w:cs="Times New Roman"/>
          <w:b/>
          <w:bCs/>
          <w:sz w:val="20"/>
          <w:szCs w:val="20"/>
          <w:lang w:val="en-US" w:eastAsia="en-US" w:bidi="ar-SA"/>
        </w:rPr>
      </w:pPr>
      <w:r w:rsidRPr="00AE3C59">
        <w:rPr>
          <w:rFonts w:ascii="Times New Roman" w:eastAsia="Times New Roman" w:hAnsi="Times New Roman" w:cs="Times New Roman"/>
          <w:b/>
          <w:bCs/>
          <w:sz w:val="20"/>
          <w:szCs w:val="20"/>
          <w:lang w:val="en-US" w:eastAsia="en-US" w:bidi="ar-SA"/>
        </w:rPr>
        <w:br w:type="page"/>
      </w:r>
      <w:r w:rsidRPr="00AE3C59">
        <w:rPr>
          <w:rFonts w:ascii="Times New Roman" w:eastAsia="Times New Roman" w:hAnsi="Times New Roman" w:cs="Times New Roman"/>
          <w:b/>
          <w:bCs/>
          <w:sz w:val="20"/>
          <w:szCs w:val="20"/>
          <w:lang w:val="en-US" w:eastAsia="en-US" w:bidi="ar-SA"/>
        </w:rPr>
        <w:lastRenderedPageBreak/>
        <w:t>ASSIGNMENT FORM</w:t>
      </w:r>
    </w:p>
    <w:p w14:paraId="046F0208"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31ADA5B4" w14:textId="77777777" w:rsidR="00AE3C59" w:rsidRPr="00AE3C59" w:rsidRDefault="00AE3C59" w:rsidP="00AE3C59">
      <w:pPr>
        <w:spacing w:after="0" w:line="240" w:lineRule="auto"/>
        <w:ind w:firstLine="720"/>
        <w:jc w:val="both"/>
        <w:rPr>
          <w:rFonts w:ascii="Times New Roman" w:eastAsia="Times New Roman" w:hAnsi="Times New Roman" w:cs="Times New Roman"/>
          <w:i/>
          <w:iCs/>
          <w:sz w:val="20"/>
          <w:szCs w:val="20"/>
          <w:lang w:val="en-US" w:eastAsia="en-US" w:bidi="ar-SA"/>
        </w:rPr>
      </w:pPr>
      <w:r w:rsidRPr="00AE3C59">
        <w:rPr>
          <w:rFonts w:ascii="Times New Roman" w:eastAsia="Times New Roman" w:hAnsi="Times New Roman" w:cs="Times New Roman"/>
          <w:i/>
          <w:iCs/>
          <w:sz w:val="20"/>
          <w:szCs w:val="20"/>
          <w:lang w:val="en-US" w:eastAsia="en-US" w:bidi="ar-SA"/>
        </w:rPr>
        <w:t>(To assign the foregoing Warrant, execute this form and supply required information. Do not use this form to purchase shares.)</w:t>
      </w:r>
    </w:p>
    <w:p w14:paraId="6DBAB817"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2F35320F" w14:textId="77777777" w:rsidR="00AE3C59" w:rsidRPr="00AE3C59" w:rsidRDefault="00AE3C59" w:rsidP="00AE3C59">
      <w:pPr>
        <w:spacing w:after="0" w:line="240" w:lineRule="auto"/>
        <w:ind w:firstLine="720"/>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FOR VALUE RECEIVED, the foregoing Warrant and all rights evidenced thereby are hereby assigned to</w:t>
      </w:r>
    </w:p>
    <w:p w14:paraId="26CE2BEA"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680"/>
        <w:gridCol w:w="4680"/>
      </w:tblGrid>
      <w:tr w:rsidR="00AE3C59" w:rsidRPr="00AE3C59" w14:paraId="25C29CC9" w14:textId="77777777" w:rsidTr="00EB26FE">
        <w:tc>
          <w:tcPr>
            <w:tcW w:w="2500" w:type="pct"/>
            <w:tcBorders>
              <w:left w:val="nil"/>
              <w:right w:val="nil"/>
            </w:tcBorders>
            <w:tcMar>
              <w:top w:w="0" w:type="dxa"/>
              <w:left w:w="0" w:type="dxa"/>
              <w:bottom w:w="0" w:type="dxa"/>
              <w:right w:w="0" w:type="dxa"/>
            </w:tcMar>
          </w:tcPr>
          <w:p w14:paraId="4E7767E7"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Name:</w:t>
            </w:r>
          </w:p>
        </w:tc>
        <w:tc>
          <w:tcPr>
            <w:tcW w:w="2500" w:type="pct"/>
            <w:tcBorders>
              <w:left w:val="nil"/>
              <w:bottom w:val="single" w:sz="6" w:space="0" w:color="000000"/>
              <w:right w:val="nil"/>
            </w:tcBorders>
            <w:tcMar>
              <w:top w:w="0" w:type="dxa"/>
              <w:left w:w="0" w:type="dxa"/>
              <w:bottom w:w="0" w:type="dxa"/>
              <w:right w:w="0" w:type="dxa"/>
            </w:tcMar>
          </w:tcPr>
          <w:p w14:paraId="55D9F616"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78CB8A47" w14:textId="77777777" w:rsidTr="00EB26FE">
        <w:tc>
          <w:tcPr>
            <w:tcW w:w="2500" w:type="pct"/>
            <w:tcBorders>
              <w:left w:val="nil"/>
              <w:right w:val="nil"/>
            </w:tcBorders>
            <w:tcMar>
              <w:top w:w="0" w:type="dxa"/>
              <w:left w:w="0" w:type="dxa"/>
              <w:bottom w:w="0" w:type="dxa"/>
              <w:right w:w="0" w:type="dxa"/>
            </w:tcMar>
          </w:tcPr>
          <w:p w14:paraId="360588FC"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c>
          <w:tcPr>
            <w:tcW w:w="2500" w:type="pct"/>
            <w:tcBorders>
              <w:left w:val="nil"/>
              <w:right w:val="nil"/>
            </w:tcBorders>
            <w:tcMar>
              <w:top w:w="0" w:type="dxa"/>
              <w:left w:w="0" w:type="dxa"/>
              <w:bottom w:w="0" w:type="dxa"/>
              <w:right w:w="0" w:type="dxa"/>
            </w:tcMar>
          </w:tcPr>
          <w:p w14:paraId="0D650DB5"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(Please Print)</w:t>
            </w:r>
          </w:p>
        </w:tc>
      </w:tr>
      <w:tr w:rsidR="00AE3C59" w:rsidRPr="00AE3C59" w14:paraId="3A95EB7B" w14:textId="77777777" w:rsidTr="00EB26FE">
        <w:tc>
          <w:tcPr>
            <w:tcW w:w="2500" w:type="pct"/>
            <w:tcBorders>
              <w:left w:val="nil"/>
              <w:right w:val="nil"/>
            </w:tcBorders>
            <w:tcMar>
              <w:top w:w="0" w:type="dxa"/>
              <w:left w:w="0" w:type="dxa"/>
              <w:bottom w:w="0" w:type="dxa"/>
              <w:right w:w="0" w:type="dxa"/>
            </w:tcMar>
          </w:tcPr>
          <w:p w14:paraId="3384C878"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Address:</w:t>
            </w:r>
          </w:p>
        </w:tc>
        <w:tc>
          <w:tcPr>
            <w:tcW w:w="2500" w:type="pct"/>
            <w:tcBorders>
              <w:left w:val="nil"/>
              <w:bottom w:val="single" w:sz="6" w:space="0" w:color="000000"/>
              <w:right w:val="nil"/>
            </w:tcBorders>
            <w:tcMar>
              <w:top w:w="0" w:type="dxa"/>
              <w:left w:w="0" w:type="dxa"/>
              <w:bottom w:w="0" w:type="dxa"/>
              <w:right w:w="0" w:type="dxa"/>
            </w:tcMar>
          </w:tcPr>
          <w:p w14:paraId="080B750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363B1120" w14:textId="77777777" w:rsidTr="00EB26FE">
        <w:tc>
          <w:tcPr>
            <w:tcW w:w="2500" w:type="pct"/>
            <w:tcBorders>
              <w:left w:val="nil"/>
              <w:right w:val="nil"/>
            </w:tcBorders>
            <w:tcMar>
              <w:top w:w="0" w:type="dxa"/>
              <w:left w:w="0" w:type="dxa"/>
              <w:bottom w:w="0" w:type="dxa"/>
              <w:right w:w="0" w:type="dxa"/>
            </w:tcMar>
          </w:tcPr>
          <w:p w14:paraId="2477A846"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Phone Number:</w:t>
            </w:r>
          </w:p>
          <w:p w14:paraId="1D7F5010"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Email Address:</w:t>
            </w:r>
          </w:p>
        </w:tc>
        <w:tc>
          <w:tcPr>
            <w:tcW w:w="2500" w:type="pct"/>
            <w:tcBorders>
              <w:left w:val="nil"/>
              <w:right w:val="nil"/>
            </w:tcBorders>
            <w:tcMar>
              <w:top w:w="0" w:type="dxa"/>
              <w:left w:w="0" w:type="dxa"/>
              <w:bottom w:w="0" w:type="dxa"/>
              <w:right w:w="0" w:type="dxa"/>
            </w:tcMar>
          </w:tcPr>
          <w:p w14:paraId="382F25FE"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(Please Print)</w:t>
            </w:r>
          </w:p>
          <w:p w14:paraId="03D15340"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______________________________________</w:t>
            </w:r>
          </w:p>
          <w:p w14:paraId="107366CA"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__________________________________</w:t>
            </w:r>
          </w:p>
        </w:tc>
      </w:tr>
      <w:tr w:rsidR="00AE3C59" w:rsidRPr="00AE3C59" w14:paraId="3DDB29AD" w14:textId="77777777" w:rsidTr="00EB26FE">
        <w:tc>
          <w:tcPr>
            <w:tcW w:w="2500" w:type="pct"/>
            <w:tcBorders>
              <w:left w:val="nil"/>
              <w:right w:val="nil"/>
            </w:tcBorders>
            <w:tcMar>
              <w:top w:w="0" w:type="dxa"/>
              <w:left w:w="0" w:type="dxa"/>
              <w:bottom w:w="0" w:type="dxa"/>
              <w:right w:w="0" w:type="dxa"/>
            </w:tcMar>
          </w:tcPr>
          <w:p w14:paraId="130CC5E1"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Dated: </w:t>
            </w:r>
            <w:r w:rsidRPr="00AE3C59">
              <w:rPr>
                <w:rFonts w:ascii="Times New Roman" w:eastAsia="Times New Roman" w:hAnsi="Times New Roman" w:cs="Times New Roman"/>
                <w:sz w:val="20"/>
                <w:szCs w:val="20"/>
                <w:u w:val="single"/>
                <w:lang w:val="en-US" w:eastAsia="en-US" w:bidi="ar-SA"/>
              </w:rPr>
              <w:t xml:space="preserve">                                                </w:t>
            </w:r>
            <w:r w:rsidRPr="00AE3C59">
              <w:rPr>
                <w:rFonts w:ascii="Times New Roman" w:eastAsia="Times New Roman" w:hAnsi="Times New Roman" w:cs="Times New Roman"/>
                <w:sz w:val="20"/>
                <w:szCs w:val="20"/>
                <w:lang w:val="en-US" w:eastAsia="en-US" w:bidi="ar-SA"/>
              </w:rPr>
              <w:t xml:space="preserve"> , </w:t>
            </w:r>
            <w:r w:rsidRPr="00AE3C59">
              <w:rPr>
                <w:rFonts w:ascii="Times New Roman" w:eastAsia="Times New Roman" w:hAnsi="Times New Roman" w:cs="Times New Roman"/>
                <w:sz w:val="20"/>
                <w:szCs w:val="20"/>
                <w:u w:val="single"/>
                <w:lang w:val="en-US" w:eastAsia="en-US" w:bidi="ar-SA"/>
              </w:rPr>
              <w:t xml:space="preserve">                      </w:t>
            </w:r>
          </w:p>
        </w:tc>
        <w:tc>
          <w:tcPr>
            <w:tcW w:w="2500" w:type="pct"/>
            <w:tcBorders>
              <w:left w:val="nil"/>
              <w:right w:val="nil"/>
            </w:tcBorders>
            <w:tcMar>
              <w:top w:w="0" w:type="dxa"/>
              <w:left w:w="0" w:type="dxa"/>
              <w:bottom w:w="0" w:type="dxa"/>
              <w:right w:w="0" w:type="dxa"/>
            </w:tcMar>
          </w:tcPr>
          <w:p w14:paraId="6C1006A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9D6B2C9" w14:textId="77777777" w:rsidTr="00EB26FE">
        <w:tc>
          <w:tcPr>
            <w:tcW w:w="2500" w:type="pct"/>
            <w:tcBorders>
              <w:left w:val="nil"/>
              <w:right w:val="nil"/>
            </w:tcBorders>
            <w:tcMar>
              <w:top w:w="0" w:type="dxa"/>
              <w:left w:w="0" w:type="dxa"/>
              <w:bottom w:w="0" w:type="dxa"/>
              <w:right w:w="0" w:type="dxa"/>
            </w:tcMar>
          </w:tcPr>
          <w:p w14:paraId="1BDAADF0"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Holder’s Signature:</w:t>
            </w:r>
            <w:r w:rsidRPr="00AE3C59">
              <w:rPr>
                <w:rFonts w:ascii="Times New Roman" w:eastAsia="Times New Roman" w:hAnsi="Times New Roman" w:cs="Times New Roman"/>
                <w:sz w:val="20"/>
                <w:szCs w:val="20"/>
                <w:u w:val="single"/>
                <w:lang w:val="en-US" w:eastAsia="en-US" w:bidi="ar-SA"/>
              </w:rPr>
              <w:t>                                                     </w:t>
            </w:r>
          </w:p>
        </w:tc>
        <w:tc>
          <w:tcPr>
            <w:tcW w:w="2500" w:type="pct"/>
            <w:tcBorders>
              <w:left w:val="nil"/>
              <w:right w:val="nil"/>
            </w:tcBorders>
            <w:tcMar>
              <w:top w:w="0" w:type="dxa"/>
              <w:left w:w="0" w:type="dxa"/>
              <w:bottom w:w="0" w:type="dxa"/>
              <w:right w:w="0" w:type="dxa"/>
            </w:tcMar>
          </w:tcPr>
          <w:p w14:paraId="2F4F8CBB"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r w:rsidR="00AE3C59" w:rsidRPr="00AE3C59" w14:paraId="1A7DFE23" w14:textId="77777777" w:rsidTr="00EB26FE">
        <w:tc>
          <w:tcPr>
            <w:tcW w:w="2500" w:type="pct"/>
            <w:tcBorders>
              <w:left w:val="nil"/>
              <w:right w:val="nil"/>
            </w:tcBorders>
            <w:tcMar>
              <w:top w:w="0" w:type="dxa"/>
              <w:left w:w="0" w:type="dxa"/>
              <w:bottom w:w="0" w:type="dxa"/>
              <w:right w:w="0" w:type="dxa"/>
            </w:tcMar>
          </w:tcPr>
          <w:p w14:paraId="5C957C1F" w14:textId="77777777" w:rsidR="00AE3C59" w:rsidRPr="00AE3C59" w:rsidRDefault="00AE3C59" w:rsidP="00AE3C59">
            <w:pPr>
              <w:spacing w:after="0" w:line="240" w:lineRule="auto"/>
              <w:jc w:val="both"/>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Holder’s Address:</w:t>
            </w:r>
            <w:r w:rsidRPr="00AE3C59">
              <w:rPr>
                <w:rFonts w:ascii="Times New Roman" w:eastAsia="Times New Roman" w:hAnsi="Times New Roman" w:cs="Times New Roman"/>
                <w:sz w:val="20"/>
                <w:szCs w:val="20"/>
                <w:u w:val="single"/>
                <w:lang w:val="en-US" w:eastAsia="en-US" w:bidi="ar-SA"/>
              </w:rPr>
              <w:t>                                                       </w:t>
            </w:r>
          </w:p>
        </w:tc>
        <w:tc>
          <w:tcPr>
            <w:tcW w:w="2500" w:type="pct"/>
            <w:tcBorders>
              <w:left w:val="nil"/>
              <w:right w:val="nil"/>
            </w:tcBorders>
            <w:tcMar>
              <w:top w:w="0" w:type="dxa"/>
              <w:left w:w="0" w:type="dxa"/>
              <w:bottom w:w="0" w:type="dxa"/>
              <w:right w:w="0" w:type="dxa"/>
            </w:tcMar>
          </w:tcPr>
          <w:p w14:paraId="6DC78674"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tc>
      </w:tr>
    </w:tbl>
    <w:p w14:paraId="6E8B5110" w14:textId="77777777" w:rsidR="00AE3C59" w:rsidRPr="00AE3C59" w:rsidRDefault="00AE3C59" w:rsidP="00AE3C59">
      <w:pPr>
        <w:spacing w:after="0" w:line="240" w:lineRule="auto"/>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71B1D689" w14:textId="77777777" w:rsidR="00AE3C59" w:rsidRPr="00AE3C59" w:rsidRDefault="00AE3C59" w:rsidP="00AE3C59">
      <w:pPr>
        <w:spacing w:after="0" w:line="240" w:lineRule="auto"/>
        <w:ind w:firstLine="720"/>
        <w:rPr>
          <w:rFonts w:ascii="Times New Roman" w:eastAsia="Times New Roman" w:hAnsi="Times New Roman" w:cs="Times New Roman"/>
          <w:sz w:val="20"/>
          <w:szCs w:val="20"/>
          <w:lang w:val="en-US" w:eastAsia="en-US" w:bidi="ar-SA"/>
        </w:rPr>
      </w:pPr>
      <w:r w:rsidRPr="00AE3C59">
        <w:rPr>
          <w:rFonts w:ascii="Times New Roman" w:eastAsia="Times New Roman" w:hAnsi="Times New Roman" w:cs="Times New Roman"/>
          <w:sz w:val="20"/>
          <w:szCs w:val="20"/>
          <w:lang w:val="en-US" w:eastAsia="en-US" w:bidi="ar-SA"/>
        </w:rPr>
        <w:t> </w:t>
      </w:r>
    </w:p>
    <w:p w14:paraId="5426CF6D" w14:textId="77777777" w:rsidR="00AE3C59" w:rsidRDefault="00AE3C59" w:rsidP="00AE3C59">
      <w:pPr>
        <w:rPr>
          <w:rFonts w:cs="Times New Roman"/>
          <w:szCs w:val="24"/>
        </w:rPr>
        <w:sectPr w:rsidR="00AE3C59">
          <w:footerReference w:type="default" r:id="rId11"/>
          <w:pgSz w:w="12240" w:h="15840"/>
          <w:pgMar w:top="1440" w:right="1440" w:bottom="1440" w:left="1440" w:header="720" w:footer="720" w:gutter="0"/>
          <w:cols w:space="720"/>
        </w:sectPr>
      </w:pPr>
    </w:p>
    <w:p w14:paraId="36F19AC4" w14:textId="77777777" w:rsidR="00AE3C59" w:rsidRPr="00AE3C59" w:rsidRDefault="00AE3C59" w:rsidP="00AE3C59">
      <w:pPr>
        <w:spacing w:after="0" w:line="240" w:lineRule="auto"/>
        <w:jc w:val="right"/>
        <w:rPr>
          <w:rFonts w:ascii="Times New Roman" w:eastAsia="SimSun" w:hAnsi="Times New Roman" w:cs="Times New Roman"/>
          <w:b/>
          <w:color w:val="000000"/>
          <w:sz w:val="24"/>
          <w:szCs w:val="24"/>
        </w:rPr>
      </w:pPr>
      <w:r w:rsidRPr="00AE3C59">
        <w:rPr>
          <w:rFonts w:ascii="Times New Roman" w:eastAsia="SimSun" w:hAnsi="Times New Roman" w:cs="Times New Roman"/>
          <w:b/>
          <w:color w:val="000000"/>
          <w:sz w:val="24"/>
          <w:szCs w:val="24"/>
        </w:rPr>
        <w:lastRenderedPageBreak/>
        <w:t>Exhibit 99.1</w:t>
      </w:r>
    </w:p>
    <w:p w14:paraId="6DCB1B74" w14:textId="77777777" w:rsidR="00AE3C59" w:rsidRPr="00AE3C59" w:rsidRDefault="00AE3C59" w:rsidP="00AE3C59">
      <w:pPr>
        <w:spacing w:after="0" w:line="240" w:lineRule="auto"/>
        <w:jc w:val="right"/>
        <w:rPr>
          <w:rFonts w:ascii="Times New Roman" w:eastAsia="SimSun" w:hAnsi="Times New Roman" w:cs="Times New Roman"/>
          <w:b/>
          <w:color w:val="000000"/>
          <w:sz w:val="24"/>
          <w:szCs w:val="24"/>
        </w:rPr>
      </w:pPr>
    </w:p>
    <w:p w14:paraId="23E93192" w14:textId="77777777" w:rsidR="00AE3C59" w:rsidRPr="00AE3C59" w:rsidRDefault="00AE3C59" w:rsidP="00AE3C59">
      <w:pPr>
        <w:spacing w:after="0" w:line="240" w:lineRule="auto"/>
        <w:jc w:val="center"/>
        <w:rPr>
          <w:rFonts w:ascii="Times New Roman" w:eastAsia="SimSun" w:hAnsi="Times New Roman" w:cs="Times New Roman"/>
          <w:b/>
          <w:color w:val="000000"/>
          <w:sz w:val="28"/>
          <w:szCs w:val="28"/>
        </w:rPr>
      </w:pPr>
      <w:r w:rsidRPr="00AE3C59">
        <w:rPr>
          <w:rFonts w:ascii="Times New Roman" w:eastAsia="SimSun" w:hAnsi="Times New Roman" w:cs="Times New Roman"/>
          <w:b/>
          <w:color w:val="000000"/>
          <w:sz w:val="28"/>
          <w:szCs w:val="28"/>
        </w:rPr>
        <w:t xml:space="preserve">GeoVax Announces Pricing of $12.8 Million Public </w:t>
      </w:r>
      <w:proofErr w:type="gramStart"/>
      <w:r w:rsidRPr="00AE3C59">
        <w:rPr>
          <w:rFonts w:ascii="Times New Roman" w:eastAsia="SimSun" w:hAnsi="Times New Roman" w:cs="Times New Roman"/>
          <w:b/>
          <w:color w:val="000000"/>
          <w:sz w:val="28"/>
          <w:szCs w:val="28"/>
        </w:rPr>
        <w:t>Offering;</w:t>
      </w:r>
      <w:proofErr w:type="gramEnd"/>
    </w:p>
    <w:p w14:paraId="441F6E67" w14:textId="77777777" w:rsidR="00AE3C59" w:rsidRPr="00AE3C59" w:rsidRDefault="00AE3C59" w:rsidP="00AE3C59">
      <w:pPr>
        <w:spacing w:after="0" w:line="240" w:lineRule="auto"/>
        <w:jc w:val="center"/>
        <w:rPr>
          <w:rFonts w:ascii="Times New Roman" w:eastAsia="SimSun" w:hAnsi="Times New Roman" w:cs="Times New Roman"/>
          <w:b/>
          <w:color w:val="000000"/>
          <w:sz w:val="28"/>
          <w:szCs w:val="28"/>
        </w:rPr>
      </w:pPr>
      <w:proofErr w:type="spellStart"/>
      <w:r w:rsidRPr="00AE3C59">
        <w:rPr>
          <w:rFonts w:ascii="Times New Roman" w:eastAsia="SimSun" w:hAnsi="Times New Roman" w:cs="Times New Roman"/>
          <w:b/>
          <w:color w:val="000000"/>
          <w:sz w:val="28"/>
          <w:szCs w:val="28"/>
        </w:rPr>
        <w:t>Uplisting</w:t>
      </w:r>
      <w:proofErr w:type="spellEnd"/>
      <w:r w:rsidRPr="00AE3C59">
        <w:rPr>
          <w:rFonts w:ascii="Times New Roman" w:eastAsia="SimSun" w:hAnsi="Times New Roman" w:cs="Times New Roman"/>
          <w:b/>
          <w:color w:val="000000"/>
          <w:sz w:val="28"/>
          <w:szCs w:val="28"/>
        </w:rPr>
        <w:t xml:space="preserve"> to Nasdaq and Reverse Stock Split</w:t>
      </w:r>
    </w:p>
    <w:p w14:paraId="04DB4063" w14:textId="77777777" w:rsidR="00AE3C59" w:rsidRPr="00AE3C59" w:rsidRDefault="00AE3C59" w:rsidP="00AE3C59">
      <w:pPr>
        <w:spacing w:after="0" w:line="240" w:lineRule="auto"/>
        <w:rPr>
          <w:rFonts w:ascii="Times New Roman" w:eastAsia="SimSun" w:hAnsi="Times New Roman" w:cs="Times New Roman"/>
          <w:b/>
          <w:color w:val="000000"/>
          <w:sz w:val="24"/>
          <w:szCs w:val="24"/>
        </w:rPr>
      </w:pPr>
    </w:p>
    <w:p w14:paraId="6A41B6B5"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
          <w:color w:val="000000"/>
        </w:rPr>
        <w:t>ATLANTA, GA, September 24, 2020</w:t>
      </w:r>
      <w:r w:rsidRPr="00AE3C59">
        <w:rPr>
          <w:rFonts w:ascii="Times New Roman" w:eastAsia="SimSun" w:hAnsi="Times New Roman" w:cs="Times New Roman"/>
          <w:bCs/>
          <w:color w:val="000000"/>
        </w:rPr>
        <w:t xml:space="preserve"> – </w:t>
      </w:r>
      <w:r w:rsidRPr="00AE3C59">
        <w:rPr>
          <w:rFonts w:ascii="Times New Roman" w:eastAsia="SimSun" w:hAnsi="Times New Roman" w:cs="Times New Roman"/>
          <w:b/>
          <w:bCs/>
          <w:color w:val="000000"/>
        </w:rPr>
        <w:t xml:space="preserve">GeoVax Labs, Inc. </w:t>
      </w:r>
      <w:r w:rsidRPr="00AE3C59">
        <w:rPr>
          <w:rFonts w:ascii="Times New Roman" w:eastAsia="SimSun" w:hAnsi="Times New Roman" w:cs="Times New Roman"/>
          <w:bCs/>
          <w:color w:val="000000"/>
        </w:rPr>
        <w:t>(</w:t>
      </w:r>
      <w:proofErr w:type="spellStart"/>
      <w:r w:rsidRPr="00AE3C59">
        <w:rPr>
          <w:rFonts w:ascii="Times New Roman" w:eastAsia="SimSun" w:hAnsi="Times New Roman" w:cs="Times New Roman"/>
          <w:bCs/>
          <w:color w:val="000000"/>
        </w:rPr>
        <w:t>NasdaqCM</w:t>
      </w:r>
      <w:proofErr w:type="spellEnd"/>
      <w:r w:rsidRPr="00AE3C59">
        <w:rPr>
          <w:rFonts w:ascii="Times New Roman" w:eastAsia="SimSun" w:hAnsi="Times New Roman" w:cs="Times New Roman"/>
          <w:bCs/>
          <w:color w:val="000000"/>
        </w:rPr>
        <w:t>: GOVX, GOVXW) (“GeoVax” or the “Company”), a biotechnology company developing human immunotherapies and vaccines against infectious diseases and cancer, today announced the pricing of its underwritten public offering of 2,560,000 units at a price to the public of $5.00 per unit. Each unit issued in the offering consists of one share of common stock (or pre-funded warrant to purchase common stock in lieu thereof) and one warrant to purchase one share of common stock at an exercise price of $5.00. The common stock (or pre-funded warrants to purchase common stock in lieu thereof) and warrants are immediately separable and will be issued separately. The common stock and warrants are expected to begin trading on the Nasdaq Capital Market, on September 25, 2020, under the symbols “GOVX” and “GOVXW,” respectively. GeoVax expects to receive gross proceeds of $12.8 million, before deducting underwriting discounts and commissions and other estimated offering expenses. Concurrent with the offering, the Company will effectuate a reverse split of its issued and outstanding common stock at a ratio of 1-for-20. The reverse stock split is expected to be effective at 12:01 a.m., Eastern Time, on Friday, September 25, 2020. The share numbers and pricing information in this release are adjusted to reflect the impact of the reverse stock split.</w:t>
      </w:r>
    </w:p>
    <w:p w14:paraId="760B260D"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 </w:t>
      </w:r>
    </w:p>
    <w:p w14:paraId="24BFBAEF"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GeoVax has granted the underwriters a 45-day option to purchase up to an additional 384,000 shares of common stock, pre-funded warrants and/or warrants at the public offering price to cover over-allotments, if any. The offering is expected to close on September 29, 2020, subject to customary closing conditions.</w:t>
      </w:r>
    </w:p>
    <w:p w14:paraId="6A732030"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 </w:t>
      </w:r>
    </w:p>
    <w:p w14:paraId="5DA6C892"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Maxim Group LLC is acting as sole book-running manager for the offering and Joseph Gunnar &amp; Co., LLC is acting as co-manager for the offering.</w:t>
      </w:r>
    </w:p>
    <w:p w14:paraId="626981E6"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 </w:t>
      </w:r>
    </w:p>
    <w:p w14:paraId="04A92DE0"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 xml:space="preserve">The offering is being conducted pursuant to the Company's registration statement on Form S-1 (File No. 333-239958), as amended, previously filed </w:t>
      </w:r>
      <w:proofErr w:type="gramStart"/>
      <w:r w:rsidRPr="00AE3C59">
        <w:rPr>
          <w:rFonts w:ascii="Times New Roman" w:eastAsia="SimSun" w:hAnsi="Times New Roman" w:cs="Times New Roman"/>
          <w:bCs/>
          <w:color w:val="000000"/>
        </w:rPr>
        <w:t>with</w:t>
      </w:r>
      <w:proofErr w:type="gramEnd"/>
      <w:r w:rsidRPr="00AE3C59">
        <w:rPr>
          <w:rFonts w:ascii="Times New Roman" w:eastAsia="SimSun" w:hAnsi="Times New Roman" w:cs="Times New Roman"/>
          <w:bCs/>
          <w:color w:val="000000"/>
        </w:rPr>
        <w:t xml:space="preserve"> and subsequently declared effective by the Securities and Exchange Commission (“SEC”). A final prospectus relating to the offering will be filed with the SEC and will be available on the SEC’s website at http://www.sec.gov. Electronic copies of the final prospectus relating to this offering, when available, may be obtained from Maxim Group LLC, 405 Lexington Avenue, 2nd Floor, New York, NY 10174, at (212) 895-3745. </w:t>
      </w:r>
    </w:p>
    <w:p w14:paraId="69518B44" w14:textId="77777777" w:rsidR="00AE3C59" w:rsidRPr="00AE3C59" w:rsidRDefault="00AE3C59" w:rsidP="00AE3C59">
      <w:pPr>
        <w:spacing w:after="0" w:line="240" w:lineRule="auto"/>
        <w:jc w:val="both"/>
        <w:rPr>
          <w:rFonts w:ascii="Times New Roman" w:eastAsia="SimSun" w:hAnsi="Times New Roman" w:cs="Times New Roman"/>
          <w:bCs/>
          <w:color w:val="000000"/>
        </w:rPr>
      </w:pPr>
    </w:p>
    <w:p w14:paraId="7858A5F0" w14:textId="77777777" w:rsidR="00AE3C59" w:rsidRPr="00AE3C59" w:rsidRDefault="00AE3C59" w:rsidP="00AE3C59">
      <w:pPr>
        <w:spacing w:after="0" w:line="240" w:lineRule="auto"/>
        <w:jc w:val="both"/>
        <w:rPr>
          <w:rFonts w:ascii="Times New Roman" w:eastAsia="SimSun" w:hAnsi="Times New Roman" w:cs="Times New Roman"/>
          <w:bCs/>
          <w:color w:val="000000"/>
        </w:rPr>
      </w:pPr>
      <w:r w:rsidRPr="00AE3C59">
        <w:rPr>
          <w:rFonts w:ascii="Times New Roman" w:eastAsia="SimSun" w:hAnsi="Times New Roman" w:cs="Times New Roman"/>
          <w:bCs/>
          <w:color w:val="000000"/>
        </w:rPr>
        <w:t>This press release shall not constitute an offer to sell or the solicitation of an offer to buy these securities, nor shall there be any sale of these securities in any state or jurisdiction in which such offer, solicitation or sale would be unlawful prior to registration or qualification under the securities laws of any such state or jurisdiction.</w:t>
      </w:r>
    </w:p>
    <w:p w14:paraId="7BE2DA26" w14:textId="77777777" w:rsidR="00AE3C59" w:rsidRPr="00AE3C59" w:rsidRDefault="00AE3C59" w:rsidP="00AE3C59">
      <w:pPr>
        <w:spacing w:after="0" w:line="240" w:lineRule="auto"/>
        <w:jc w:val="both"/>
        <w:rPr>
          <w:rFonts w:ascii="Times New Roman" w:eastAsia="SimSun" w:hAnsi="Times New Roman" w:cs="Times New Roman"/>
          <w:b/>
          <w:bCs/>
          <w:color w:val="000000"/>
        </w:rPr>
      </w:pPr>
    </w:p>
    <w:p w14:paraId="48D7EEA6" w14:textId="77777777" w:rsidR="00AE3C59" w:rsidRPr="00AE3C59" w:rsidRDefault="00AE3C59" w:rsidP="00AE3C59">
      <w:pPr>
        <w:spacing w:after="0" w:line="240" w:lineRule="auto"/>
        <w:jc w:val="both"/>
        <w:rPr>
          <w:rFonts w:ascii="Times New Roman" w:eastAsia="SimSun" w:hAnsi="Times New Roman" w:cs="Times New Roman"/>
          <w:b/>
          <w:bCs/>
          <w:color w:val="000000"/>
        </w:rPr>
      </w:pPr>
      <w:r w:rsidRPr="00AE3C59">
        <w:rPr>
          <w:rFonts w:ascii="Times New Roman" w:eastAsia="SimSun" w:hAnsi="Times New Roman" w:cs="Times New Roman"/>
          <w:b/>
          <w:bCs/>
          <w:color w:val="000000"/>
        </w:rPr>
        <w:t>About GeoVax</w:t>
      </w:r>
    </w:p>
    <w:p w14:paraId="1EEB201D" w14:textId="77777777" w:rsidR="00AE3C59" w:rsidRPr="00AE3C59" w:rsidRDefault="00AE3C59" w:rsidP="00AE3C59">
      <w:pPr>
        <w:widowControl w:val="0"/>
        <w:autoSpaceDE w:val="0"/>
        <w:autoSpaceDN w:val="0"/>
        <w:adjustRightInd w:val="0"/>
        <w:spacing w:after="0" w:line="240" w:lineRule="auto"/>
        <w:jc w:val="both"/>
        <w:rPr>
          <w:rFonts w:ascii="Times New Roman" w:eastAsia="SimSun" w:hAnsi="Times New Roman" w:cs="Times New Roman"/>
        </w:rPr>
      </w:pPr>
      <w:bookmarkStart w:id="0" w:name="_Hlk514326477"/>
    </w:p>
    <w:p w14:paraId="3D3BA8CA" w14:textId="77777777" w:rsidR="00AE3C59" w:rsidRPr="00AE3C59" w:rsidRDefault="00AE3C59" w:rsidP="00AE3C59">
      <w:pPr>
        <w:widowControl w:val="0"/>
        <w:autoSpaceDE w:val="0"/>
        <w:autoSpaceDN w:val="0"/>
        <w:adjustRightInd w:val="0"/>
        <w:spacing w:after="0" w:line="240" w:lineRule="auto"/>
        <w:jc w:val="both"/>
        <w:outlineLvl w:val="0"/>
        <w:rPr>
          <w:rFonts w:ascii="Times New Roman" w:eastAsia="SimSun" w:hAnsi="Times New Roman" w:cs="Times New Roman"/>
        </w:rPr>
      </w:pPr>
      <w:r w:rsidRPr="00AE3C59">
        <w:rPr>
          <w:rFonts w:ascii="Times New Roman" w:eastAsia="SimSun" w:hAnsi="Times New Roman" w:cs="Times New Roman"/>
        </w:rPr>
        <w:t>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w:t>
      </w:r>
      <w:r w:rsidRPr="00AE3C59">
        <w:rPr>
          <w:rFonts w:ascii="Times New Roman" w:eastAsia="SimSun" w:hAnsi="Times New Roman" w:cs="Times New Roman"/>
          <w:i/>
          <w:iCs/>
        </w:rPr>
        <w:t>in vivo</w:t>
      </w:r>
      <w:r w:rsidRPr="00AE3C59">
        <w:rPr>
          <w:rFonts w:ascii="Times New Roman" w:eastAsia="SimSun" w:hAnsi="Times New Roman" w:cs="Times New Roman"/>
        </w:rPr>
        <w:t xml:space="preserve">) the person receiving the vaccine. The production of VLPs in the person being vaccinated mimics virus production in a natural infection, stimulating both the humoral and cellular arms of the immune system to recognize, prevent, and control the target infection. The MVA-VLP derived vaccines elicit durable immune responses in the host </w:t>
      </w:r>
      <w:proofErr w:type="gramStart"/>
      <w:r w:rsidRPr="00AE3C59">
        <w:rPr>
          <w:rFonts w:ascii="Times New Roman" w:eastAsia="SimSun" w:hAnsi="Times New Roman" w:cs="Times New Roman"/>
        </w:rPr>
        <w:t>similar to</w:t>
      </w:r>
      <w:proofErr w:type="gramEnd"/>
      <w:r w:rsidRPr="00AE3C59">
        <w:rPr>
          <w:rFonts w:ascii="Times New Roman" w:eastAsia="SimSun" w:hAnsi="Times New Roman" w:cs="Times New Roman"/>
        </w:rPr>
        <w:t xml:space="preserve"> a live-attenuated virus, while providing the safety characteristics of a replication-defective vector.</w:t>
      </w:r>
    </w:p>
    <w:p w14:paraId="34C72653" w14:textId="77777777" w:rsidR="00AE3C59" w:rsidRPr="00AE3C59" w:rsidRDefault="00AE3C59" w:rsidP="00AE3C59">
      <w:pPr>
        <w:widowControl w:val="0"/>
        <w:autoSpaceDE w:val="0"/>
        <w:autoSpaceDN w:val="0"/>
        <w:adjustRightInd w:val="0"/>
        <w:spacing w:after="0" w:line="240" w:lineRule="auto"/>
        <w:jc w:val="both"/>
        <w:outlineLvl w:val="0"/>
        <w:rPr>
          <w:rFonts w:ascii="Times New Roman" w:eastAsia="SimSun" w:hAnsi="Times New Roman" w:cs="Times New Roman"/>
        </w:rPr>
      </w:pPr>
    </w:p>
    <w:p w14:paraId="571608EE" w14:textId="77777777" w:rsidR="00AE3C59" w:rsidRPr="00AE3C59" w:rsidRDefault="00AE3C59" w:rsidP="00AE3C59">
      <w:pPr>
        <w:widowControl w:val="0"/>
        <w:autoSpaceDE w:val="0"/>
        <w:autoSpaceDN w:val="0"/>
        <w:adjustRightInd w:val="0"/>
        <w:spacing w:after="0" w:line="240" w:lineRule="auto"/>
        <w:jc w:val="both"/>
        <w:outlineLvl w:val="0"/>
        <w:rPr>
          <w:rFonts w:ascii="Times New Roman" w:eastAsia="SimSun" w:hAnsi="Times New Roman" w:cs="Times New Roman"/>
        </w:rPr>
      </w:pPr>
      <w:proofErr w:type="spellStart"/>
      <w:r w:rsidRPr="00AE3C59">
        <w:rPr>
          <w:rFonts w:ascii="Times New Roman" w:eastAsia="SimSun" w:hAnsi="Times New Roman" w:cs="Times New Roman"/>
        </w:rPr>
        <w:t>GeoVax’s</w:t>
      </w:r>
      <w:proofErr w:type="spellEnd"/>
      <w:r w:rsidRPr="00AE3C59">
        <w:rPr>
          <w:rFonts w:ascii="Times New Roman" w:eastAsia="SimSun" w:hAnsi="Times New Roman" w:cs="Times New Roman"/>
        </w:rPr>
        <w:t xml:space="preserve"> current development programs are focused on preventive vaccines against COVID-19, HIV, Zika </w:t>
      </w:r>
      <w:r w:rsidRPr="00AE3C59">
        <w:rPr>
          <w:rFonts w:ascii="Times New Roman" w:eastAsia="SimSun" w:hAnsi="Times New Roman" w:cs="Times New Roman"/>
        </w:rPr>
        <w:lastRenderedPageBreak/>
        <w:t xml:space="preserve">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AE3C59">
        <w:rPr>
          <w:rFonts w:ascii="Times New Roman" w:eastAsia="SimSun" w:hAnsi="Times New Roman" w:cs="Times New Roman"/>
        </w:rPr>
        <w:t>GeoVax’s</w:t>
      </w:r>
      <w:proofErr w:type="spellEnd"/>
      <w:r w:rsidRPr="00AE3C59">
        <w:rPr>
          <w:rFonts w:ascii="Times New Roman" w:eastAsia="SimSun" w:hAnsi="Times New Roman" w:cs="Times New Roman"/>
        </w:rPr>
        <w:t xml:space="preserve"> HIV vaccine is also part of two separate collaborative efforts to apply its innovative gene therapy approach toward a functional cure for HIV.</w:t>
      </w:r>
    </w:p>
    <w:p w14:paraId="036176F2" w14:textId="77777777" w:rsidR="00AE3C59" w:rsidRPr="00AE3C59" w:rsidRDefault="00AE3C59" w:rsidP="00AE3C59">
      <w:pPr>
        <w:widowControl w:val="0"/>
        <w:autoSpaceDE w:val="0"/>
        <w:autoSpaceDN w:val="0"/>
        <w:adjustRightInd w:val="0"/>
        <w:spacing w:after="0" w:line="240" w:lineRule="auto"/>
        <w:jc w:val="both"/>
        <w:outlineLvl w:val="0"/>
        <w:rPr>
          <w:rFonts w:ascii="Times New Roman" w:eastAsia="SimSun" w:hAnsi="Times New Roman" w:cs="Times New Roman"/>
          <w:b/>
          <w:i/>
        </w:rPr>
      </w:pPr>
    </w:p>
    <w:p w14:paraId="4D1CC548" w14:textId="77777777" w:rsidR="00AE3C59" w:rsidRPr="00AE3C59" w:rsidRDefault="00AE3C59" w:rsidP="00AE3C59">
      <w:pPr>
        <w:widowControl w:val="0"/>
        <w:autoSpaceDE w:val="0"/>
        <w:autoSpaceDN w:val="0"/>
        <w:adjustRightInd w:val="0"/>
        <w:spacing w:after="0" w:line="240" w:lineRule="auto"/>
        <w:jc w:val="both"/>
        <w:outlineLvl w:val="0"/>
        <w:rPr>
          <w:rFonts w:ascii="Times New Roman" w:eastAsia="SimSun" w:hAnsi="Times New Roman" w:cs="Times New Roman"/>
          <w:b/>
          <w:i/>
        </w:rPr>
      </w:pPr>
      <w:r w:rsidRPr="00AE3C59">
        <w:rPr>
          <w:rFonts w:ascii="Times New Roman" w:eastAsia="SimSun" w:hAnsi="Times New Roman" w:cs="Times New Roman"/>
          <w:b/>
          <w:i/>
        </w:rPr>
        <w:t>Cautionary Note Regarding Forward-Looking Statements</w:t>
      </w:r>
    </w:p>
    <w:bookmarkEnd w:id="0"/>
    <w:p w14:paraId="63C92ACE" w14:textId="77777777" w:rsidR="00AE3C59" w:rsidRPr="00AE3C59" w:rsidRDefault="00AE3C59" w:rsidP="00AE3C59">
      <w:pPr>
        <w:widowControl w:val="0"/>
        <w:autoSpaceDE w:val="0"/>
        <w:autoSpaceDN w:val="0"/>
        <w:adjustRightInd w:val="0"/>
        <w:spacing w:after="0" w:line="240" w:lineRule="auto"/>
        <w:jc w:val="both"/>
        <w:rPr>
          <w:rFonts w:ascii="Times New Roman" w:eastAsia="SimSun" w:hAnsi="Times New Roman" w:cs="Times New Roman"/>
          <w:i/>
        </w:rPr>
      </w:pPr>
    </w:p>
    <w:p w14:paraId="377BFDE6" w14:textId="77777777" w:rsidR="00AE3C59" w:rsidRPr="00AE3C59" w:rsidRDefault="00AE3C59" w:rsidP="00AE3C59">
      <w:pPr>
        <w:widowControl w:val="0"/>
        <w:autoSpaceDE w:val="0"/>
        <w:autoSpaceDN w:val="0"/>
        <w:adjustRightInd w:val="0"/>
        <w:spacing w:after="0" w:line="240" w:lineRule="auto"/>
        <w:jc w:val="both"/>
        <w:rPr>
          <w:rFonts w:ascii="Times New Roman" w:eastAsia="SimSun" w:hAnsi="Times New Roman" w:cs="Times New Roman"/>
          <w:i/>
          <w:iCs/>
        </w:rPr>
      </w:pPr>
      <w:r w:rsidRPr="00AE3C59">
        <w:rPr>
          <w:rFonts w:ascii="Times New Roman" w:eastAsia="SimSun" w:hAnsi="Times New Roman" w:cs="Times New Roman"/>
          <w:i/>
        </w:rPr>
        <w:t xml:space="preserve">This release contains forward-looking statements regarding the timing and success of the proposed offering, the Company’s reverse stock split of outstanding shares of common stock and treasury shares, and the timing and financial impact of </w:t>
      </w:r>
      <w:proofErr w:type="spellStart"/>
      <w:r w:rsidRPr="00AE3C59">
        <w:rPr>
          <w:rFonts w:ascii="Times New Roman" w:eastAsia="SimSun" w:hAnsi="Times New Roman" w:cs="Times New Roman"/>
          <w:i/>
        </w:rPr>
        <w:t>GeoVax’s</w:t>
      </w:r>
      <w:proofErr w:type="spellEnd"/>
      <w:r w:rsidRPr="00AE3C59">
        <w:rPr>
          <w:rFonts w:ascii="Times New Roman" w:eastAsia="SimSun" w:hAnsi="Times New Roman" w:cs="Times New Roman"/>
          <w:i/>
        </w:rPr>
        <w:t xml:space="preserve"> ability to implement its business plan, expected revenues and future success.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w:t>
      </w:r>
      <w:r w:rsidRPr="00AE3C59">
        <w:rPr>
          <w:rFonts w:ascii="Times New Roman" w:eastAsia="SimSun" w:hAnsi="Times New Roman" w:cs="Times New Roman"/>
          <w:i/>
          <w:iCs/>
        </w:rPr>
        <w:t xml:space="preserve">Actual results may differ materially from those included in these statements due to a variety of factors, including whether: GeoVax can develop and manufacture its vaccines with the desired characteristics in a timely manner, </w:t>
      </w:r>
      <w:proofErr w:type="spellStart"/>
      <w:r w:rsidRPr="00AE3C59">
        <w:rPr>
          <w:rFonts w:ascii="Times New Roman" w:eastAsia="SimSun" w:hAnsi="Times New Roman" w:cs="Times New Roman"/>
          <w:i/>
          <w:iCs/>
        </w:rPr>
        <w:t>GeoVax's</w:t>
      </w:r>
      <w:proofErr w:type="spellEnd"/>
      <w:r w:rsidRPr="00AE3C59">
        <w:rPr>
          <w:rFonts w:ascii="Times New Roman" w:eastAsia="SimSun" w:hAnsi="Times New Roman" w:cs="Times New Roman"/>
          <w:i/>
          <w:iCs/>
        </w:rPr>
        <w:t xml:space="preserve"> vaccines will be safe for human use, </w:t>
      </w:r>
      <w:proofErr w:type="spellStart"/>
      <w:r w:rsidRPr="00AE3C59">
        <w:rPr>
          <w:rFonts w:ascii="Times New Roman" w:eastAsia="SimSun" w:hAnsi="Times New Roman" w:cs="Times New Roman"/>
          <w:i/>
          <w:iCs/>
        </w:rPr>
        <w:t>GeoVax's</w:t>
      </w:r>
      <w:proofErr w:type="spellEnd"/>
      <w:r w:rsidRPr="00AE3C59">
        <w:rPr>
          <w:rFonts w:ascii="Times New Roman" w:eastAsia="SimSun" w:hAnsi="Times New Roman" w:cs="Times New Roman"/>
          <w:i/>
          <w:iCs/>
        </w:rPr>
        <w:t xml:space="preserve"> vaccines will effectively prevent targeted infections in humans, </w:t>
      </w:r>
      <w:proofErr w:type="spellStart"/>
      <w:r w:rsidRPr="00AE3C59">
        <w:rPr>
          <w:rFonts w:ascii="Times New Roman" w:eastAsia="SimSun" w:hAnsi="Times New Roman" w:cs="Times New Roman"/>
          <w:i/>
          <w:iCs/>
        </w:rPr>
        <w:t>GeoVax’s</w:t>
      </w:r>
      <w:proofErr w:type="spellEnd"/>
      <w:r w:rsidRPr="00AE3C59">
        <w:rPr>
          <w:rFonts w:ascii="Times New Roman" w:eastAsia="SimSun" w:hAnsi="Times New Roman" w:cs="Times New Roman"/>
          <w:i/>
          <w:iCs/>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AE3C59">
        <w:rPr>
          <w:rFonts w:ascii="Times New Roman" w:eastAsia="SimSun" w:hAnsi="Times New Roman" w:cs="Times New Roman"/>
          <w:i/>
          <w:iCs/>
        </w:rPr>
        <w:t>GeoVax's</w:t>
      </w:r>
      <w:proofErr w:type="spellEnd"/>
      <w:r w:rsidRPr="00AE3C59">
        <w:rPr>
          <w:rFonts w:ascii="Times New Roman" w:eastAsia="SimSun" w:hAnsi="Times New Roman" w:cs="Times New Roman"/>
          <w:i/>
          <w:iCs/>
        </w:rPr>
        <w:t xml:space="preserve"> products, GeoVax will be able to enter into favorable manufacturing and distribution agreements, our common stock and warrants begin trading on the Nasdaq Capital Market as expected, the offering closes as expected, the impact of the COVID-19 pandemic continues, and other factors, over which GeoVax has no control.</w:t>
      </w:r>
    </w:p>
    <w:p w14:paraId="2AC82AF6" w14:textId="77777777" w:rsidR="00AE3C59" w:rsidRPr="00AE3C59" w:rsidRDefault="00AE3C59" w:rsidP="00AE3C59">
      <w:pPr>
        <w:widowControl w:val="0"/>
        <w:autoSpaceDE w:val="0"/>
        <w:autoSpaceDN w:val="0"/>
        <w:adjustRightInd w:val="0"/>
        <w:spacing w:after="0" w:line="240" w:lineRule="auto"/>
        <w:jc w:val="both"/>
        <w:rPr>
          <w:rFonts w:ascii="Times New Roman" w:eastAsia="SimSun" w:hAnsi="Times New Roman" w:cs="Times New Roman"/>
          <w:i/>
        </w:rPr>
      </w:pPr>
    </w:p>
    <w:p w14:paraId="5C24E101" w14:textId="77777777" w:rsidR="00AE3C59" w:rsidRPr="00AE3C59" w:rsidRDefault="00AE3C59" w:rsidP="00AE3C59">
      <w:pPr>
        <w:widowControl w:val="0"/>
        <w:autoSpaceDE w:val="0"/>
        <w:autoSpaceDN w:val="0"/>
        <w:adjustRightInd w:val="0"/>
        <w:spacing w:after="0" w:line="240" w:lineRule="auto"/>
        <w:jc w:val="both"/>
        <w:rPr>
          <w:rFonts w:ascii="Times New Roman" w:eastAsia="SimSun" w:hAnsi="Times New Roman" w:cs="Times New Roman"/>
          <w:i/>
        </w:rPr>
      </w:pPr>
      <w:r w:rsidRPr="00AE3C59">
        <w:rPr>
          <w:rFonts w:ascii="Times New Roman" w:eastAsia="SimSun" w:hAnsi="Times New Roman" w:cs="Times New Roman"/>
          <w:i/>
        </w:rPr>
        <w:t xml:space="preserve">Further information on our risk factors is contained in our registration statement on Form S-1 (File No. 333-239958) that we have filed with the SEC and the final prospectus, when available.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AE3C59">
        <w:rPr>
          <w:rFonts w:ascii="Times New Roman" w:eastAsia="SimSun" w:hAnsi="Times New Roman" w:cs="Times New Roman"/>
          <w:i/>
        </w:rPr>
        <w:t>as a result of</w:t>
      </w:r>
      <w:proofErr w:type="gramEnd"/>
      <w:r w:rsidRPr="00AE3C59">
        <w:rPr>
          <w:rFonts w:ascii="Times New Roman" w:eastAsia="SimSun" w:hAnsi="Times New Roman" w:cs="Times New Roman"/>
          <w:i/>
        </w:rPr>
        <w:t xml:space="preserve"> new information, future developments or otherwise, except as may be required by law.</w:t>
      </w:r>
    </w:p>
    <w:p w14:paraId="0DD8C1B4"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b/>
          <w:color w:val="000000"/>
        </w:rPr>
      </w:pPr>
    </w:p>
    <w:p w14:paraId="4F8BBDCD"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b/>
          <w:color w:val="000000"/>
        </w:rPr>
      </w:pPr>
      <w:r w:rsidRPr="00AE3C59">
        <w:rPr>
          <w:rFonts w:ascii="Times New Roman" w:eastAsia="SimSun" w:hAnsi="Times New Roman" w:cs="Times New Roman"/>
          <w:b/>
          <w:color w:val="000000"/>
        </w:rPr>
        <w:t>Contact:</w:t>
      </w:r>
    </w:p>
    <w:p w14:paraId="3EFD5024"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color w:val="000000"/>
        </w:rPr>
      </w:pPr>
      <w:r w:rsidRPr="00AE3C59">
        <w:rPr>
          <w:rFonts w:ascii="Times New Roman" w:eastAsia="SimSun" w:hAnsi="Times New Roman" w:cs="Times New Roman"/>
          <w:color w:val="000000"/>
        </w:rPr>
        <w:t>GeoVax Labs, Inc.</w:t>
      </w:r>
    </w:p>
    <w:p w14:paraId="16F859C9"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color w:val="000000"/>
        </w:rPr>
      </w:pPr>
      <w:r w:rsidRPr="00AE3C59">
        <w:rPr>
          <w:rFonts w:ascii="Times New Roman" w:eastAsia="SimSun" w:hAnsi="Times New Roman" w:cs="Times New Roman"/>
          <w:color w:val="000000"/>
        </w:rPr>
        <w:t>investor@geovax.com</w:t>
      </w:r>
    </w:p>
    <w:p w14:paraId="50992C4A"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color w:val="000000"/>
        </w:rPr>
      </w:pPr>
      <w:r w:rsidRPr="00AE3C59">
        <w:rPr>
          <w:rFonts w:ascii="Times New Roman" w:eastAsia="SimSun" w:hAnsi="Times New Roman" w:cs="Times New Roman"/>
          <w:color w:val="000000"/>
        </w:rPr>
        <w:t>678-384-7220</w:t>
      </w:r>
    </w:p>
    <w:p w14:paraId="1F44FC89"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color w:val="000000"/>
        </w:rPr>
      </w:pPr>
    </w:p>
    <w:p w14:paraId="3498CB98" w14:textId="77777777" w:rsidR="00AE3C59" w:rsidRPr="00AE3C59" w:rsidRDefault="00AE3C59" w:rsidP="00AE3C59">
      <w:pPr>
        <w:widowControl w:val="0"/>
        <w:autoSpaceDE w:val="0"/>
        <w:autoSpaceDN w:val="0"/>
        <w:adjustRightInd w:val="0"/>
        <w:spacing w:after="0" w:line="240" w:lineRule="auto"/>
        <w:rPr>
          <w:rFonts w:ascii="Times New Roman" w:eastAsia="SimSun" w:hAnsi="Times New Roman" w:cs="Times New Roman"/>
          <w:color w:val="000000"/>
          <w:sz w:val="24"/>
          <w:szCs w:val="24"/>
        </w:rPr>
      </w:pPr>
    </w:p>
    <w:p w14:paraId="6BBCAD3A" w14:textId="3F0594B6" w:rsidR="00AE3C59" w:rsidRPr="00AE3C59" w:rsidRDefault="00AE3C59" w:rsidP="00AE3C59">
      <w:pPr>
        <w:rPr>
          <w:rFonts w:cs="Times New Roman"/>
          <w:szCs w:val="24"/>
        </w:rPr>
      </w:pPr>
    </w:p>
    <w:sectPr w:rsidR="00AE3C59" w:rsidRPr="00AE3C59" w:rsidSect="00BC6A44">
      <w:footerReference w:type="default" r:id="rId12"/>
      <w:headerReference w:type="first" r:id="rId13"/>
      <w:footerReference w:type="first" r:id="rId14"/>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D8F53" w14:textId="77777777" w:rsidR="00977053" w:rsidRDefault="00977053" w:rsidP="00AD4CDF">
      <w:r>
        <w:separator/>
      </w:r>
    </w:p>
  </w:endnote>
  <w:endnote w:type="continuationSeparator" w:id="0">
    <w:p w14:paraId="0E091DCD" w14:textId="77777777" w:rsidR="00977053" w:rsidRDefault="00977053" w:rsidP="00AD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0359"/>
      <w:docPartObj>
        <w:docPartGallery w:val="Page Numbers (Bottom of Page)"/>
        <w:docPartUnique/>
      </w:docPartObj>
    </w:sdtPr>
    <w:sdtEndPr>
      <w:rPr>
        <w:rFonts w:cs="Times New Roman"/>
        <w:noProof/>
      </w:rPr>
    </w:sdtEndPr>
    <w:sdtContent>
      <w:p w14:paraId="6463A923" w14:textId="0D044EE9" w:rsidR="00E95465" w:rsidRPr="00305925" w:rsidRDefault="00E95465">
        <w:pPr>
          <w:pStyle w:val="Footer"/>
          <w:jc w:val="center"/>
          <w:rPr>
            <w:rFonts w:cs="Times New Roman"/>
          </w:rPr>
        </w:pPr>
        <w:r w:rsidRPr="00305925">
          <w:rPr>
            <w:rFonts w:cs="Times New Roman"/>
          </w:rPr>
          <w:fldChar w:fldCharType="begin"/>
        </w:r>
        <w:r w:rsidRPr="00305925">
          <w:rPr>
            <w:rFonts w:cs="Times New Roman"/>
          </w:rPr>
          <w:instrText xml:space="preserve"> PAGE   \* MERGEFORMAT </w:instrText>
        </w:r>
        <w:r w:rsidRPr="00305925">
          <w:rPr>
            <w:rFonts w:cs="Times New Roman"/>
          </w:rPr>
          <w:fldChar w:fldCharType="separate"/>
        </w:r>
        <w:r w:rsidR="00FB2380">
          <w:rPr>
            <w:rFonts w:cs="Times New Roman"/>
            <w:noProof/>
          </w:rPr>
          <w:t>1</w:t>
        </w:r>
        <w:r w:rsidRPr="00305925">
          <w:rPr>
            <w:rFonts w:cs="Times New Roman"/>
            <w:noProof/>
          </w:rPr>
          <w:fldChar w:fldCharType="end"/>
        </w:r>
      </w:p>
    </w:sdtContent>
  </w:sdt>
  <w:p w14:paraId="5E5C8F76" w14:textId="77777777" w:rsidR="00E95465" w:rsidRDefault="00E95465" w:rsidP="009E01BC">
    <w:pPr>
      <w:pStyle w:val="Footer"/>
    </w:pPr>
  </w:p>
  <w:p w14:paraId="1FF8835A" w14:textId="77777777" w:rsidR="00E95465" w:rsidRDefault="00E95465" w:rsidP="009E0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EC28" w14:textId="77777777" w:rsidR="00F71C95" w:rsidRDefault="00AE3C59">
    <w:pPr>
      <w:pStyle w:val="Footer"/>
      <w:jc w:val="center"/>
    </w:pPr>
    <w:r>
      <w:fldChar w:fldCharType="begin"/>
    </w:r>
    <w:r>
      <w:instrText xml:space="preserve"> PAGE   \* MERGEFORMAT </w:instrText>
    </w:r>
    <w:r>
      <w:fldChar w:fldCharType="separate"/>
    </w:r>
    <w:r>
      <w:rPr>
        <w:noProof/>
      </w:rPr>
      <w:t>1</w:t>
    </w:r>
    <w:r>
      <w:rPr>
        <w:noProof/>
      </w:rPr>
      <w:fldChar w:fldCharType="end"/>
    </w:r>
  </w:p>
  <w:p w14:paraId="13BC8204" w14:textId="77777777" w:rsidR="00F71C95" w:rsidRDefault="00AE3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CB503" w14:textId="77777777" w:rsidR="00B82DFC" w:rsidRPr="00807A9D" w:rsidRDefault="00AE3C59">
    <w:pPr>
      <w:pStyle w:val="Footer"/>
      <w:jc w:val="center"/>
      <w:rPr>
        <w:rFonts w:cs="Times New Roman"/>
      </w:rPr>
    </w:pPr>
  </w:p>
  <w:p w14:paraId="11E8F2F5" w14:textId="77777777" w:rsidR="00E646A4" w:rsidRDefault="00AE3C59" w:rsidP="001C4A10">
    <w:pPr>
      <w:pStyle w:val="Footer"/>
    </w:pPr>
  </w:p>
  <w:p w14:paraId="30BD63B1" w14:textId="77777777" w:rsidR="001C4A10" w:rsidRDefault="00AE3C59" w:rsidP="00E646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2C32" w14:textId="77777777" w:rsidR="003E3BE7" w:rsidRDefault="00AE3C59" w:rsidP="00B3643D">
    <w:pPr>
      <w:pStyle w:val="Footer"/>
      <w:jc w:val="center"/>
      <w:rPr>
        <w:noProof/>
      </w:rPr>
    </w:pPr>
    <w:r>
      <w:fldChar w:fldCharType="begin"/>
    </w:r>
    <w:r>
      <w:instrText xml:space="preserve"> PAGE   \* MERGEFORMAT </w:instrText>
    </w:r>
    <w:r>
      <w:fldChar w:fldCharType="separate"/>
    </w:r>
    <w:r>
      <w:rPr>
        <w:noProof/>
      </w:rPr>
      <w:t>14</w:t>
    </w:r>
    <w:r>
      <w:rPr>
        <w:noProof/>
      </w:rPr>
      <w:fldChar w:fldCharType="end"/>
    </w:r>
  </w:p>
  <w:p w14:paraId="262C5FB2" w14:textId="77777777" w:rsidR="00B3643D" w:rsidRDefault="00AE3C59" w:rsidP="003E3BE7">
    <w:pPr>
      <w:pStyle w:val="Footer"/>
    </w:pPr>
    <w:r>
      <w:rPr>
        <w:sz w:val="18"/>
      </w:rPr>
      <w:fldChar w:fldCharType="begin"/>
    </w:r>
    <w:r>
      <w:rPr>
        <w:sz w:val="18"/>
      </w:rPr>
      <w:instrText xml:space="preserve"> </w:instrText>
    </w:r>
    <w:r w:rsidRPr="003E3BE7">
      <w:rPr>
        <w:sz w:val="18"/>
      </w:rPr>
      <w:instrText>IF "</w:instrText>
    </w:r>
    <w:r w:rsidRPr="003E3BE7">
      <w:rPr>
        <w:sz w:val="18"/>
      </w:rPr>
      <w:fldChar w:fldCharType="begin"/>
    </w:r>
    <w:r w:rsidRPr="003E3BE7">
      <w:rPr>
        <w:sz w:val="18"/>
      </w:rPr>
      <w:instrText xml:space="preserve"> DOCVARIABLE "SWDocIDLoc</w:instrText>
    </w:r>
    <w:r w:rsidRPr="003E3BE7">
      <w:rPr>
        <w:sz w:val="18"/>
      </w:rPr>
      <w:instrText xml:space="preserve">ation" </w:instrText>
    </w:r>
    <w:r w:rsidRPr="003E3BE7">
      <w:rPr>
        <w:sz w:val="18"/>
      </w:rPr>
      <w:fldChar w:fldCharType="separate"/>
    </w:r>
    <w:r>
      <w:rPr>
        <w:sz w:val="18"/>
      </w:rPr>
      <w:instrText>1</w:instrText>
    </w:r>
    <w:r w:rsidRPr="003E3BE7">
      <w:rPr>
        <w:sz w:val="18"/>
      </w:rPr>
      <w:fldChar w:fldCharType="end"/>
    </w:r>
    <w:r w:rsidRPr="003E3BE7">
      <w:rPr>
        <w:sz w:val="18"/>
      </w:rPr>
      <w:instrText>" = "1" "</w:instrText>
    </w:r>
    <w:r w:rsidRPr="003E3BE7">
      <w:rPr>
        <w:sz w:val="18"/>
      </w:rPr>
      <w:fldChar w:fldCharType="begin"/>
    </w:r>
    <w:r w:rsidRPr="003E3BE7">
      <w:rPr>
        <w:sz w:val="18"/>
      </w:rPr>
      <w:instrText xml:space="preserve"> DOCPROPERTY "SWDocID" </w:instrText>
    </w:r>
    <w:r w:rsidRPr="003E3BE7">
      <w:rPr>
        <w:sz w:val="18"/>
      </w:rPr>
      <w:fldChar w:fldCharType="separate"/>
    </w:r>
    <w:r>
      <w:rPr>
        <w:sz w:val="18"/>
      </w:rPr>
      <w:instrText>WBD (US) 49978596v4</w:instrText>
    </w:r>
    <w:r w:rsidRPr="003E3BE7">
      <w:rPr>
        <w:sz w:val="18"/>
      </w:rPr>
      <w:fldChar w:fldCharType="end"/>
    </w:r>
    <w:r w:rsidRPr="003E3BE7">
      <w:rPr>
        <w:sz w:val="18"/>
      </w:rPr>
      <w:instrText>" ""</w:instrText>
    </w:r>
    <w:r>
      <w:rPr>
        <w:sz w:val="18"/>
      </w:rPr>
      <w:instrText xml:space="preserve"> </w:instrText>
    </w:r>
    <w:r>
      <w:rPr>
        <w:sz w:val="18"/>
      </w:rPr>
      <w:fldChar w:fldCharType="separate"/>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7460E" w14:textId="77777777" w:rsidR="0046373B" w:rsidRDefault="00AE3C59" w:rsidP="00965DF2">
    <w:pPr>
      <w:pStyle w:val="Footer"/>
      <w:jc w:val="center"/>
      <w:rPr>
        <w:b/>
      </w:rPr>
    </w:pPr>
    <w:r>
      <w:rPr>
        <w:b/>
      </w:rPr>
      <w:t>###</w:t>
    </w:r>
  </w:p>
  <w:p w14:paraId="4BD77DFF" w14:textId="77777777" w:rsidR="00D3164B" w:rsidRDefault="00AE3C59" w:rsidP="0046373B">
    <w:pPr>
      <w:pStyle w:val="Foo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241E" w14:textId="77777777" w:rsidR="0046373B" w:rsidRDefault="00AE3C59">
    <w:pPr>
      <w:pStyle w:val="Footer"/>
    </w:pPr>
  </w:p>
  <w:p w14:paraId="55304B52" w14:textId="77777777" w:rsidR="0046373B" w:rsidRDefault="00AE3C59" w:rsidP="0046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FD931" w14:textId="77777777" w:rsidR="00977053" w:rsidRDefault="00977053" w:rsidP="00AD4CDF">
      <w:r>
        <w:separator/>
      </w:r>
    </w:p>
  </w:footnote>
  <w:footnote w:type="continuationSeparator" w:id="0">
    <w:p w14:paraId="67A2D097" w14:textId="77777777" w:rsidR="00977053" w:rsidRDefault="00977053" w:rsidP="00AD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A1D88" w14:textId="77777777" w:rsidR="00D3164B" w:rsidRPr="00AE3C59" w:rsidRDefault="00AE3C59" w:rsidP="006827C5">
    <w:pPr>
      <w:pStyle w:val="Header"/>
      <w:rPr>
        <w:b/>
        <w:noProof/>
        <w:color w:val="000000"/>
        <w:sz w:val="22"/>
        <w:lang w:eastAsia="zh-CN"/>
      </w:rPr>
    </w:pPr>
    <w:r w:rsidRPr="005777BA">
      <w:rPr>
        <w:b/>
        <w:noProof/>
      </w:rPr>
      <w:drawing>
        <wp:inline distT="0" distB="0" distL="0" distR="0" wp14:anchorId="2C77FB09" wp14:editId="11E648DC">
          <wp:extent cx="1892878" cy="501875"/>
          <wp:effectExtent l="19050" t="0" r="0" b="0"/>
          <wp:docPr id="2" name="Picture 2"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rsidRPr="00AE3C59">
      <w:rPr>
        <w:rFonts w:hint="eastAsia"/>
        <w:b/>
        <w:noProof/>
        <w:color w:val="000000"/>
        <w:sz w:val="22"/>
        <w:lang w:eastAsia="zh-CN"/>
      </w:rPr>
      <w:t xml:space="preserve"> </w:t>
    </w:r>
  </w:p>
  <w:p w14:paraId="141BD6E8" w14:textId="77777777" w:rsidR="007E7D5B" w:rsidRDefault="00AE3C59" w:rsidP="0068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C1131"/>
    <w:multiLevelType w:val="hybridMultilevel"/>
    <w:tmpl w:val="73BC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2"/>
  </w:docVars>
  <w:rsids>
    <w:rsidRoot w:val="00E07869"/>
    <w:rsid w:val="00003C83"/>
    <w:rsid w:val="000E30C4"/>
    <w:rsid w:val="000F767A"/>
    <w:rsid w:val="001301BB"/>
    <w:rsid w:val="00174311"/>
    <w:rsid w:val="001858E3"/>
    <w:rsid w:val="001B5E70"/>
    <w:rsid w:val="001C2135"/>
    <w:rsid w:val="001C25EB"/>
    <w:rsid w:val="001C39AE"/>
    <w:rsid w:val="00211E23"/>
    <w:rsid w:val="00214FD8"/>
    <w:rsid w:val="00265CFA"/>
    <w:rsid w:val="00294992"/>
    <w:rsid w:val="002A41C8"/>
    <w:rsid w:val="002B1F97"/>
    <w:rsid w:val="002D1D33"/>
    <w:rsid w:val="002D20A7"/>
    <w:rsid w:val="00305035"/>
    <w:rsid w:val="0034064F"/>
    <w:rsid w:val="003651CA"/>
    <w:rsid w:val="00371887"/>
    <w:rsid w:val="003C7D73"/>
    <w:rsid w:val="003E725F"/>
    <w:rsid w:val="004021AF"/>
    <w:rsid w:val="00436876"/>
    <w:rsid w:val="00483C1D"/>
    <w:rsid w:val="004B2565"/>
    <w:rsid w:val="004B66D3"/>
    <w:rsid w:val="0055346F"/>
    <w:rsid w:val="005A60D6"/>
    <w:rsid w:val="005A7CE4"/>
    <w:rsid w:val="005F293D"/>
    <w:rsid w:val="0064122F"/>
    <w:rsid w:val="00646C2A"/>
    <w:rsid w:val="00671944"/>
    <w:rsid w:val="006E63CF"/>
    <w:rsid w:val="0071639E"/>
    <w:rsid w:val="00744F63"/>
    <w:rsid w:val="00766E18"/>
    <w:rsid w:val="00781181"/>
    <w:rsid w:val="00784D51"/>
    <w:rsid w:val="0078615D"/>
    <w:rsid w:val="00793AD8"/>
    <w:rsid w:val="007D605D"/>
    <w:rsid w:val="0083588F"/>
    <w:rsid w:val="00855367"/>
    <w:rsid w:val="0085717D"/>
    <w:rsid w:val="00872FEF"/>
    <w:rsid w:val="008C3625"/>
    <w:rsid w:val="008E08C6"/>
    <w:rsid w:val="008F43B9"/>
    <w:rsid w:val="009242FA"/>
    <w:rsid w:val="00961066"/>
    <w:rsid w:val="00977053"/>
    <w:rsid w:val="00985A8A"/>
    <w:rsid w:val="009B418A"/>
    <w:rsid w:val="009E01BC"/>
    <w:rsid w:val="00A44059"/>
    <w:rsid w:val="00A63053"/>
    <w:rsid w:val="00A73872"/>
    <w:rsid w:val="00A74E48"/>
    <w:rsid w:val="00A85C3D"/>
    <w:rsid w:val="00A91980"/>
    <w:rsid w:val="00AC5B4D"/>
    <w:rsid w:val="00AD4CDF"/>
    <w:rsid w:val="00AE1B9B"/>
    <w:rsid w:val="00AE3C59"/>
    <w:rsid w:val="00B12BB9"/>
    <w:rsid w:val="00B461F1"/>
    <w:rsid w:val="00B73412"/>
    <w:rsid w:val="00BA7E98"/>
    <w:rsid w:val="00BB3618"/>
    <w:rsid w:val="00BF0B05"/>
    <w:rsid w:val="00C869CC"/>
    <w:rsid w:val="00CB65CF"/>
    <w:rsid w:val="00DC7A29"/>
    <w:rsid w:val="00E07869"/>
    <w:rsid w:val="00E1206F"/>
    <w:rsid w:val="00E52674"/>
    <w:rsid w:val="00E95465"/>
    <w:rsid w:val="00EE21B1"/>
    <w:rsid w:val="00EF577C"/>
    <w:rsid w:val="00F34EB9"/>
    <w:rsid w:val="00F56354"/>
    <w:rsid w:val="00F856F9"/>
    <w:rsid w:val="00FB2380"/>
    <w:rsid w:val="00FE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E8B895"/>
  <w15:chartTrackingRefBased/>
  <w15:docId w15:val="{35EF8834-1862-47F7-A419-3368D10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69"/>
    <w:pPr>
      <w:spacing w:after="160" w:line="259" w:lineRule="auto"/>
    </w:pPr>
    <w:rPr>
      <w:rFonts w:asciiTheme="minorHAnsi" w:hAnsiTheme="minorHAnsi"/>
    </w:rPr>
  </w:style>
  <w:style w:type="paragraph" w:styleId="Heading1">
    <w:name w:val="heading 1"/>
    <w:basedOn w:val="Normal"/>
    <w:next w:val="Normal"/>
    <w:link w:val="Heading1Char"/>
    <w:qFormat/>
    <w:rsid w:val="00AE3C59"/>
    <w:pPr>
      <w:keepNext/>
      <w:spacing w:before="240" w:after="60" w:line="240" w:lineRule="auto"/>
      <w:outlineLvl w:val="0"/>
    </w:pPr>
    <w:rPr>
      <w:rFonts w:ascii="Times New Roman" w:eastAsia="Times New Roman" w:hAnsi="Times New Roman" w:cs="Times New Roman"/>
      <w:b/>
      <w:bCs/>
      <w:kern w:val="32"/>
      <w:sz w:val="48"/>
      <w:szCs w:val="48"/>
    </w:rPr>
  </w:style>
  <w:style w:type="paragraph" w:styleId="Heading2">
    <w:name w:val="heading 2"/>
    <w:basedOn w:val="Normal"/>
    <w:next w:val="Normal"/>
    <w:link w:val="Heading2Char"/>
    <w:qFormat/>
    <w:rsid w:val="00AE3C59"/>
    <w:pPr>
      <w:keepNext/>
      <w:spacing w:before="240" w:after="60" w:line="240" w:lineRule="auto"/>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AE3C59"/>
    <w:pPr>
      <w:keepNext/>
      <w:spacing w:before="240" w:after="60" w:line="240" w:lineRule="auto"/>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AE3C59"/>
    <w:pPr>
      <w:keepNext/>
      <w:spacing w:before="240" w:after="6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E3C59"/>
    <w:pPr>
      <w:spacing w:before="240" w:after="60" w:line="240" w:lineRule="auto"/>
      <w:outlineLvl w:val="4"/>
    </w:pPr>
    <w:rPr>
      <w:rFonts w:ascii="Times New Roman" w:eastAsia="Times New Roman" w:hAnsi="Times New Roman" w:cs="Times New Roman"/>
      <w:b/>
      <w:bCs/>
      <w:iCs/>
      <w:sz w:val="20"/>
      <w:szCs w:val="20"/>
    </w:rPr>
  </w:style>
  <w:style w:type="paragraph" w:styleId="Heading6">
    <w:name w:val="heading 6"/>
    <w:basedOn w:val="Normal"/>
    <w:next w:val="Normal"/>
    <w:link w:val="Heading6Char"/>
    <w:qFormat/>
    <w:rsid w:val="00AE3C59"/>
    <w:pPr>
      <w:spacing w:before="240" w:after="60"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DF"/>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AD4CDF"/>
  </w:style>
  <w:style w:type="paragraph" w:styleId="Footer">
    <w:name w:val="footer"/>
    <w:basedOn w:val="Normal"/>
    <w:link w:val="FooterChar"/>
    <w:uiPriority w:val="99"/>
    <w:unhideWhenUsed/>
    <w:rsid w:val="00AD4CD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D4CDF"/>
  </w:style>
  <w:style w:type="table" w:styleId="TableGrid">
    <w:name w:val="Table Grid"/>
    <w:basedOn w:val="TableNormal"/>
    <w:uiPriority w:val="59"/>
    <w:rsid w:val="00E078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786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346F"/>
    <w:rPr>
      <w:sz w:val="16"/>
      <w:szCs w:val="16"/>
    </w:rPr>
  </w:style>
  <w:style w:type="paragraph" w:styleId="CommentText">
    <w:name w:val="annotation text"/>
    <w:basedOn w:val="Normal"/>
    <w:link w:val="CommentTextChar"/>
    <w:uiPriority w:val="99"/>
    <w:semiHidden/>
    <w:unhideWhenUsed/>
    <w:rsid w:val="0055346F"/>
    <w:pPr>
      <w:spacing w:line="240" w:lineRule="auto"/>
    </w:pPr>
    <w:rPr>
      <w:sz w:val="20"/>
      <w:szCs w:val="20"/>
    </w:rPr>
  </w:style>
  <w:style w:type="character" w:customStyle="1" w:styleId="CommentTextChar">
    <w:name w:val="Comment Text Char"/>
    <w:basedOn w:val="DefaultParagraphFont"/>
    <w:link w:val="CommentText"/>
    <w:uiPriority w:val="99"/>
    <w:semiHidden/>
    <w:rsid w:val="0055346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5346F"/>
    <w:rPr>
      <w:b/>
      <w:bCs/>
    </w:rPr>
  </w:style>
  <w:style w:type="character" w:customStyle="1" w:styleId="CommentSubjectChar">
    <w:name w:val="Comment Subject Char"/>
    <w:basedOn w:val="CommentTextChar"/>
    <w:link w:val="CommentSubject"/>
    <w:uiPriority w:val="99"/>
    <w:semiHidden/>
    <w:rsid w:val="0055346F"/>
    <w:rPr>
      <w:rFonts w:asciiTheme="minorHAnsi" w:hAnsiTheme="minorHAnsi"/>
      <w:b/>
      <w:bCs/>
      <w:sz w:val="20"/>
      <w:szCs w:val="20"/>
    </w:rPr>
  </w:style>
  <w:style w:type="paragraph" w:styleId="BalloonText">
    <w:name w:val="Balloon Text"/>
    <w:basedOn w:val="Normal"/>
    <w:link w:val="BalloonTextChar"/>
    <w:uiPriority w:val="99"/>
    <w:semiHidden/>
    <w:unhideWhenUsed/>
    <w:rsid w:val="0055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46F"/>
    <w:rPr>
      <w:rFonts w:ascii="Segoe UI" w:hAnsi="Segoe UI" w:cs="Segoe UI"/>
      <w:sz w:val="18"/>
      <w:szCs w:val="18"/>
    </w:rPr>
  </w:style>
  <w:style w:type="character" w:styleId="Hyperlink">
    <w:name w:val="Hyperlink"/>
    <w:basedOn w:val="DefaultParagraphFont"/>
    <w:uiPriority w:val="99"/>
    <w:semiHidden/>
    <w:unhideWhenUsed/>
    <w:rsid w:val="0055346F"/>
    <w:rPr>
      <w:color w:val="0000FF"/>
      <w:u w:val="single"/>
    </w:rPr>
  </w:style>
  <w:style w:type="character" w:styleId="FollowedHyperlink">
    <w:name w:val="FollowedHyperlink"/>
    <w:basedOn w:val="DefaultParagraphFont"/>
    <w:uiPriority w:val="99"/>
    <w:semiHidden/>
    <w:unhideWhenUsed/>
    <w:rsid w:val="006E63CF"/>
    <w:rPr>
      <w:color w:val="800080" w:themeColor="followedHyperlink"/>
      <w:u w:val="single"/>
    </w:rPr>
  </w:style>
  <w:style w:type="paragraph" w:styleId="FootnoteText">
    <w:name w:val="footnote text"/>
    <w:basedOn w:val="Normal"/>
    <w:link w:val="FootnoteTextChar"/>
    <w:uiPriority w:val="99"/>
    <w:semiHidden/>
    <w:unhideWhenUsed/>
    <w:rsid w:val="009E0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1BC"/>
    <w:rPr>
      <w:rFonts w:asciiTheme="minorHAnsi" w:hAnsiTheme="minorHAnsi"/>
      <w:sz w:val="20"/>
      <w:szCs w:val="20"/>
    </w:rPr>
  </w:style>
  <w:style w:type="character" w:styleId="FootnoteReference">
    <w:name w:val="footnote reference"/>
    <w:basedOn w:val="DefaultParagraphFont"/>
    <w:uiPriority w:val="99"/>
    <w:semiHidden/>
    <w:unhideWhenUsed/>
    <w:rsid w:val="009E01BC"/>
    <w:rPr>
      <w:vertAlign w:val="superscript"/>
    </w:rPr>
  </w:style>
  <w:style w:type="character" w:customStyle="1" w:styleId="Heading1Char">
    <w:name w:val="Heading 1 Char"/>
    <w:basedOn w:val="DefaultParagraphFont"/>
    <w:link w:val="Heading1"/>
    <w:rsid w:val="00AE3C59"/>
    <w:rPr>
      <w:rFonts w:ascii="Times New Roman" w:eastAsia="Times New Roman" w:hAnsi="Times New Roman" w:cs="Times New Roman"/>
      <w:b/>
      <w:bCs/>
      <w:kern w:val="32"/>
      <w:sz w:val="48"/>
      <w:szCs w:val="48"/>
    </w:rPr>
  </w:style>
  <w:style w:type="character" w:customStyle="1" w:styleId="Heading2Char">
    <w:name w:val="Heading 2 Char"/>
    <w:basedOn w:val="DefaultParagraphFont"/>
    <w:link w:val="Heading2"/>
    <w:rsid w:val="00AE3C59"/>
    <w:rPr>
      <w:rFonts w:ascii="Times New Roman" w:eastAsia="Times New Roman" w:hAnsi="Times New Roman" w:cs="Times New Roman"/>
      <w:b/>
      <w:bCs/>
      <w:iCs/>
      <w:sz w:val="36"/>
      <w:szCs w:val="36"/>
    </w:rPr>
  </w:style>
  <w:style w:type="character" w:customStyle="1" w:styleId="Heading3Char">
    <w:name w:val="Heading 3 Char"/>
    <w:basedOn w:val="DefaultParagraphFont"/>
    <w:link w:val="Heading3"/>
    <w:rsid w:val="00AE3C59"/>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rsid w:val="00AE3C5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E3C59"/>
    <w:rPr>
      <w:rFonts w:ascii="Times New Roman" w:eastAsia="Times New Roman" w:hAnsi="Times New Roman" w:cs="Times New Roman"/>
      <w:b/>
      <w:bCs/>
      <w:iCs/>
      <w:sz w:val="20"/>
      <w:szCs w:val="20"/>
    </w:rPr>
  </w:style>
  <w:style w:type="character" w:customStyle="1" w:styleId="Heading6Char">
    <w:name w:val="Heading 6 Char"/>
    <w:basedOn w:val="DefaultParagraphFont"/>
    <w:link w:val="Heading6"/>
    <w:rsid w:val="00AE3C59"/>
    <w:rPr>
      <w:rFonts w:ascii="Times New Roman" w:eastAsia="Times New Roman" w:hAnsi="Times New Roman" w:cs="Times New Roman"/>
      <w:b/>
      <w:bCs/>
      <w:sz w:val="16"/>
      <w:szCs w:val="16"/>
    </w:rPr>
  </w:style>
  <w:style w:type="numbering" w:customStyle="1" w:styleId="NoList1">
    <w:name w:val="No List1"/>
    <w:next w:val="NoList"/>
    <w:uiPriority w:val="99"/>
    <w:semiHidden/>
    <w:unhideWhenUsed/>
    <w:rsid w:val="00AE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247133">
      <w:bodyDiv w:val="1"/>
      <w:marLeft w:val="0"/>
      <w:marRight w:val="0"/>
      <w:marTop w:val="0"/>
      <w:marBottom w:val="0"/>
      <w:divBdr>
        <w:top w:val="none" w:sz="0" w:space="0" w:color="auto"/>
        <w:left w:val="none" w:sz="0" w:space="0" w:color="auto"/>
        <w:bottom w:val="none" w:sz="0" w:space="0" w:color="auto"/>
        <w:right w:val="none" w:sz="0" w:space="0" w:color="auto"/>
      </w:divBdr>
    </w:div>
    <w:div w:id="826477883">
      <w:bodyDiv w:val="1"/>
      <w:marLeft w:val="0"/>
      <w:marRight w:val="0"/>
      <w:marTop w:val="0"/>
      <w:marBottom w:val="0"/>
      <w:divBdr>
        <w:top w:val="none" w:sz="0" w:space="0" w:color="auto"/>
        <w:left w:val="none" w:sz="0" w:space="0" w:color="auto"/>
        <w:bottom w:val="none" w:sz="0" w:space="0" w:color="auto"/>
        <w:right w:val="none" w:sz="0" w:space="0" w:color="auto"/>
      </w:divBdr>
    </w:div>
    <w:div w:id="1028602731">
      <w:bodyDiv w:val="1"/>
      <w:marLeft w:val="0"/>
      <w:marRight w:val="0"/>
      <w:marTop w:val="0"/>
      <w:marBottom w:val="0"/>
      <w:divBdr>
        <w:top w:val="none" w:sz="0" w:space="0" w:color="auto"/>
        <w:left w:val="none" w:sz="0" w:space="0" w:color="auto"/>
        <w:bottom w:val="none" w:sz="0" w:space="0" w:color="auto"/>
        <w:right w:val="none" w:sz="0" w:space="0" w:color="auto"/>
      </w:divBdr>
    </w:div>
    <w:div w:id="15827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7281-B960-422C-B936-38324D15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42189</Words>
  <Characters>240478</Characters>
  <Application>Microsoft Office Word</Application>
  <DocSecurity>0</DocSecurity>
  <Lines>2003</Lines>
  <Paragraphs>564</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282103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Thomas</dc:creator>
  <cp:keywords/>
  <dc:description/>
  <cp:lastModifiedBy>Susan Reuland</cp:lastModifiedBy>
  <cp:revision>2</cp:revision>
  <cp:lastPrinted>2020-08-04T19:35:00Z</cp:lastPrinted>
  <dcterms:created xsi:type="dcterms:W3CDTF">2020-09-28T21:15:00Z</dcterms:created>
  <dcterms:modified xsi:type="dcterms:W3CDTF">2020-09-28T21:15:00Z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49773519v3</vt:lpwstr>
  </property>
</Properties>
</file>