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F978B" w14:textId="77777777" w:rsidR="004B3179" w:rsidRDefault="00766EB9">
      <w:pPr>
        <w:ind w:left="144" w:right="144"/>
        <w:rPr>
          <w:sz w:val="20"/>
          <w:szCs w:val="20"/>
        </w:rPr>
      </w:pPr>
      <w:r>
        <w:rPr>
          <w:sz w:val="20"/>
          <w:szCs w:val="20"/>
        </w:rPr>
        <w:t> </w:t>
      </w:r>
    </w:p>
    <w:p w14:paraId="3DD5AEE0" w14:textId="77777777" w:rsidR="004B3179" w:rsidRDefault="00766EB9">
      <w:pPr>
        <w:ind w:left="144" w:right="144"/>
        <w:rPr>
          <w:sz w:val="20"/>
          <w:szCs w:val="20"/>
        </w:rPr>
      </w:pPr>
      <w:r>
        <w:rPr>
          <w:sz w:val="20"/>
          <w:szCs w:val="20"/>
        </w:rPr>
        <w:t> </w:t>
      </w:r>
    </w:p>
    <w:p w14:paraId="49A2991F" w14:textId="77777777" w:rsidR="004B3179" w:rsidRDefault="00766EB9">
      <w:pPr>
        <w:ind w:left="144" w:right="144"/>
        <w:jc w:val="center"/>
        <w:rPr>
          <w:sz w:val="36"/>
          <w:szCs w:val="36"/>
        </w:rPr>
      </w:pPr>
      <w:r>
        <w:rPr>
          <w:b/>
          <w:bCs/>
          <w:sz w:val="36"/>
          <w:szCs w:val="36"/>
        </w:rPr>
        <w:t>SECURITIES AND EXCHANGE COMMISSION</w:t>
      </w:r>
    </w:p>
    <w:p w14:paraId="7DD91A9E" w14:textId="77777777" w:rsidR="004B3179" w:rsidRDefault="00766EB9">
      <w:pPr>
        <w:ind w:left="144" w:right="144"/>
        <w:jc w:val="center"/>
        <w:rPr>
          <w:sz w:val="20"/>
          <w:szCs w:val="20"/>
        </w:rPr>
      </w:pPr>
      <w:r>
        <w:rPr>
          <w:b/>
          <w:bCs/>
          <w:sz w:val="20"/>
          <w:szCs w:val="20"/>
        </w:rPr>
        <w:t>WASHINGTON, D.C. 20549</w:t>
      </w:r>
      <w:r>
        <w:rPr>
          <w:sz w:val="20"/>
          <w:szCs w:val="20"/>
        </w:rPr>
        <w:t> </w:t>
      </w:r>
    </w:p>
    <w:p w14:paraId="0CDF0FDF" w14:textId="77777777" w:rsidR="004B3179" w:rsidRDefault="00766EB9">
      <w:pPr>
        <w:ind w:left="144" w:right="144"/>
        <w:jc w:val="center"/>
        <w:rPr>
          <w:sz w:val="20"/>
          <w:szCs w:val="20"/>
        </w:rPr>
      </w:pPr>
      <w:r>
        <w:rPr>
          <w:sz w:val="20"/>
          <w:szCs w:val="20"/>
        </w:rPr>
        <w:t> </w:t>
      </w:r>
    </w:p>
    <w:p w14:paraId="647083D9" w14:textId="77777777" w:rsidR="004B3179" w:rsidRDefault="004462C3">
      <w:pPr>
        <w:spacing w:before="60" w:after="60"/>
        <w:ind w:left="144" w:right="144"/>
        <w:jc w:val="center"/>
        <w:rPr>
          <w:color w:val="000000"/>
          <w:sz w:val="20"/>
          <w:szCs w:val="20"/>
        </w:rPr>
      </w:pPr>
      <w:r>
        <w:pict w14:anchorId="74A1C624">
          <v:rect id="_x0000_i1025" style="width:117pt;height:.75pt" o:hrpct="250" o:hralign="center" o:hrstd="t" o:hrnoshade="t" o:hr="t" fillcolor="gray" stroked="f">
            <v:path strokeok="f"/>
          </v:rect>
        </w:pict>
      </w:r>
    </w:p>
    <w:p w14:paraId="4B7F119E" w14:textId="77777777" w:rsidR="004B3179" w:rsidRDefault="00766EB9">
      <w:pPr>
        <w:ind w:left="144" w:right="144"/>
        <w:jc w:val="center"/>
        <w:rPr>
          <w:sz w:val="20"/>
          <w:szCs w:val="20"/>
        </w:rPr>
      </w:pPr>
      <w:r>
        <w:rPr>
          <w:sz w:val="20"/>
          <w:szCs w:val="20"/>
        </w:rPr>
        <w:t> </w:t>
      </w:r>
    </w:p>
    <w:p w14:paraId="64D3C8EA" w14:textId="77777777" w:rsidR="004B3179" w:rsidRDefault="00766EB9">
      <w:pPr>
        <w:ind w:left="144" w:right="144"/>
        <w:jc w:val="center"/>
        <w:rPr>
          <w:sz w:val="36"/>
          <w:szCs w:val="36"/>
        </w:rPr>
      </w:pPr>
      <w:r>
        <w:rPr>
          <w:b/>
          <w:bCs/>
          <w:sz w:val="36"/>
          <w:szCs w:val="36"/>
        </w:rPr>
        <w:t>FORM 8-K</w:t>
      </w:r>
    </w:p>
    <w:p w14:paraId="2BCFB624" w14:textId="77777777" w:rsidR="004B3179" w:rsidRDefault="00766EB9">
      <w:pPr>
        <w:ind w:left="144" w:right="144"/>
        <w:rPr>
          <w:sz w:val="20"/>
          <w:szCs w:val="20"/>
        </w:rPr>
      </w:pPr>
      <w:r>
        <w:rPr>
          <w:sz w:val="20"/>
          <w:szCs w:val="20"/>
        </w:rPr>
        <w:t> </w:t>
      </w:r>
    </w:p>
    <w:p w14:paraId="5A8B4397" w14:textId="77777777" w:rsidR="004B3179" w:rsidRDefault="00766EB9">
      <w:pPr>
        <w:ind w:left="144" w:right="144"/>
        <w:jc w:val="center"/>
        <w:rPr>
          <w:sz w:val="20"/>
          <w:szCs w:val="20"/>
        </w:rPr>
      </w:pPr>
      <w:r>
        <w:rPr>
          <w:b/>
          <w:bCs/>
          <w:sz w:val="20"/>
          <w:szCs w:val="20"/>
        </w:rPr>
        <w:t>CURRENT REPORT</w:t>
      </w:r>
    </w:p>
    <w:p w14:paraId="2BACE0C2" w14:textId="77777777" w:rsidR="004B3179" w:rsidRDefault="00766EB9">
      <w:pPr>
        <w:ind w:left="144" w:right="144"/>
        <w:jc w:val="center"/>
        <w:rPr>
          <w:sz w:val="20"/>
          <w:szCs w:val="20"/>
        </w:rPr>
      </w:pPr>
      <w:r>
        <w:rPr>
          <w:b/>
          <w:bCs/>
          <w:sz w:val="20"/>
          <w:szCs w:val="20"/>
        </w:rPr>
        <w:t>Pursuant to Section 13 or 15(d) of the</w:t>
      </w:r>
    </w:p>
    <w:p w14:paraId="22373158" w14:textId="77777777" w:rsidR="004B3179" w:rsidRDefault="00766EB9">
      <w:pPr>
        <w:ind w:left="144" w:right="144"/>
        <w:jc w:val="center"/>
        <w:rPr>
          <w:sz w:val="20"/>
          <w:szCs w:val="20"/>
        </w:rPr>
      </w:pPr>
      <w:r>
        <w:rPr>
          <w:b/>
          <w:bCs/>
          <w:sz w:val="20"/>
          <w:szCs w:val="20"/>
        </w:rPr>
        <w:t>Securities Exchange Act of 1934</w:t>
      </w:r>
    </w:p>
    <w:p w14:paraId="3A6CBFA8" w14:textId="77777777" w:rsidR="004B3179" w:rsidRDefault="00766EB9">
      <w:pPr>
        <w:ind w:left="144" w:right="144"/>
        <w:rPr>
          <w:sz w:val="20"/>
          <w:szCs w:val="20"/>
        </w:rPr>
      </w:pPr>
      <w:r>
        <w:rPr>
          <w:sz w:val="20"/>
          <w:szCs w:val="20"/>
        </w:rPr>
        <w:t> </w:t>
      </w:r>
    </w:p>
    <w:p w14:paraId="79015CD4" w14:textId="7FB17279" w:rsidR="004B3179" w:rsidRDefault="00766EB9">
      <w:pPr>
        <w:ind w:left="144" w:right="144"/>
        <w:jc w:val="center"/>
        <w:rPr>
          <w:sz w:val="20"/>
          <w:szCs w:val="20"/>
        </w:rPr>
      </w:pPr>
      <w:r>
        <w:rPr>
          <w:b/>
          <w:bCs/>
          <w:sz w:val="20"/>
          <w:szCs w:val="20"/>
        </w:rPr>
        <w:t>Date of report (Date of earliest event reported):  </w:t>
      </w:r>
      <w:r w:rsidR="001E3B26">
        <w:rPr>
          <w:b/>
          <w:bCs/>
          <w:sz w:val="20"/>
          <w:szCs w:val="20"/>
        </w:rPr>
        <w:t>November</w:t>
      </w:r>
      <w:r>
        <w:rPr>
          <w:b/>
          <w:bCs/>
          <w:sz w:val="20"/>
          <w:szCs w:val="20"/>
        </w:rPr>
        <w:t xml:space="preserve"> 2</w:t>
      </w:r>
      <w:r w:rsidR="001E3B26">
        <w:rPr>
          <w:b/>
          <w:bCs/>
          <w:sz w:val="20"/>
          <w:szCs w:val="20"/>
        </w:rPr>
        <w:t>5</w:t>
      </w:r>
      <w:r>
        <w:rPr>
          <w:b/>
          <w:bCs/>
          <w:sz w:val="20"/>
          <w:szCs w:val="20"/>
        </w:rPr>
        <w:t>, 2020</w:t>
      </w:r>
      <w:r>
        <w:rPr>
          <w:sz w:val="20"/>
          <w:szCs w:val="20"/>
        </w:rPr>
        <w:t> </w:t>
      </w:r>
    </w:p>
    <w:p w14:paraId="44533830" w14:textId="77777777" w:rsidR="004B3179" w:rsidRDefault="00766EB9">
      <w:pPr>
        <w:ind w:left="144" w:right="144"/>
        <w:jc w:val="center"/>
        <w:rPr>
          <w:sz w:val="20"/>
          <w:szCs w:val="20"/>
        </w:rPr>
      </w:pPr>
      <w:r>
        <w:rPr>
          <w:sz w:val="20"/>
          <w:szCs w:val="20"/>
        </w:rPr>
        <w:t> </w:t>
      </w:r>
    </w:p>
    <w:p w14:paraId="479F56FD" w14:textId="77777777" w:rsidR="004B3179" w:rsidRDefault="004462C3">
      <w:pPr>
        <w:spacing w:before="60" w:after="60"/>
        <w:ind w:left="144" w:right="144"/>
        <w:jc w:val="center"/>
        <w:rPr>
          <w:color w:val="000000"/>
          <w:sz w:val="20"/>
          <w:szCs w:val="20"/>
        </w:rPr>
      </w:pPr>
      <w:r>
        <w:pict w14:anchorId="7D3B4D82">
          <v:rect id="_x0000_i1026" style="width:117pt;height:.75pt" o:hrpct="250" o:hralign="center" o:hrstd="t" o:hrnoshade="t" o:hr="t" fillcolor="gray" stroked="f">
            <v:path strokeok="f"/>
          </v:rect>
        </w:pict>
      </w:r>
    </w:p>
    <w:p w14:paraId="46D901AD" w14:textId="77777777" w:rsidR="004B3179" w:rsidRDefault="00766EB9">
      <w:pPr>
        <w:ind w:left="144" w:right="144"/>
        <w:jc w:val="center"/>
        <w:rPr>
          <w:sz w:val="20"/>
          <w:szCs w:val="20"/>
        </w:rPr>
      </w:pPr>
      <w:r>
        <w:rPr>
          <w:sz w:val="20"/>
          <w:szCs w:val="20"/>
        </w:rPr>
        <w:t> </w:t>
      </w:r>
    </w:p>
    <w:p w14:paraId="0E22148E" w14:textId="77777777" w:rsidR="004B3179" w:rsidRDefault="00766EB9">
      <w:pPr>
        <w:ind w:left="144" w:right="144"/>
        <w:jc w:val="center"/>
        <w:rPr>
          <w:sz w:val="36"/>
          <w:szCs w:val="36"/>
        </w:rPr>
      </w:pPr>
      <w:r>
        <w:rPr>
          <w:b/>
          <w:bCs/>
          <w:sz w:val="36"/>
          <w:szCs w:val="36"/>
        </w:rPr>
        <w:t>GEOVAX LABS, INC.</w:t>
      </w:r>
    </w:p>
    <w:p w14:paraId="4C7B42BC" w14:textId="77777777" w:rsidR="004B3179" w:rsidRDefault="00766EB9">
      <w:pPr>
        <w:ind w:left="144" w:right="144"/>
        <w:jc w:val="center"/>
        <w:rPr>
          <w:sz w:val="20"/>
          <w:szCs w:val="20"/>
        </w:rPr>
      </w:pPr>
      <w:r>
        <w:rPr>
          <w:b/>
          <w:bCs/>
          <w:sz w:val="20"/>
          <w:szCs w:val="20"/>
        </w:rPr>
        <w:t>(Exact name of registrant as specified in its charter)</w:t>
      </w:r>
    </w:p>
    <w:p w14:paraId="2FBBF426"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4B3179" w14:paraId="1E82631A" w14:textId="77777777">
        <w:tc>
          <w:tcPr>
            <w:tcW w:w="1600" w:type="pct"/>
            <w:tcMar>
              <w:top w:w="5" w:type="dxa"/>
              <w:left w:w="5" w:type="dxa"/>
              <w:bottom w:w="5" w:type="dxa"/>
              <w:right w:w="5" w:type="dxa"/>
            </w:tcMar>
            <w:hideMark/>
          </w:tcPr>
          <w:p w14:paraId="58922514" w14:textId="77777777" w:rsidR="004B3179" w:rsidRDefault="00766EB9">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79A550D8"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561B73D7" w14:textId="77777777" w:rsidR="004B3179" w:rsidRDefault="00766EB9">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7637E53B"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5961F860" w14:textId="77777777" w:rsidR="004B3179" w:rsidRDefault="00766EB9">
            <w:pPr>
              <w:jc w:val="center"/>
              <w:rPr>
                <w:color w:val="000000"/>
                <w:sz w:val="20"/>
                <w:szCs w:val="20"/>
              </w:rPr>
            </w:pPr>
            <w:r>
              <w:rPr>
                <w:b/>
                <w:bCs/>
                <w:color w:val="000000"/>
                <w:sz w:val="20"/>
                <w:szCs w:val="20"/>
              </w:rPr>
              <w:t>87-0455038</w:t>
            </w:r>
          </w:p>
        </w:tc>
      </w:tr>
      <w:tr w:rsidR="004B3179" w14:paraId="09074AA8" w14:textId="77777777">
        <w:tc>
          <w:tcPr>
            <w:tcW w:w="1600" w:type="pct"/>
            <w:tcMar>
              <w:top w:w="5" w:type="dxa"/>
              <w:left w:w="5" w:type="dxa"/>
              <w:bottom w:w="5" w:type="dxa"/>
              <w:right w:w="5" w:type="dxa"/>
            </w:tcMar>
            <w:hideMark/>
          </w:tcPr>
          <w:p w14:paraId="0B20A953" w14:textId="77777777" w:rsidR="004B3179" w:rsidRDefault="00766EB9">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7F0C9690" w14:textId="77777777" w:rsidR="004B3179" w:rsidRDefault="00766EB9">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20F9021C"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BD29FF3" w14:textId="77777777" w:rsidR="004B3179" w:rsidRDefault="00766EB9">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2A4EF476" w14:textId="77777777" w:rsidR="004B3179" w:rsidRDefault="00766EB9">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32051BC6" w14:textId="77777777" w:rsidR="004B3179" w:rsidRDefault="00766EB9">
            <w:pPr>
              <w:jc w:val="center"/>
              <w:rPr>
                <w:color w:val="000000"/>
                <w:sz w:val="20"/>
                <w:szCs w:val="20"/>
              </w:rPr>
            </w:pPr>
            <w:r>
              <w:rPr>
                <w:b/>
                <w:bCs/>
                <w:color w:val="000000"/>
                <w:sz w:val="20"/>
                <w:szCs w:val="20"/>
              </w:rPr>
              <w:t>(IRS Employee Identification No.)</w:t>
            </w:r>
          </w:p>
        </w:tc>
      </w:tr>
    </w:tbl>
    <w:p w14:paraId="77C7CCB2" w14:textId="77777777" w:rsidR="004B3179" w:rsidRDefault="00766EB9">
      <w:pPr>
        <w:ind w:left="144" w:right="144"/>
        <w:rPr>
          <w:sz w:val="20"/>
          <w:szCs w:val="20"/>
        </w:rPr>
      </w:pPr>
      <w:r>
        <w:rPr>
          <w:sz w:val="20"/>
          <w:szCs w:val="20"/>
        </w:rPr>
        <w:t> </w:t>
      </w:r>
    </w:p>
    <w:p w14:paraId="4704B54F" w14:textId="77777777" w:rsidR="004B3179" w:rsidRDefault="00766EB9">
      <w:pPr>
        <w:ind w:left="144" w:right="144"/>
        <w:jc w:val="center"/>
        <w:rPr>
          <w:sz w:val="20"/>
          <w:szCs w:val="20"/>
        </w:rPr>
      </w:pPr>
      <w:r>
        <w:rPr>
          <w:b/>
          <w:bCs/>
          <w:sz w:val="20"/>
          <w:szCs w:val="20"/>
        </w:rPr>
        <w:t>1900 Lake Park Drive, Suite 380</w:t>
      </w:r>
    </w:p>
    <w:p w14:paraId="1AAC803A" w14:textId="77777777" w:rsidR="004B3179" w:rsidRDefault="00766EB9">
      <w:pPr>
        <w:ind w:left="144" w:right="144"/>
        <w:jc w:val="center"/>
        <w:rPr>
          <w:sz w:val="20"/>
          <w:szCs w:val="20"/>
        </w:rPr>
      </w:pPr>
      <w:r>
        <w:rPr>
          <w:b/>
          <w:bCs/>
          <w:sz w:val="20"/>
          <w:szCs w:val="20"/>
        </w:rPr>
        <w:t>Smyrna, Georgia 30080</w:t>
      </w:r>
    </w:p>
    <w:p w14:paraId="66BFF374" w14:textId="77777777" w:rsidR="004B3179" w:rsidRDefault="00766EB9">
      <w:pPr>
        <w:ind w:left="144" w:right="144"/>
        <w:jc w:val="center"/>
        <w:rPr>
          <w:sz w:val="20"/>
          <w:szCs w:val="20"/>
        </w:rPr>
      </w:pPr>
      <w:r>
        <w:rPr>
          <w:b/>
          <w:bCs/>
          <w:sz w:val="20"/>
          <w:szCs w:val="20"/>
        </w:rPr>
        <w:t>(Address of principal executive offices) (Zip code)</w:t>
      </w:r>
    </w:p>
    <w:p w14:paraId="6CEBA6CB" w14:textId="77777777" w:rsidR="004B3179" w:rsidRDefault="00766EB9">
      <w:pPr>
        <w:ind w:left="144" w:right="144"/>
        <w:rPr>
          <w:sz w:val="20"/>
          <w:szCs w:val="20"/>
        </w:rPr>
      </w:pPr>
      <w:r>
        <w:rPr>
          <w:sz w:val="20"/>
          <w:szCs w:val="20"/>
        </w:rPr>
        <w:t> </w:t>
      </w:r>
    </w:p>
    <w:p w14:paraId="276AAB0A" w14:textId="77777777" w:rsidR="004B3179" w:rsidRDefault="00766EB9">
      <w:pPr>
        <w:ind w:left="144" w:right="144"/>
        <w:jc w:val="center"/>
        <w:rPr>
          <w:sz w:val="20"/>
          <w:szCs w:val="20"/>
        </w:rPr>
      </w:pPr>
      <w:r>
        <w:rPr>
          <w:b/>
          <w:bCs/>
          <w:sz w:val="20"/>
          <w:szCs w:val="20"/>
        </w:rPr>
        <w:t>(678) 384-7220</w:t>
      </w:r>
    </w:p>
    <w:p w14:paraId="42306AAF" w14:textId="77777777" w:rsidR="004B3179" w:rsidRDefault="00766EB9">
      <w:pPr>
        <w:ind w:left="144" w:right="144"/>
        <w:jc w:val="center"/>
        <w:rPr>
          <w:sz w:val="20"/>
          <w:szCs w:val="20"/>
        </w:rPr>
      </w:pPr>
      <w:r>
        <w:rPr>
          <w:b/>
          <w:bCs/>
          <w:sz w:val="20"/>
          <w:szCs w:val="20"/>
        </w:rPr>
        <w:t>(Registrant’s telephone number, including area code)</w:t>
      </w:r>
    </w:p>
    <w:p w14:paraId="5679A36C" w14:textId="77777777" w:rsidR="004B3179" w:rsidRDefault="00766EB9">
      <w:pPr>
        <w:ind w:left="144" w:right="144"/>
        <w:rPr>
          <w:sz w:val="20"/>
          <w:szCs w:val="20"/>
        </w:rPr>
      </w:pPr>
      <w:r>
        <w:rPr>
          <w:sz w:val="20"/>
          <w:szCs w:val="20"/>
        </w:rPr>
        <w:t>  </w:t>
      </w:r>
    </w:p>
    <w:p w14:paraId="137F5D00" w14:textId="77777777" w:rsidR="004B3179" w:rsidRDefault="00766EB9">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181F78A8" w14:textId="77777777" w:rsidR="004B3179" w:rsidRDefault="00766EB9">
      <w:pPr>
        <w:ind w:left="144" w:right="144"/>
        <w:rPr>
          <w:sz w:val="20"/>
          <w:szCs w:val="20"/>
        </w:rPr>
      </w:pPr>
      <w:r>
        <w:rPr>
          <w:sz w:val="20"/>
          <w:szCs w:val="20"/>
        </w:rPr>
        <w:t> </w:t>
      </w:r>
    </w:p>
    <w:p w14:paraId="0A648C97"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4E72423D" w14:textId="77777777" w:rsidR="004B3179" w:rsidRDefault="00766EB9">
      <w:pPr>
        <w:ind w:left="144" w:right="144"/>
        <w:rPr>
          <w:sz w:val="20"/>
          <w:szCs w:val="20"/>
        </w:rPr>
      </w:pPr>
      <w:r>
        <w:rPr>
          <w:sz w:val="20"/>
          <w:szCs w:val="20"/>
        </w:rPr>
        <w:t> </w:t>
      </w:r>
    </w:p>
    <w:p w14:paraId="1063FFA5"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67531C7B" w14:textId="77777777" w:rsidR="004B3179" w:rsidRDefault="00766EB9">
      <w:pPr>
        <w:ind w:left="144" w:right="144"/>
        <w:rPr>
          <w:sz w:val="20"/>
          <w:szCs w:val="20"/>
        </w:rPr>
      </w:pPr>
      <w:r>
        <w:rPr>
          <w:sz w:val="20"/>
          <w:szCs w:val="20"/>
        </w:rPr>
        <w:t> </w:t>
      </w:r>
    </w:p>
    <w:p w14:paraId="7A7875B8" w14:textId="77777777" w:rsidR="004B3179" w:rsidRDefault="00766EB9">
      <w:pPr>
        <w:ind w:left="144" w:right="144"/>
        <w:rPr>
          <w:sz w:val="20"/>
          <w:szCs w:val="20"/>
        </w:rPr>
      </w:pPr>
      <w:r>
        <w:rPr>
          <w:rFonts w:ascii="Segoe UI Symbol" w:eastAsia="Segoe UI Symbol" w:hAnsi="Segoe UI Symbol" w:cs="Segoe UI Symbol"/>
          <w:sz w:val="20"/>
          <w:szCs w:val="20"/>
        </w:rPr>
        <w:lastRenderedPageBreak/>
        <w:t>☐</w:t>
      </w:r>
      <w:r>
        <w:rPr>
          <w:sz w:val="20"/>
          <w:szCs w:val="20"/>
        </w:rPr>
        <w:t xml:space="preserve"> Pre-commencement communications pursuant to Rule 14d-2(b) under the Exchange Act (17 CFR 240.14d-2(b)).</w:t>
      </w:r>
    </w:p>
    <w:p w14:paraId="7A490847" w14:textId="77777777" w:rsidR="004B3179" w:rsidRDefault="00766EB9">
      <w:pPr>
        <w:ind w:left="144" w:right="144"/>
        <w:rPr>
          <w:sz w:val="20"/>
          <w:szCs w:val="20"/>
        </w:rPr>
      </w:pPr>
      <w:r>
        <w:rPr>
          <w:sz w:val="20"/>
          <w:szCs w:val="20"/>
        </w:rPr>
        <w:t> </w:t>
      </w:r>
    </w:p>
    <w:p w14:paraId="5ECF967C" w14:textId="77777777" w:rsidR="004B3179" w:rsidRDefault="00766EB9">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5CCCF547" w14:textId="77777777" w:rsidR="004B3179" w:rsidRDefault="00766EB9">
      <w:pPr>
        <w:ind w:left="144" w:right="144"/>
        <w:rPr>
          <w:sz w:val="20"/>
          <w:szCs w:val="20"/>
        </w:rPr>
      </w:pPr>
      <w:r>
        <w:rPr>
          <w:sz w:val="20"/>
          <w:szCs w:val="20"/>
        </w:rPr>
        <w:t> </w:t>
      </w:r>
    </w:p>
    <w:p w14:paraId="3DEA83A7" w14:textId="77777777" w:rsidR="004B3179" w:rsidRDefault="00766EB9">
      <w:pPr>
        <w:ind w:left="144" w:right="144"/>
        <w:rPr>
          <w:sz w:val="20"/>
          <w:szCs w:val="20"/>
        </w:rPr>
      </w:pPr>
      <w:r>
        <w:rPr>
          <w:sz w:val="20"/>
          <w:szCs w:val="20"/>
        </w:rPr>
        <w:t>Securities registered pursuant to Section 12(b) of the Act:</w:t>
      </w:r>
    </w:p>
    <w:p w14:paraId="68C975DB" w14:textId="77777777" w:rsidR="004B3179" w:rsidRDefault="00766EB9">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4B3179" w14:paraId="5735506A" w14:textId="77777777">
        <w:tc>
          <w:tcPr>
            <w:tcW w:w="2050" w:type="pct"/>
            <w:tcBorders>
              <w:bottom w:val="single" w:sz="6" w:space="0" w:color="000000"/>
            </w:tcBorders>
            <w:tcMar>
              <w:top w:w="5" w:type="dxa"/>
              <w:left w:w="5" w:type="dxa"/>
              <w:bottom w:w="8" w:type="dxa"/>
              <w:right w:w="5" w:type="dxa"/>
            </w:tcMar>
            <w:vAlign w:val="bottom"/>
            <w:hideMark/>
          </w:tcPr>
          <w:p w14:paraId="13BB4ABF" w14:textId="77777777" w:rsidR="004B3179" w:rsidRDefault="00766EB9">
            <w:pPr>
              <w:jc w:val="center"/>
              <w:rPr>
                <w:color w:val="000000"/>
                <w:sz w:val="20"/>
                <w:szCs w:val="20"/>
              </w:rPr>
            </w:pPr>
            <w:r>
              <w:rPr>
                <w:color w:val="000000"/>
                <w:sz w:val="20"/>
                <w:szCs w:val="20"/>
              </w:rPr>
              <w:t>Title of each class</w:t>
            </w:r>
          </w:p>
        </w:tc>
        <w:tc>
          <w:tcPr>
            <w:tcW w:w="900" w:type="pct"/>
            <w:tcBorders>
              <w:bottom w:val="single" w:sz="6" w:space="0" w:color="000000"/>
            </w:tcBorders>
            <w:tcMar>
              <w:top w:w="5" w:type="dxa"/>
              <w:left w:w="5" w:type="dxa"/>
              <w:bottom w:w="8" w:type="dxa"/>
              <w:right w:w="5" w:type="dxa"/>
            </w:tcMar>
            <w:vAlign w:val="bottom"/>
            <w:hideMark/>
          </w:tcPr>
          <w:p w14:paraId="132F425A" w14:textId="77777777" w:rsidR="004B3179" w:rsidRDefault="00766EB9">
            <w:pPr>
              <w:jc w:val="center"/>
              <w:rPr>
                <w:color w:val="000000"/>
                <w:sz w:val="20"/>
                <w:szCs w:val="20"/>
              </w:rPr>
            </w:pPr>
            <w:r>
              <w:rPr>
                <w:color w:val="000000"/>
                <w:sz w:val="20"/>
                <w:szCs w:val="20"/>
              </w:rPr>
              <w:t>Trading</w:t>
            </w:r>
          </w:p>
          <w:p w14:paraId="17113CAE" w14:textId="77777777" w:rsidR="004B3179" w:rsidRDefault="00766EB9">
            <w:pPr>
              <w:jc w:val="center"/>
              <w:rPr>
                <w:color w:val="000000"/>
                <w:sz w:val="20"/>
                <w:szCs w:val="20"/>
              </w:rPr>
            </w:pPr>
            <w:r>
              <w:rPr>
                <w:color w:val="000000"/>
                <w:sz w:val="20"/>
                <w:szCs w:val="20"/>
              </w:rPr>
              <w:t>Symbol(s)</w:t>
            </w:r>
          </w:p>
        </w:tc>
        <w:tc>
          <w:tcPr>
            <w:tcW w:w="2050" w:type="pct"/>
            <w:tcBorders>
              <w:bottom w:val="single" w:sz="6" w:space="0" w:color="000000"/>
            </w:tcBorders>
            <w:tcMar>
              <w:top w:w="5" w:type="dxa"/>
              <w:left w:w="5" w:type="dxa"/>
              <w:bottom w:w="8" w:type="dxa"/>
              <w:right w:w="5" w:type="dxa"/>
            </w:tcMar>
            <w:vAlign w:val="bottom"/>
            <w:hideMark/>
          </w:tcPr>
          <w:p w14:paraId="0B51ABB7" w14:textId="77777777" w:rsidR="004B3179" w:rsidRDefault="00766EB9">
            <w:pPr>
              <w:jc w:val="center"/>
              <w:rPr>
                <w:color w:val="000000"/>
                <w:sz w:val="20"/>
                <w:szCs w:val="20"/>
              </w:rPr>
            </w:pPr>
            <w:r>
              <w:rPr>
                <w:color w:val="000000"/>
                <w:sz w:val="20"/>
                <w:szCs w:val="20"/>
              </w:rPr>
              <w:t>Name of each exchange on which registered</w:t>
            </w:r>
          </w:p>
        </w:tc>
      </w:tr>
      <w:tr w:rsidR="004B3179" w14:paraId="18A54CB2" w14:textId="77777777">
        <w:tc>
          <w:tcPr>
            <w:tcW w:w="2050" w:type="pct"/>
            <w:tcMar>
              <w:top w:w="5" w:type="dxa"/>
              <w:left w:w="5" w:type="dxa"/>
              <w:bottom w:w="5" w:type="dxa"/>
              <w:right w:w="5" w:type="dxa"/>
            </w:tcMar>
            <w:vAlign w:val="center"/>
            <w:hideMark/>
          </w:tcPr>
          <w:p w14:paraId="335AD08B" w14:textId="77777777" w:rsidR="004B3179" w:rsidRDefault="00766EB9">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3DFF3CC3" w14:textId="77777777" w:rsidR="004B3179" w:rsidRDefault="00766EB9">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03CADDA2" w14:textId="77777777" w:rsidR="004B3179" w:rsidRDefault="00766EB9">
            <w:pPr>
              <w:jc w:val="center"/>
              <w:rPr>
                <w:color w:val="000000"/>
                <w:sz w:val="20"/>
                <w:szCs w:val="20"/>
              </w:rPr>
            </w:pPr>
            <w:r>
              <w:rPr>
                <w:color w:val="000000"/>
                <w:sz w:val="20"/>
                <w:szCs w:val="20"/>
              </w:rPr>
              <w:t>The Nasdaq Capital Market</w:t>
            </w:r>
          </w:p>
        </w:tc>
      </w:tr>
      <w:tr w:rsidR="004B3179" w14:paraId="6E603B66" w14:textId="77777777">
        <w:tc>
          <w:tcPr>
            <w:tcW w:w="2050" w:type="pct"/>
            <w:tcMar>
              <w:top w:w="5" w:type="dxa"/>
              <w:left w:w="5" w:type="dxa"/>
              <w:bottom w:w="5" w:type="dxa"/>
              <w:right w:w="5" w:type="dxa"/>
            </w:tcMar>
            <w:vAlign w:val="center"/>
            <w:hideMark/>
          </w:tcPr>
          <w:p w14:paraId="187C0F06" w14:textId="77777777" w:rsidR="004B3179" w:rsidRDefault="00766EB9">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6A592228" w14:textId="77777777" w:rsidR="004B3179" w:rsidRDefault="00766EB9">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78805595" w14:textId="77777777" w:rsidR="004B3179" w:rsidRDefault="00766EB9">
            <w:pPr>
              <w:jc w:val="center"/>
              <w:rPr>
                <w:color w:val="000000"/>
                <w:sz w:val="20"/>
                <w:szCs w:val="20"/>
              </w:rPr>
            </w:pPr>
            <w:r>
              <w:rPr>
                <w:color w:val="000000"/>
                <w:sz w:val="20"/>
                <w:szCs w:val="20"/>
              </w:rPr>
              <w:t>The Nasdaq Capital Market</w:t>
            </w:r>
          </w:p>
        </w:tc>
      </w:tr>
    </w:tbl>
    <w:p w14:paraId="7CD3A512" w14:textId="77777777" w:rsidR="004B3179" w:rsidRDefault="00766EB9">
      <w:pPr>
        <w:ind w:left="144" w:right="144"/>
        <w:rPr>
          <w:sz w:val="20"/>
          <w:szCs w:val="20"/>
        </w:rPr>
      </w:pPr>
      <w:r>
        <w:rPr>
          <w:sz w:val="20"/>
          <w:szCs w:val="20"/>
        </w:rPr>
        <w:t> </w:t>
      </w:r>
    </w:p>
    <w:p w14:paraId="5E70AED4" w14:textId="77777777" w:rsidR="004B3179" w:rsidRDefault="00766EB9">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23EFEEA2" w14:textId="77777777" w:rsidR="004B3179" w:rsidRDefault="00766EB9">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46A27ABE" w14:textId="77777777" w:rsidR="004B3179" w:rsidRDefault="00766EB9">
      <w:pPr>
        <w:ind w:left="144" w:right="144"/>
        <w:rPr>
          <w:sz w:val="20"/>
          <w:szCs w:val="20"/>
        </w:rPr>
      </w:pPr>
      <w:r>
        <w:rPr>
          <w:sz w:val="20"/>
          <w:szCs w:val="20"/>
        </w:rPr>
        <w:t> </w:t>
      </w:r>
    </w:p>
    <w:p w14:paraId="624BA636" w14:textId="77777777" w:rsidR="004B3179" w:rsidRDefault="00766EB9">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0B3441A2" w14:textId="77777777" w:rsidR="004B3179" w:rsidRDefault="00766EB9">
      <w:pPr>
        <w:ind w:left="144" w:right="144"/>
        <w:rPr>
          <w:sz w:val="20"/>
          <w:szCs w:val="20"/>
        </w:rPr>
      </w:pPr>
      <w:r>
        <w:rPr>
          <w:sz w:val="20"/>
          <w:szCs w:val="20"/>
        </w:rPr>
        <w:t> </w:t>
      </w:r>
    </w:p>
    <w:p w14:paraId="6EC6996C" w14:textId="77777777" w:rsidR="004B3179" w:rsidRDefault="00766EB9">
      <w:pPr>
        <w:ind w:left="144" w:right="144"/>
        <w:jc w:val="center"/>
        <w:rPr>
          <w:sz w:val="20"/>
          <w:szCs w:val="20"/>
        </w:rPr>
      </w:pPr>
      <w:r>
        <w:rPr>
          <w:sz w:val="20"/>
          <w:szCs w:val="20"/>
        </w:rPr>
        <w:t>1</w:t>
      </w:r>
    </w:p>
    <w:p w14:paraId="53F8BF91" w14:textId="77777777" w:rsidR="004B3179" w:rsidRDefault="00766EB9">
      <w:pPr>
        <w:ind w:left="144" w:right="144"/>
        <w:rPr>
          <w:sz w:val="20"/>
          <w:szCs w:val="20"/>
        </w:rPr>
      </w:pPr>
      <w:r>
        <w:rPr>
          <w:sz w:val="20"/>
          <w:szCs w:val="20"/>
        </w:rPr>
        <w:br w:type="page"/>
      </w:r>
      <w:r>
        <w:rPr>
          <w:sz w:val="20"/>
          <w:szCs w:val="20"/>
        </w:rPr>
        <w:lastRenderedPageBreak/>
        <w:t> </w:t>
      </w:r>
    </w:p>
    <w:p w14:paraId="08D9F6EB" w14:textId="77777777" w:rsidR="004B3179" w:rsidRDefault="00766EB9">
      <w:pPr>
        <w:ind w:left="144" w:right="144"/>
        <w:rPr>
          <w:sz w:val="20"/>
          <w:szCs w:val="20"/>
        </w:rPr>
      </w:pPr>
      <w:r>
        <w:rPr>
          <w:sz w:val="20"/>
          <w:szCs w:val="20"/>
        </w:rPr>
        <w:t> </w:t>
      </w:r>
    </w:p>
    <w:p w14:paraId="2CE255A9" w14:textId="77777777" w:rsidR="004B3179" w:rsidRDefault="00766EB9">
      <w:pPr>
        <w:ind w:left="144" w:right="144"/>
        <w:jc w:val="both"/>
        <w:rPr>
          <w:sz w:val="20"/>
          <w:szCs w:val="20"/>
        </w:rPr>
      </w:pPr>
      <w:r>
        <w:rPr>
          <w:sz w:val="20"/>
          <w:szCs w:val="20"/>
        </w:rPr>
        <w:t xml:space="preserve">This Form 8-K and other reports filed by GeoVax Labs, Inc. (the “Registrant” or the “Company”)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assumptions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Registrant does not undertake to update its forward-looking statements.</w:t>
      </w:r>
    </w:p>
    <w:p w14:paraId="01FD0865"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4B3179" w14:paraId="1D7109F6" w14:textId="77777777">
        <w:tc>
          <w:tcPr>
            <w:tcW w:w="1260" w:type="dxa"/>
            <w:tcMar>
              <w:top w:w="5" w:type="dxa"/>
              <w:left w:w="5" w:type="dxa"/>
              <w:bottom w:w="5" w:type="dxa"/>
              <w:right w:w="5" w:type="dxa"/>
            </w:tcMar>
            <w:hideMark/>
          </w:tcPr>
          <w:p w14:paraId="6337AF8E" w14:textId="77777777" w:rsidR="004B3179" w:rsidRDefault="00766EB9">
            <w:pPr>
              <w:rPr>
                <w:color w:val="000000"/>
                <w:sz w:val="20"/>
                <w:szCs w:val="20"/>
              </w:rPr>
            </w:pPr>
            <w:r>
              <w:rPr>
                <w:b/>
                <w:bCs/>
                <w:color w:val="000000"/>
                <w:sz w:val="20"/>
                <w:szCs w:val="20"/>
              </w:rPr>
              <w:t xml:space="preserve">Item 1.01 </w:t>
            </w:r>
          </w:p>
        </w:tc>
        <w:tc>
          <w:tcPr>
            <w:tcW w:w="0" w:type="auto"/>
            <w:tcMar>
              <w:top w:w="5" w:type="dxa"/>
              <w:left w:w="5" w:type="dxa"/>
              <w:bottom w:w="5" w:type="dxa"/>
              <w:right w:w="5" w:type="dxa"/>
            </w:tcMar>
            <w:hideMark/>
          </w:tcPr>
          <w:p w14:paraId="6A56C283" w14:textId="77777777" w:rsidR="004B3179" w:rsidRDefault="00766EB9">
            <w:pPr>
              <w:rPr>
                <w:color w:val="000000"/>
                <w:sz w:val="20"/>
                <w:szCs w:val="20"/>
              </w:rPr>
            </w:pPr>
            <w:r>
              <w:rPr>
                <w:b/>
                <w:bCs/>
                <w:color w:val="000000"/>
                <w:sz w:val="20"/>
                <w:szCs w:val="20"/>
              </w:rPr>
              <w:t>Entry into a Material Definitive Agreement.</w:t>
            </w:r>
          </w:p>
        </w:tc>
      </w:tr>
    </w:tbl>
    <w:p w14:paraId="2277CE4F" w14:textId="73287BC6" w:rsidR="004B3179" w:rsidRDefault="00766EB9" w:rsidP="003B670F">
      <w:pPr>
        <w:ind w:left="144" w:right="144"/>
        <w:rPr>
          <w:sz w:val="20"/>
          <w:szCs w:val="20"/>
        </w:rPr>
      </w:pPr>
      <w:r>
        <w:rPr>
          <w:b/>
          <w:bCs/>
          <w:i/>
          <w:iCs/>
          <w:sz w:val="20"/>
          <w:szCs w:val="20"/>
        </w:rPr>
        <w:t> </w:t>
      </w:r>
      <w:r>
        <w:rPr>
          <w:sz w:val="20"/>
          <w:szCs w:val="20"/>
        </w:rPr>
        <w:t> </w:t>
      </w:r>
    </w:p>
    <w:p w14:paraId="613E789D" w14:textId="40C70275" w:rsidR="00F65C64" w:rsidRPr="00F65C64" w:rsidRDefault="00766EB9" w:rsidP="00F65C64">
      <w:pPr>
        <w:ind w:left="144" w:right="144"/>
        <w:jc w:val="both"/>
        <w:rPr>
          <w:sz w:val="20"/>
          <w:szCs w:val="20"/>
        </w:rPr>
      </w:pPr>
      <w:r>
        <w:rPr>
          <w:sz w:val="20"/>
          <w:szCs w:val="20"/>
        </w:rPr>
        <w:t xml:space="preserve">On </w:t>
      </w:r>
      <w:r w:rsidR="001E3B26">
        <w:rPr>
          <w:sz w:val="20"/>
          <w:szCs w:val="20"/>
        </w:rPr>
        <w:t>November</w:t>
      </w:r>
      <w:r>
        <w:rPr>
          <w:sz w:val="20"/>
          <w:szCs w:val="20"/>
        </w:rPr>
        <w:t xml:space="preserve"> </w:t>
      </w:r>
      <w:r w:rsidR="003B670F">
        <w:rPr>
          <w:sz w:val="20"/>
          <w:szCs w:val="20"/>
        </w:rPr>
        <w:t>2</w:t>
      </w:r>
      <w:r w:rsidR="001E3B26">
        <w:rPr>
          <w:sz w:val="20"/>
          <w:szCs w:val="20"/>
        </w:rPr>
        <w:t>5</w:t>
      </w:r>
      <w:r>
        <w:rPr>
          <w:sz w:val="20"/>
          <w:szCs w:val="20"/>
        </w:rPr>
        <w:t xml:space="preserve">, 2020, the Company </w:t>
      </w:r>
      <w:r w:rsidR="003B670F">
        <w:rPr>
          <w:sz w:val="20"/>
          <w:szCs w:val="20"/>
        </w:rPr>
        <w:t>entered into a Patent and Biological Materials License Agreement</w:t>
      </w:r>
      <w:r w:rsidR="00373E92">
        <w:rPr>
          <w:sz w:val="20"/>
          <w:szCs w:val="20"/>
        </w:rPr>
        <w:t xml:space="preserve"> for Internal Research Use</w:t>
      </w:r>
      <w:r w:rsidR="003B670F">
        <w:rPr>
          <w:sz w:val="20"/>
          <w:szCs w:val="20"/>
        </w:rPr>
        <w:t xml:space="preserve"> (the “License Agreement”</w:t>
      </w:r>
      <w:r w:rsidR="0089446A">
        <w:rPr>
          <w:sz w:val="20"/>
          <w:szCs w:val="20"/>
        </w:rPr>
        <w:t>)</w:t>
      </w:r>
      <w:r w:rsidR="003B670F">
        <w:rPr>
          <w:sz w:val="20"/>
          <w:szCs w:val="20"/>
        </w:rPr>
        <w:t xml:space="preserve"> with the U.S. Department of Health and Human Services</w:t>
      </w:r>
      <w:r w:rsidR="00F65C64">
        <w:rPr>
          <w:sz w:val="20"/>
          <w:szCs w:val="20"/>
        </w:rPr>
        <w:t xml:space="preserve"> (HHS)</w:t>
      </w:r>
      <w:r w:rsidR="003B670F">
        <w:rPr>
          <w:sz w:val="20"/>
          <w:szCs w:val="20"/>
        </w:rPr>
        <w:t>, as represented by National Institute of Allergy and Infectious Diseases</w:t>
      </w:r>
      <w:r w:rsidR="00F65C64">
        <w:rPr>
          <w:sz w:val="20"/>
          <w:szCs w:val="20"/>
        </w:rPr>
        <w:t xml:space="preserve"> (NIAID)</w:t>
      </w:r>
      <w:r w:rsidR="003B670F">
        <w:rPr>
          <w:sz w:val="20"/>
          <w:szCs w:val="20"/>
        </w:rPr>
        <w:t>, an institute of the National Institutes of Health</w:t>
      </w:r>
      <w:r w:rsidR="00F65C64">
        <w:rPr>
          <w:sz w:val="20"/>
          <w:szCs w:val="20"/>
        </w:rPr>
        <w:t xml:space="preserve"> (NIH), </w:t>
      </w:r>
      <w:r w:rsidR="00F65C64" w:rsidRPr="00F65C64">
        <w:rPr>
          <w:bCs/>
          <w:sz w:val="20"/>
          <w:szCs w:val="20"/>
        </w:rPr>
        <w:t xml:space="preserve">in support of </w:t>
      </w:r>
      <w:r w:rsidR="00F65C64">
        <w:rPr>
          <w:bCs/>
          <w:sz w:val="20"/>
          <w:szCs w:val="20"/>
        </w:rPr>
        <w:t>the Company’s</w:t>
      </w:r>
      <w:r w:rsidR="00F65C64" w:rsidRPr="00F65C64">
        <w:rPr>
          <w:bCs/>
          <w:sz w:val="20"/>
          <w:szCs w:val="20"/>
        </w:rPr>
        <w:t xml:space="preserve"> </w:t>
      </w:r>
      <w:r w:rsidR="001E3B26">
        <w:rPr>
          <w:bCs/>
          <w:sz w:val="20"/>
          <w:szCs w:val="20"/>
        </w:rPr>
        <w:t xml:space="preserve">non-clinical </w:t>
      </w:r>
      <w:r w:rsidR="00F65C64" w:rsidRPr="00F65C64">
        <w:rPr>
          <w:bCs/>
          <w:sz w:val="20"/>
          <w:szCs w:val="20"/>
        </w:rPr>
        <w:t>development of vaccine</w:t>
      </w:r>
      <w:r w:rsidR="001E3B26">
        <w:rPr>
          <w:bCs/>
          <w:sz w:val="20"/>
          <w:szCs w:val="20"/>
        </w:rPr>
        <w:t>s</w:t>
      </w:r>
      <w:r w:rsidR="00F65C64" w:rsidRPr="00F65C64">
        <w:rPr>
          <w:bCs/>
          <w:sz w:val="20"/>
          <w:szCs w:val="20"/>
        </w:rPr>
        <w:t xml:space="preserve"> against </w:t>
      </w:r>
      <w:r w:rsidR="001E3B26">
        <w:rPr>
          <w:bCs/>
          <w:sz w:val="20"/>
          <w:szCs w:val="20"/>
        </w:rPr>
        <w:t>numerous pathogens</w:t>
      </w:r>
      <w:r w:rsidR="00F65C64" w:rsidRPr="00F65C64">
        <w:rPr>
          <w:bCs/>
          <w:sz w:val="20"/>
          <w:szCs w:val="20"/>
        </w:rPr>
        <w:t>.</w:t>
      </w:r>
      <w:r w:rsidR="00F65C64">
        <w:rPr>
          <w:sz w:val="20"/>
          <w:szCs w:val="20"/>
        </w:rPr>
        <w:t xml:space="preserve"> </w:t>
      </w:r>
    </w:p>
    <w:p w14:paraId="71D5140A" w14:textId="77777777" w:rsidR="00F65C64" w:rsidRDefault="00F65C64" w:rsidP="00F65C64">
      <w:pPr>
        <w:ind w:left="144" w:right="144"/>
        <w:jc w:val="both"/>
        <w:rPr>
          <w:bCs/>
          <w:sz w:val="20"/>
          <w:szCs w:val="20"/>
        </w:rPr>
      </w:pPr>
    </w:p>
    <w:p w14:paraId="2B9EDDAA" w14:textId="0005F36E" w:rsidR="001E3B26" w:rsidRDefault="00F65C64" w:rsidP="001E3B26">
      <w:pPr>
        <w:ind w:left="144" w:right="144"/>
        <w:jc w:val="both"/>
        <w:rPr>
          <w:bCs/>
          <w:sz w:val="20"/>
          <w:szCs w:val="20"/>
        </w:rPr>
      </w:pPr>
      <w:r w:rsidRPr="00F65C64">
        <w:rPr>
          <w:bCs/>
          <w:sz w:val="20"/>
          <w:szCs w:val="20"/>
        </w:rPr>
        <w:t xml:space="preserve">The License Agreement allows </w:t>
      </w:r>
      <w:r>
        <w:rPr>
          <w:bCs/>
          <w:sz w:val="20"/>
          <w:szCs w:val="20"/>
        </w:rPr>
        <w:t>GeoVax</w:t>
      </w:r>
      <w:r w:rsidRPr="00F65C64">
        <w:rPr>
          <w:bCs/>
          <w:sz w:val="20"/>
          <w:szCs w:val="20"/>
        </w:rPr>
        <w:t xml:space="preserve"> to use these materials and patent rights owned by agencies </w:t>
      </w:r>
      <w:r w:rsidR="00B61191">
        <w:rPr>
          <w:bCs/>
          <w:sz w:val="20"/>
          <w:szCs w:val="20"/>
        </w:rPr>
        <w:t xml:space="preserve">of the </w:t>
      </w:r>
      <w:r w:rsidRPr="00F65C64">
        <w:rPr>
          <w:bCs/>
          <w:sz w:val="20"/>
          <w:szCs w:val="20"/>
        </w:rPr>
        <w:t>HHS in combination with the Company’s proprietary technology for the creation of preventive</w:t>
      </w:r>
      <w:r w:rsidR="001E3B26">
        <w:rPr>
          <w:bCs/>
          <w:sz w:val="20"/>
          <w:szCs w:val="20"/>
        </w:rPr>
        <w:t xml:space="preserve"> and/or therapeutic</w:t>
      </w:r>
      <w:r w:rsidRPr="00F65C64">
        <w:rPr>
          <w:bCs/>
          <w:sz w:val="20"/>
          <w:szCs w:val="20"/>
        </w:rPr>
        <w:t xml:space="preserve"> Modified Vaccinia Ankara Virus-Virus Like Particle (MVA-VLP) vaccine</w:t>
      </w:r>
      <w:r w:rsidR="001E3B26">
        <w:rPr>
          <w:bCs/>
          <w:sz w:val="20"/>
          <w:szCs w:val="20"/>
        </w:rPr>
        <w:t>s</w:t>
      </w:r>
      <w:r w:rsidRPr="00F65C64">
        <w:rPr>
          <w:bCs/>
          <w:sz w:val="20"/>
          <w:szCs w:val="20"/>
        </w:rPr>
        <w:t xml:space="preserve"> </w:t>
      </w:r>
      <w:r w:rsidR="001E3B26">
        <w:rPr>
          <w:bCs/>
          <w:sz w:val="20"/>
          <w:szCs w:val="20"/>
        </w:rPr>
        <w:t xml:space="preserve">against </w:t>
      </w:r>
      <w:r w:rsidR="001E3B26" w:rsidRPr="001E3B26">
        <w:rPr>
          <w:bCs/>
          <w:sz w:val="20"/>
          <w:szCs w:val="20"/>
        </w:rPr>
        <w:t>Ebola-Zaire</w:t>
      </w:r>
      <w:r w:rsidR="001E3B26">
        <w:rPr>
          <w:bCs/>
          <w:sz w:val="20"/>
          <w:szCs w:val="20"/>
        </w:rPr>
        <w:t xml:space="preserve"> virus</w:t>
      </w:r>
      <w:r w:rsidR="001E3B26" w:rsidRPr="001E3B26">
        <w:rPr>
          <w:bCs/>
          <w:sz w:val="20"/>
          <w:szCs w:val="20"/>
        </w:rPr>
        <w:t>, Ebola-Sudan</w:t>
      </w:r>
      <w:r w:rsidR="001E3B26">
        <w:rPr>
          <w:bCs/>
          <w:sz w:val="20"/>
          <w:szCs w:val="20"/>
        </w:rPr>
        <w:t xml:space="preserve"> virus</w:t>
      </w:r>
      <w:r w:rsidR="001E3B26" w:rsidRPr="001E3B26">
        <w:rPr>
          <w:bCs/>
          <w:sz w:val="20"/>
          <w:szCs w:val="20"/>
        </w:rPr>
        <w:t>, Lassa virus, Marburg virus, Zika virus and malaria. The agreement also extends to the Company’s research and development efforts in certain oncology areas. The agreement provides GeoVax with nonexclusive rights for the nonclinical development and manufacturing of its vaccine and immunotherapy candidates using HHS patents and materials.</w:t>
      </w:r>
    </w:p>
    <w:p w14:paraId="2814A9F1" w14:textId="77777777" w:rsidR="00E115D3" w:rsidRDefault="00E115D3" w:rsidP="00F65C64">
      <w:pPr>
        <w:ind w:left="180" w:right="144"/>
        <w:jc w:val="both"/>
        <w:rPr>
          <w:sz w:val="20"/>
          <w:szCs w:val="20"/>
        </w:rPr>
      </w:pPr>
    </w:p>
    <w:p w14:paraId="1D7A55A7" w14:textId="62C46C6B" w:rsidR="004B3179" w:rsidRDefault="003B670F" w:rsidP="000E6508">
      <w:pPr>
        <w:ind w:left="180" w:right="144"/>
        <w:jc w:val="both"/>
        <w:rPr>
          <w:sz w:val="20"/>
          <w:szCs w:val="20"/>
        </w:rPr>
      </w:pPr>
      <w:r>
        <w:rPr>
          <w:sz w:val="20"/>
          <w:szCs w:val="20"/>
        </w:rPr>
        <w:t>A copy of the License Agreement is attached hereto as Exhibit 10.1 and is incorporated herein by reference.</w:t>
      </w:r>
      <w:r w:rsidR="00CB1EAA">
        <w:rPr>
          <w:sz w:val="20"/>
          <w:szCs w:val="20"/>
        </w:rPr>
        <w:t xml:space="preserve">  </w:t>
      </w:r>
      <w:r w:rsidR="00CB1EAA">
        <w:rPr>
          <w:color w:val="000000"/>
          <w:sz w:val="20"/>
          <w:szCs w:val="20"/>
        </w:rPr>
        <w:t>Certain portions of the License Agreement have been omitted from the version of the License Agreement attached to this Current Report on Form 8-K.</w:t>
      </w:r>
    </w:p>
    <w:p w14:paraId="741F2A3D" w14:textId="77777777" w:rsidR="004B3179" w:rsidRDefault="00766EB9">
      <w:pPr>
        <w:ind w:left="144" w:right="144"/>
        <w:rPr>
          <w:sz w:val="20"/>
          <w:szCs w:val="20"/>
        </w:rPr>
      </w:pPr>
      <w:r>
        <w:rPr>
          <w:b/>
          <w:bCs/>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4B3179" w14:paraId="215DE932" w14:textId="77777777">
        <w:tc>
          <w:tcPr>
            <w:tcW w:w="1260" w:type="dxa"/>
            <w:tcMar>
              <w:top w:w="5" w:type="dxa"/>
              <w:left w:w="5" w:type="dxa"/>
              <w:bottom w:w="5" w:type="dxa"/>
              <w:right w:w="5" w:type="dxa"/>
            </w:tcMar>
            <w:hideMark/>
          </w:tcPr>
          <w:p w14:paraId="6AA452E1" w14:textId="77777777" w:rsidR="004B3179" w:rsidRDefault="00766EB9">
            <w:pPr>
              <w:rPr>
                <w:color w:val="000000"/>
                <w:sz w:val="20"/>
                <w:szCs w:val="20"/>
              </w:rPr>
            </w:pPr>
            <w:r>
              <w:rPr>
                <w:b/>
                <w:bCs/>
                <w:color w:val="000000"/>
                <w:sz w:val="20"/>
                <w:szCs w:val="20"/>
              </w:rPr>
              <w:t xml:space="preserve">Item 8.01 </w:t>
            </w:r>
          </w:p>
        </w:tc>
        <w:tc>
          <w:tcPr>
            <w:tcW w:w="0" w:type="auto"/>
            <w:tcMar>
              <w:top w:w="5" w:type="dxa"/>
              <w:left w:w="5" w:type="dxa"/>
              <w:bottom w:w="5" w:type="dxa"/>
              <w:right w:w="5" w:type="dxa"/>
            </w:tcMar>
            <w:hideMark/>
          </w:tcPr>
          <w:p w14:paraId="3D0C7128" w14:textId="77777777" w:rsidR="004B3179" w:rsidRDefault="00766EB9">
            <w:pPr>
              <w:rPr>
                <w:color w:val="000000"/>
                <w:sz w:val="20"/>
                <w:szCs w:val="20"/>
              </w:rPr>
            </w:pPr>
            <w:r>
              <w:rPr>
                <w:b/>
                <w:bCs/>
                <w:color w:val="000000"/>
                <w:sz w:val="20"/>
                <w:szCs w:val="20"/>
              </w:rPr>
              <w:t>Other Events.</w:t>
            </w:r>
          </w:p>
        </w:tc>
      </w:tr>
    </w:tbl>
    <w:p w14:paraId="2AC7D897" w14:textId="77777777" w:rsidR="004B3179" w:rsidRDefault="00766EB9">
      <w:pPr>
        <w:ind w:left="144" w:right="144"/>
        <w:rPr>
          <w:sz w:val="20"/>
          <w:szCs w:val="20"/>
        </w:rPr>
      </w:pPr>
      <w:r>
        <w:rPr>
          <w:sz w:val="20"/>
          <w:szCs w:val="20"/>
        </w:rPr>
        <w:t> </w:t>
      </w:r>
    </w:p>
    <w:p w14:paraId="4FCCDFE3" w14:textId="73EF4297" w:rsidR="004B3179" w:rsidRDefault="00766EB9" w:rsidP="00E115D3">
      <w:pPr>
        <w:ind w:left="144" w:right="144"/>
        <w:rPr>
          <w:sz w:val="20"/>
          <w:szCs w:val="20"/>
        </w:rPr>
      </w:pPr>
      <w:r>
        <w:rPr>
          <w:sz w:val="20"/>
          <w:szCs w:val="20"/>
        </w:rPr>
        <w:t xml:space="preserve">The Company issued a press release on </w:t>
      </w:r>
      <w:r w:rsidR="001E3B26">
        <w:rPr>
          <w:sz w:val="20"/>
          <w:szCs w:val="20"/>
        </w:rPr>
        <w:t>November</w:t>
      </w:r>
      <w:r>
        <w:rPr>
          <w:sz w:val="20"/>
          <w:szCs w:val="20"/>
        </w:rPr>
        <w:t xml:space="preserve"> </w:t>
      </w:r>
      <w:r w:rsidR="001E3B26">
        <w:rPr>
          <w:sz w:val="20"/>
          <w:szCs w:val="20"/>
        </w:rPr>
        <w:t>30</w:t>
      </w:r>
      <w:r>
        <w:rPr>
          <w:sz w:val="20"/>
          <w:szCs w:val="20"/>
        </w:rPr>
        <w:t xml:space="preserve">, 2020 announcing the </w:t>
      </w:r>
      <w:r w:rsidR="003B670F">
        <w:rPr>
          <w:sz w:val="20"/>
          <w:szCs w:val="20"/>
        </w:rPr>
        <w:t>signing of the License Agreement</w:t>
      </w:r>
      <w:r>
        <w:rPr>
          <w:sz w:val="20"/>
          <w:szCs w:val="20"/>
        </w:rPr>
        <w:t>. A copy of the press release is attached hereto as Exhibit 99.1 and is incorporated herein by reference.</w:t>
      </w:r>
    </w:p>
    <w:p w14:paraId="01B5E8CD"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4B3179" w14:paraId="1BD8FD68" w14:textId="77777777">
        <w:tc>
          <w:tcPr>
            <w:tcW w:w="1260" w:type="dxa"/>
            <w:tcMar>
              <w:top w:w="5" w:type="dxa"/>
              <w:left w:w="5" w:type="dxa"/>
              <w:bottom w:w="5" w:type="dxa"/>
              <w:right w:w="5" w:type="dxa"/>
            </w:tcMar>
            <w:hideMark/>
          </w:tcPr>
          <w:p w14:paraId="3AB0B213" w14:textId="77777777" w:rsidR="004B3179" w:rsidRDefault="00766EB9">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27AC6630" w14:textId="77777777" w:rsidR="004B3179" w:rsidRDefault="00766EB9">
            <w:pPr>
              <w:rPr>
                <w:color w:val="000000"/>
                <w:sz w:val="20"/>
                <w:szCs w:val="20"/>
              </w:rPr>
            </w:pPr>
            <w:r>
              <w:rPr>
                <w:b/>
                <w:bCs/>
                <w:color w:val="000000"/>
                <w:sz w:val="20"/>
                <w:szCs w:val="20"/>
              </w:rPr>
              <w:t>Financial Statements and Exhibits.</w:t>
            </w:r>
          </w:p>
        </w:tc>
      </w:tr>
    </w:tbl>
    <w:p w14:paraId="6E7E3A92" w14:textId="77777777" w:rsidR="004B3179" w:rsidRDefault="00766EB9">
      <w:pPr>
        <w:ind w:left="144" w:right="144"/>
        <w:rPr>
          <w:sz w:val="20"/>
          <w:szCs w:val="20"/>
        </w:rPr>
      </w:pPr>
      <w:r>
        <w:rPr>
          <w:b/>
          <w:bCs/>
          <w:sz w:val="20"/>
          <w:szCs w:val="20"/>
        </w:rPr>
        <w:t> </w:t>
      </w:r>
    </w:p>
    <w:p w14:paraId="7B99F14A" w14:textId="77777777" w:rsidR="004B3179" w:rsidRDefault="00766EB9">
      <w:pPr>
        <w:ind w:left="144" w:right="144"/>
        <w:rPr>
          <w:sz w:val="20"/>
          <w:szCs w:val="20"/>
        </w:rPr>
      </w:pPr>
      <w:r>
        <w:rPr>
          <w:sz w:val="20"/>
          <w:szCs w:val="20"/>
        </w:rPr>
        <w:lastRenderedPageBreak/>
        <w:t>(d)     Exhibits</w:t>
      </w:r>
    </w:p>
    <w:p w14:paraId="5BCAA6A2"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4B3179" w14:paraId="15DEB0D1" w14:textId="77777777">
        <w:tc>
          <w:tcPr>
            <w:tcW w:w="600" w:type="pct"/>
            <w:tcMar>
              <w:top w:w="5" w:type="dxa"/>
              <w:left w:w="5" w:type="dxa"/>
              <w:bottom w:w="5" w:type="dxa"/>
              <w:right w:w="5" w:type="dxa"/>
            </w:tcMar>
            <w:hideMark/>
          </w:tcPr>
          <w:p w14:paraId="08676D58" w14:textId="77777777" w:rsidR="004B3179" w:rsidRDefault="00766EB9">
            <w:pPr>
              <w:ind w:left="180"/>
              <w:rPr>
                <w:color w:val="000000"/>
                <w:sz w:val="20"/>
                <w:szCs w:val="20"/>
              </w:rPr>
            </w:pPr>
            <w:r>
              <w:rPr>
                <w:color w:val="000000"/>
                <w:sz w:val="20"/>
                <w:szCs w:val="20"/>
                <w:u w:val="single" w:color="000000"/>
              </w:rPr>
              <w:t>Exhibit No.</w:t>
            </w:r>
          </w:p>
        </w:tc>
        <w:tc>
          <w:tcPr>
            <w:tcW w:w="4400" w:type="pct"/>
            <w:tcMar>
              <w:top w:w="5" w:type="dxa"/>
              <w:left w:w="5" w:type="dxa"/>
              <w:bottom w:w="5" w:type="dxa"/>
              <w:right w:w="5" w:type="dxa"/>
            </w:tcMar>
            <w:hideMark/>
          </w:tcPr>
          <w:p w14:paraId="02DA904E" w14:textId="77777777" w:rsidR="004B3179" w:rsidRDefault="00766EB9">
            <w:pPr>
              <w:rPr>
                <w:color w:val="000000"/>
                <w:sz w:val="20"/>
                <w:szCs w:val="20"/>
              </w:rPr>
            </w:pPr>
            <w:r>
              <w:rPr>
                <w:color w:val="000000"/>
                <w:sz w:val="20"/>
                <w:szCs w:val="20"/>
                <w:u w:val="single" w:color="000000"/>
              </w:rPr>
              <w:t>Description</w:t>
            </w:r>
          </w:p>
        </w:tc>
      </w:tr>
      <w:tr w:rsidR="00766EB9" w14:paraId="235FD7AA" w14:textId="77777777">
        <w:tc>
          <w:tcPr>
            <w:tcW w:w="600" w:type="pct"/>
            <w:tcMar>
              <w:top w:w="5" w:type="dxa"/>
              <w:left w:w="5" w:type="dxa"/>
              <w:bottom w:w="5" w:type="dxa"/>
              <w:right w:w="5" w:type="dxa"/>
            </w:tcMar>
          </w:tcPr>
          <w:p w14:paraId="2CCD2130" w14:textId="28010B0D" w:rsidR="00766EB9" w:rsidRDefault="00CE3919">
            <w:pPr>
              <w:ind w:left="180"/>
              <w:rPr>
                <w:color w:val="000000"/>
                <w:sz w:val="20"/>
                <w:szCs w:val="20"/>
              </w:rPr>
            </w:pPr>
            <w:r>
              <w:rPr>
                <w:color w:val="000000"/>
                <w:sz w:val="20"/>
                <w:szCs w:val="20"/>
              </w:rPr>
              <w:t>10.1</w:t>
            </w:r>
          </w:p>
        </w:tc>
        <w:tc>
          <w:tcPr>
            <w:tcW w:w="4400" w:type="pct"/>
            <w:tcMar>
              <w:top w:w="5" w:type="dxa"/>
              <w:left w:w="5" w:type="dxa"/>
              <w:bottom w:w="5" w:type="dxa"/>
              <w:right w:w="5" w:type="dxa"/>
            </w:tcMar>
          </w:tcPr>
          <w:p w14:paraId="547EE68F" w14:textId="26D92CAE" w:rsidR="00766EB9" w:rsidRPr="00766EB9" w:rsidRDefault="0089446A">
            <w:pPr>
              <w:rPr>
                <w:sz w:val="20"/>
              </w:rPr>
            </w:pPr>
            <w:r>
              <w:rPr>
                <w:sz w:val="20"/>
                <w:szCs w:val="20"/>
              </w:rPr>
              <w:t xml:space="preserve">Patent and Biological Materials License Agreement </w:t>
            </w:r>
            <w:r w:rsidR="00373E92">
              <w:rPr>
                <w:sz w:val="20"/>
                <w:szCs w:val="20"/>
              </w:rPr>
              <w:t xml:space="preserve">for Internal Research Use </w:t>
            </w:r>
            <w:r>
              <w:rPr>
                <w:sz w:val="20"/>
                <w:szCs w:val="20"/>
              </w:rPr>
              <w:t xml:space="preserve">with </w:t>
            </w:r>
            <w:r w:rsidR="00096511">
              <w:rPr>
                <w:sz w:val="20"/>
                <w:szCs w:val="20"/>
              </w:rPr>
              <w:t>the</w:t>
            </w:r>
            <w:r>
              <w:rPr>
                <w:sz w:val="20"/>
                <w:szCs w:val="20"/>
              </w:rPr>
              <w:t xml:space="preserve"> National Institute of Allergy and Infectious Diseases, dated </w:t>
            </w:r>
            <w:r w:rsidR="001E3B26">
              <w:rPr>
                <w:sz w:val="20"/>
                <w:szCs w:val="20"/>
              </w:rPr>
              <w:t>November</w:t>
            </w:r>
            <w:r>
              <w:rPr>
                <w:sz w:val="20"/>
                <w:szCs w:val="20"/>
              </w:rPr>
              <w:t xml:space="preserve"> 2</w:t>
            </w:r>
            <w:r w:rsidR="001E3B26">
              <w:rPr>
                <w:sz w:val="20"/>
                <w:szCs w:val="20"/>
              </w:rPr>
              <w:t>5</w:t>
            </w:r>
            <w:r>
              <w:rPr>
                <w:sz w:val="20"/>
                <w:szCs w:val="20"/>
              </w:rPr>
              <w:t>, 2020</w:t>
            </w:r>
            <w:r w:rsidR="002049D0">
              <w:rPr>
                <w:sz w:val="20"/>
                <w:szCs w:val="20"/>
              </w:rPr>
              <w:t xml:space="preserve"> (1)</w:t>
            </w:r>
          </w:p>
        </w:tc>
      </w:tr>
      <w:tr w:rsidR="00CE3919" w:rsidRPr="00CE3919" w14:paraId="0CDBCCD6" w14:textId="77777777">
        <w:tc>
          <w:tcPr>
            <w:tcW w:w="600" w:type="pct"/>
            <w:tcMar>
              <w:top w:w="5" w:type="dxa"/>
              <w:left w:w="5" w:type="dxa"/>
              <w:bottom w:w="5" w:type="dxa"/>
              <w:right w:w="5" w:type="dxa"/>
            </w:tcMar>
            <w:hideMark/>
          </w:tcPr>
          <w:p w14:paraId="448B26D6" w14:textId="77777777" w:rsidR="004B3179" w:rsidRPr="00CE3919" w:rsidRDefault="00766EB9">
            <w:pPr>
              <w:ind w:left="180"/>
              <w:rPr>
                <w:sz w:val="20"/>
                <w:szCs w:val="20"/>
              </w:rPr>
            </w:pPr>
            <w:r w:rsidRPr="00CE3919">
              <w:rPr>
                <w:sz w:val="20"/>
                <w:szCs w:val="20"/>
              </w:rPr>
              <w:t>99.1</w:t>
            </w:r>
          </w:p>
        </w:tc>
        <w:tc>
          <w:tcPr>
            <w:tcW w:w="4400" w:type="pct"/>
            <w:tcMar>
              <w:top w:w="5" w:type="dxa"/>
              <w:left w:w="5" w:type="dxa"/>
              <w:bottom w:w="5" w:type="dxa"/>
              <w:right w:w="5" w:type="dxa"/>
            </w:tcMar>
            <w:hideMark/>
          </w:tcPr>
          <w:p w14:paraId="295DC1AD" w14:textId="26A94185" w:rsidR="004B3179" w:rsidRPr="00CE3919" w:rsidRDefault="00CB1EAA" w:rsidP="00CB1EAA">
            <w:pPr>
              <w:rPr>
                <w:sz w:val="20"/>
                <w:szCs w:val="20"/>
              </w:rPr>
            </w:pPr>
            <w:r>
              <w:rPr>
                <w:sz w:val="20"/>
                <w:szCs w:val="20"/>
              </w:rPr>
              <w:t>P</w:t>
            </w:r>
            <w:r w:rsidR="00766EB9" w:rsidRPr="00CE3919">
              <w:rPr>
                <w:sz w:val="20"/>
                <w:szCs w:val="20"/>
              </w:rPr>
              <w:t xml:space="preserve">ress release dated </w:t>
            </w:r>
            <w:r w:rsidR="001E3B26">
              <w:rPr>
                <w:sz w:val="20"/>
                <w:szCs w:val="20"/>
              </w:rPr>
              <w:t>November</w:t>
            </w:r>
            <w:r w:rsidR="00766EB9" w:rsidRPr="00CE3919">
              <w:rPr>
                <w:sz w:val="20"/>
                <w:szCs w:val="20"/>
              </w:rPr>
              <w:t xml:space="preserve"> </w:t>
            </w:r>
            <w:r w:rsidR="001E3B26">
              <w:rPr>
                <w:sz w:val="20"/>
                <w:szCs w:val="20"/>
              </w:rPr>
              <w:t>30</w:t>
            </w:r>
            <w:r w:rsidR="00766EB9" w:rsidRPr="00CE3919">
              <w:rPr>
                <w:sz w:val="20"/>
                <w:szCs w:val="20"/>
              </w:rPr>
              <w:t>, 2020</w:t>
            </w:r>
          </w:p>
        </w:tc>
      </w:tr>
    </w:tbl>
    <w:p w14:paraId="674DF00D" w14:textId="1841053B" w:rsidR="004B3179" w:rsidRDefault="00766EB9" w:rsidP="003B670F">
      <w:pPr>
        <w:ind w:left="360" w:right="144"/>
        <w:rPr>
          <w:sz w:val="20"/>
          <w:szCs w:val="20"/>
        </w:rPr>
      </w:pPr>
      <w:r>
        <w:rPr>
          <w:sz w:val="20"/>
          <w:szCs w:val="20"/>
        </w:rPr>
        <w:t> </w:t>
      </w:r>
    </w:p>
    <w:p w14:paraId="11726F05" w14:textId="2FE294B6" w:rsidR="003B670F" w:rsidRPr="003B670F" w:rsidRDefault="0089446A" w:rsidP="00CB1EAA">
      <w:pPr>
        <w:ind w:left="360" w:right="144"/>
        <w:rPr>
          <w:sz w:val="20"/>
          <w:szCs w:val="20"/>
        </w:rPr>
      </w:pPr>
      <w:r>
        <w:rPr>
          <w:sz w:val="20"/>
          <w:szCs w:val="20"/>
        </w:rPr>
        <w:t>(1)</w:t>
      </w:r>
      <w:r w:rsidR="003B670F">
        <w:rPr>
          <w:sz w:val="20"/>
          <w:szCs w:val="20"/>
        </w:rPr>
        <w:t xml:space="preserve"> </w:t>
      </w:r>
      <w:r w:rsidR="00CB1EAA" w:rsidRPr="00CB1EAA">
        <w:rPr>
          <w:sz w:val="20"/>
          <w:szCs w:val="20"/>
        </w:rPr>
        <w:t>Pursuant to Item 601(b)(10) of Regulation S-K, certain confid</w:t>
      </w:r>
      <w:r w:rsidR="00B61191">
        <w:rPr>
          <w:sz w:val="20"/>
          <w:szCs w:val="20"/>
        </w:rPr>
        <w:t>ential portions of this exhibit</w:t>
      </w:r>
      <w:r w:rsidR="00CB1EAA" w:rsidRPr="00CB1EAA">
        <w:rPr>
          <w:sz w:val="20"/>
          <w:szCs w:val="20"/>
        </w:rPr>
        <w:t xml:space="preserve"> have been omitted as the Company has determined (</w:t>
      </w:r>
      <w:proofErr w:type="spellStart"/>
      <w:r w:rsidR="00CB1EAA" w:rsidRPr="00CB1EAA">
        <w:rPr>
          <w:sz w:val="20"/>
          <w:szCs w:val="20"/>
        </w:rPr>
        <w:t>i</w:t>
      </w:r>
      <w:proofErr w:type="spellEnd"/>
      <w:r w:rsidR="00CB1EAA" w:rsidRPr="00CB1EAA">
        <w:rPr>
          <w:sz w:val="20"/>
          <w:szCs w:val="20"/>
        </w:rPr>
        <w:t xml:space="preserve">) the omitted information is not material and (ii) the omitted information would likely cause </w:t>
      </w:r>
      <w:r w:rsidR="00CB1EAA">
        <w:rPr>
          <w:sz w:val="20"/>
          <w:szCs w:val="20"/>
        </w:rPr>
        <w:t xml:space="preserve">competitive </w:t>
      </w:r>
      <w:r w:rsidR="00CB1EAA" w:rsidRPr="00CB1EAA">
        <w:rPr>
          <w:sz w:val="20"/>
          <w:szCs w:val="20"/>
        </w:rPr>
        <w:t>harm to the Company if publicly disclosed.</w:t>
      </w:r>
    </w:p>
    <w:p w14:paraId="14864F72" w14:textId="7FA278F7" w:rsidR="003B670F" w:rsidRDefault="003B670F">
      <w:pPr>
        <w:ind w:left="144" w:right="144"/>
        <w:rPr>
          <w:sz w:val="20"/>
          <w:szCs w:val="20"/>
        </w:rPr>
      </w:pPr>
    </w:p>
    <w:p w14:paraId="1707908C" w14:textId="77777777" w:rsidR="003B670F" w:rsidRDefault="003B670F">
      <w:pPr>
        <w:ind w:left="144" w:right="144"/>
        <w:rPr>
          <w:sz w:val="20"/>
          <w:szCs w:val="20"/>
        </w:rPr>
      </w:pPr>
    </w:p>
    <w:p w14:paraId="33FF1969" w14:textId="77777777" w:rsidR="004B3179" w:rsidRDefault="00766EB9">
      <w:pPr>
        <w:ind w:left="144" w:right="144"/>
        <w:jc w:val="center"/>
        <w:rPr>
          <w:sz w:val="20"/>
          <w:szCs w:val="20"/>
        </w:rPr>
      </w:pPr>
      <w:r>
        <w:rPr>
          <w:sz w:val="20"/>
          <w:szCs w:val="20"/>
        </w:rPr>
        <w:t>4</w:t>
      </w:r>
    </w:p>
    <w:p w14:paraId="5C7EA031" w14:textId="77777777" w:rsidR="004B3179" w:rsidRDefault="00766EB9">
      <w:pPr>
        <w:ind w:left="144" w:right="144"/>
        <w:rPr>
          <w:sz w:val="20"/>
          <w:szCs w:val="20"/>
        </w:rPr>
      </w:pPr>
      <w:r>
        <w:rPr>
          <w:sz w:val="20"/>
          <w:szCs w:val="20"/>
        </w:rPr>
        <w:br w:type="page"/>
      </w:r>
      <w:r>
        <w:rPr>
          <w:sz w:val="20"/>
          <w:szCs w:val="20"/>
        </w:rPr>
        <w:lastRenderedPageBreak/>
        <w:t> </w:t>
      </w:r>
    </w:p>
    <w:p w14:paraId="00D469D9" w14:textId="77777777" w:rsidR="004B3179" w:rsidRDefault="00766EB9">
      <w:pPr>
        <w:ind w:left="144" w:right="144"/>
        <w:rPr>
          <w:sz w:val="20"/>
          <w:szCs w:val="20"/>
        </w:rPr>
      </w:pPr>
      <w:r>
        <w:rPr>
          <w:sz w:val="20"/>
          <w:szCs w:val="20"/>
        </w:rPr>
        <w:t> </w:t>
      </w:r>
    </w:p>
    <w:p w14:paraId="6FED487A" w14:textId="77777777" w:rsidR="004B3179" w:rsidRDefault="00766EB9">
      <w:pPr>
        <w:ind w:left="144" w:right="144"/>
        <w:jc w:val="center"/>
        <w:rPr>
          <w:sz w:val="20"/>
          <w:szCs w:val="20"/>
        </w:rPr>
      </w:pPr>
      <w:r>
        <w:rPr>
          <w:b/>
          <w:bCs/>
          <w:sz w:val="20"/>
          <w:szCs w:val="20"/>
        </w:rPr>
        <w:t>SIGNATURE</w:t>
      </w:r>
    </w:p>
    <w:p w14:paraId="7D025552" w14:textId="77777777" w:rsidR="004B3179" w:rsidRDefault="00766EB9">
      <w:pPr>
        <w:ind w:left="144" w:right="144"/>
        <w:rPr>
          <w:sz w:val="20"/>
          <w:szCs w:val="20"/>
        </w:rPr>
      </w:pPr>
      <w:r>
        <w:rPr>
          <w:sz w:val="20"/>
          <w:szCs w:val="20"/>
        </w:rPr>
        <w:t> </w:t>
      </w:r>
    </w:p>
    <w:p w14:paraId="5D9030D6" w14:textId="77777777" w:rsidR="004B3179" w:rsidRDefault="00766EB9" w:rsidP="000E6508">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7FAE59EE" w14:textId="77777777" w:rsidR="004B3179" w:rsidRDefault="00766EB9">
      <w:pPr>
        <w:ind w:left="144" w:right="144"/>
        <w:rPr>
          <w:sz w:val="20"/>
          <w:szCs w:val="20"/>
        </w:rPr>
      </w:pPr>
      <w:r>
        <w:rPr>
          <w:sz w:val="20"/>
          <w:szCs w:val="20"/>
        </w:rPr>
        <w:t> </w:t>
      </w:r>
    </w:p>
    <w:p w14:paraId="5EBCF7A5" w14:textId="1B5225E0" w:rsidR="004B3179" w:rsidRDefault="00766EB9">
      <w:pPr>
        <w:ind w:left="144" w:right="144"/>
        <w:rPr>
          <w:sz w:val="20"/>
          <w:szCs w:val="20"/>
        </w:rPr>
      </w:pPr>
      <w:r>
        <w:rPr>
          <w:sz w:val="20"/>
          <w:szCs w:val="20"/>
        </w:rPr>
        <w:t xml:space="preserve">Date: </w:t>
      </w:r>
      <w:r w:rsidR="001E3B26">
        <w:rPr>
          <w:sz w:val="20"/>
          <w:szCs w:val="20"/>
        </w:rPr>
        <w:t>November</w:t>
      </w:r>
      <w:r>
        <w:rPr>
          <w:sz w:val="20"/>
          <w:szCs w:val="20"/>
        </w:rPr>
        <w:t xml:space="preserve"> </w:t>
      </w:r>
      <w:r w:rsidR="001E3B26">
        <w:rPr>
          <w:sz w:val="20"/>
          <w:szCs w:val="20"/>
        </w:rPr>
        <w:t>30</w:t>
      </w:r>
      <w:r>
        <w:rPr>
          <w:sz w:val="20"/>
          <w:szCs w:val="20"/>
        </w:rPr>
        <w:t>, 2020</w:t>
      </w:r>
    </w:p>
    <w:p w14:paraId="12755C45" w14:textId="77777777" w:rsidR="004B3179" w:rsidRDefault="00766EB9">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4B3179" w14:paraId="0AE38667" w14:textId="77777777">
        <w:tc>
          <w:tcPr>
            <w:tcW w:w="2500" w:type="pct"/>
            <w:tcMar>
              <w:top w:w="5" w:type="dxa"/>
              <w:left w:w="5" w:type="dxa"/>
              <w:bottom w:w="5" w:type="dxa"/>
              <w:right w:w="5" w:type="dxa"/>
            </w:tcMar>
            <w:hideMark/>
          </w:tcPr>
          <w:p w14:paraId="3B61890D"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7D3843A" w14:textId="77777777" w:rsidR="004B3179" w:rsidRDefault="00766EB9">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78846A00" w14:textId="77777777" w:rsidR="004B3179" w:rsidRDefault="00766EB9">
            <w:pPr>
              <w:rPr>
                <w:color w:val="000000"/>
                <w:sz w:val="20"/>
                <w:szCs w:val="20"/>
              </w:rPr>
            </w:pPr>
            <w:r>
              <w:rPr>
                <w:color w:val="000000"/>
                <w:sz w:val="20"/>
                <w:szCs w:val="20"/>
              </w:rPr>
              <w:t> </w:t>
            </w:r>
          </w:p>
        </w:tc>
      </w:tr>
      <w:tr w:rsidR="004B3179" w14:paraId="446FF404" w14:textId="77777777">
        <w:tc>
          <w:tcPr>
            <w:tcW w:w="2500" w:type="pct"/>
            <w:tcMar>
              <w:top w:w="5" w:type="dxa"/>
              <w:left w:w="5" w:type="dxa"/>
              <w:bottom w:w="5" w:type="dxa"/>
              <w:right w:w="5" w:type="dxa"/>
            </w:tcMar>
            <w:hideMark/>
          </w:tcPr>
          <w:p w14:paraId="55A7CF65"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1CC3574"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322B5BDD" w14:textId="77777777" w:rsidR="004B3179" w:rsidRDefault="00766EB9">
            <w:pPr>
              <w:rPr>
                <w:color w:val="000000"/>
                <w:sz w:val="20"/>
                <w:szCs w:val="20"/>
              </w:rPr>
            </w:pPr>
            <w:r>
              <w:rPr>
                <w:color w:val="000000"/>
                <w:sz w:val="20"/>
                <w:szCs w:val="20"/>
              </w:rPr>
              <w:t> </w:t>
            </w:r>
          </w:p>
        </w:tc>
      </w:tr>
      <w:tr w:rsidR="004B3179" w14:paraId="6C7178BA" w14:textId="77777777">
        <w:tc>
          <w:tcPr>
            <w:tcW w:w="2500" w:type="pct"/>
            <w:tcMar>
              <w:top w:w="5" w:type="dxa"/>
              <w:left w:w="5" w:type="dxa"/>
              <w:bottom w:w="5" w:type="dxa"/>
              <w:right w:w="5" w:type="dxa"/>
            </w:tcMar>
            <w:hideMark/>
          </w:tcPr>
          <w:p w14:paraId="15F12947" w14:textId="77777777" w:rsidR="004B3179" w:rsidRDefault="00766EB9">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5FC94AE1"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484A7B85" w14:textId="77777777" w:rsidR="004B3179" w:rsidRDefault="00766EB9">
            <w:pPr>
              <w:rPr>
                <w:color w:val="000000"/>
                <w:sz w:val="20"/>
                <w:szCs w:val="20"/>
              </w:rPr>
            </w:pPr>
            <w:r>
              <w:rPr>
                <w:color w:val="000000"/>
                <w:sz w:val="20"/>
                <w:szCs w:val="20"/>
              </w:rPr>
              <w:t> </w:t>
            </w:r>
          </w:p>
        </w:tc>
      </w:tr>
      <w:tr w:rsidR="004B3179" w14:paraId="2ECE3217" w14:textId="77777777">
        <w:tc>
          <w:tcPr>
            <w:tcW w:w="2500" w:type="pct"/>
            <w:tcMar>
              <w:top w:w="5" w:type="dxa"/>
              <w:left w:w="5" w:type="dxa"/>
              <w:bottom w:w="5" w:type="dxa"/>
              <w:right w:w="5" w:type="dxa"/>
            </w:tcMar>
            <w:hideMark/>
          </w:tcPr>
          <w:p w14:paraId="5831687C"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7A82530E" w14:textId="77777777" w:rsidR="004B3179" w:rsidRDefault="00766EB9">
            <w:pPr>
              <w:rPr>
                <w:color w:val="000000"/>
                <w:sz w:val="20"/>
                <w:szCs w:val="20"/>
              </w:rPr>
            </w:pPr>
            <w:r>
              <w:rPr>
                <w:color w:val="000000"/>
                <w:sz w:val="20"/>
                <w:szCs w:val="20"/>
              </w:rPr>
              <w:t>By:</w:t>
            </w:r>
          </w:p>
        </w:tc>
        <w:tc>
          <w:tcPr>
            <w:tcW w:w="1750" w:type="pct"/>
            <w:tcBorders>
              <w:bottom w:val="single" w:sz="6" w:space="0" w:color="000000"/>
            </w:tcBorders>
            <w:tcMar>
              <w:top w:w="5" w:type="dxa"/>
              <w:left w:w="5" w:type="dxa"/>
              <w:bottom w:w="8" w:type="dxa"/>
              <w:right w:w="5" w:type="dxa"/>
            </w:tcMar>
            <w:hideMark/>
          </w:tcPr>
          <w:p w14:paraId="74B94382" w14:textId="77777777" w:rsidR="004B3179" w:rsidRDefault="00766EB9">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025FC326" w14:textId="77777777" w:rsidR="004B3179" w:rsidRDefault="00766EB9">
            <w:pPr>
              <w:rPr>
                <w:color w:val="000000"/>
                <w:sz w:val="20"/>
                <w:szCs w:val="20"/>
              </w:rPr>
            </w:pPr>
            <w:r>
              <w:rPr>
                <w:color w:val="000000"/>
                <w:sz w:val="20"/>
                <w:szCs w:val="20"/>
              </w:rPr>
              <w:t> </w:t>
            </w:r>
          </w:p>
        </w:tc>
      </w:tr>
      <w:tr w:rsidR="004B3179" w14:paraId="65AF46A2" w14:textId="77777777">
        <w:tc>
          <w:tcPr>
            <w:tcW w:w="2500" w:type="pct"/>
            <w:tcMar>
              <w:top w:w="5" w:type="dxa"/>
              <w:left w:w="5" w:type="dxa"/>
              <w:bottom w:w="5" w:type="dxa"/>
              <w:right w:w="5" w:type="dxa"/>
            </w:tcMar>
            <w:hideMark/>
          </w:tcPr>
          <w:p w14:paraId="3764796B"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2492DF48"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318C85BA" w14:textId="77777777" w:rsidR="004B3179" w:rsidRDefault="00766EB9">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6F30FBA" w14:textId="77777777" w:rsidR="004B3179" w:rsidRDefault="00766EB9">
            <w:pPr>
              <w:rPr>
                <w:color w:val="000000"/>
                <w:sz w:val="20"/>
                <w:szCs w:val="20"/>
              </w:rPr>
            </w:pPr>
            <w:r>
              <w:rPr>
                <w:color w:val="000000"/>
                <w:sz w:val="20"/>
                <w:szCs w:val="20"/>
              </w:rPr>
              <w:t> </w:t>
            </w:r>
          </w:p>
        </w:tc>
      </w:tr>
      <w:tr w:rsidR="004B3179" w14:paraId="7FF65EB4" w14:textId="77777777">
        <w:tc>
          <w:tcPr>
            <w:tcW w:w="2500" w:type="pct"/>
            <w:tcMar>
              <w:top w:w="5" w:type="dxa"/>
              <w:left w:w="5" w:type="dxa"/>
              <w:bottom w:w="5" w:type="dxa"/>
              <w:right w:w="5" w:type="dxa"/>
            </w:tcMar>
            <w:hideMark/>
          </w:tcPr>
          <w:p w14:paraId="10359CA1"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73C695EA"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24723283" w14:textId="77777777" w:rsidR="004B3179" w:rsidRDefault="00766EB9">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4C0892D9" w14:textId="77777777" w:rsidR="004B3179" w:rsidRDefault="00766EB9">
            <w:pPr>
              <w:rPr>
                <w:color w:val="000000"/>
                <w:sz w:val="20"/>
                <w:szCs w:val="20"/>
              </w:rPr>
            </w:pPr>
            <w:r>
              <w:rPr>
                <w:color w:val="000000"/>
                <w:sz w:val="20"/>
                <w:szCs w:val="20"/>
              </w:rPr>
              <w:t> </w:t>
            </w:r>
          </w:p>
        </w:tc>
      </w:tr>
      <w:tr w:rsidR="004B3179" w14:paraId="006CB9F7" w14:textId="77777777">
        <w:tc>
          <w:tcPr>
            <w:tcW w:w="2500" w:type="pct"/>
            <w:tcMar>
              <w:top w:w="5" w:type="dxa"/>
              <w:left w:w="5" w:type="dxa"/>
              <w:bottom w:w="5" w:type="dxa"/>
              <w:right w:w="5" w:type="dxa"/>
            </w:tcMar>
            <w:hideMark/>
          </w:tcPr>
          <w:p w14:paraId="299C115C" w14:textId="77777777" w:rsidR="004B3179" w:rsidRDefault="00766EB9">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52B489" w14:textId="77777777" w:rsidR="004B3179" w:rsidRDefault="00766EB9">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76E4DBDC" w14:textId="77777777" w:rsidR="004B3179" w:rsidRDefault="00766EB9">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44D37CEF" w14:textId="77777777" w:rsidR="004B3179" w:rsidRDefault="00766EB9">
            <w:pPr>
              <w:rPr>
                <w:color w:val="000000"/>
                <w:sz w:val="20"/>
                <w:szCs w:val="20"/>
              </w:rPr>
            </w:pPr>
            <w:r>
              <w:rPr>
                <w:color w:val="000000"/>
                <w:sz w:val="20"/>
                <w:szCs w:val="20"/>
              </w:rPr>
              <w:t> </w:t>
            </w:r>
          </w:p>
        </w:tc>
      </w:tr>
    </w:tbl>
    <w:p w14:paraId="78ED5F0E" w14:textId="77777777" w:rsidR="001355D9" w:rsidRDefault="001355D9" w:rsidP="00CE3919">
      <w:pPr>
        <w:ind w:left="144" w:right="144"/>
        <w:rPr>
          <w:sz w:val="20"/>
          <w:szCs w:val="20"/>
        </w:rPr>
        <w:sectPr w:rsidR="001355D9">
          <w:pgSz w:w="12240" w:h="15840"/>
          <w:pgMar w:top="576" w:right="720" w:bottom="576" w:left="720" w:header="144" w:footer="432" w:gutter="0"/>
          <w:cols w:space="720"/>
        </w:sectPr>
      </w:pPr>
    </w:p>
    <w:p w14:paraId="25551AB0" w14:textId="77777777" w:rsidR="00BE7A5B" w:rsidRPr="004D20F1" w:rsidRDefault="00BE7A5B" w:rsidP="004D20F1">
      <w:pPr>
        <w:widowControl w:val="0"/>
        <w:suppressAutoHyphens/>
        <w:jc w:val="center"/>
        <w:rPr>
          <w:b/>
          <w:bCs/>
        </w:rPr>
      </w:pPr>
      <w:r>
        <w:rPr>
          <w:iCs/>
          <w:snapToGrid w:val="0"/>
          <w:sz w:val="20"/>
          <w:szCs w:val="20"/>
        </w:rPr>
        <w:lastRenderedPageBreak/>
        <w:t xml:space="preserve"> </w:t>
      </w:r>
      <w:r w:rsidRPr="004D20F1">
        <w:rPr>
          <w:b/>
          <w:bCs/>
        </w:rPr>
        <w:t>EXHIBIT 10.1</w:t>
      </w:r>
    </w:p>
    <w:p w14:paraId="4CED9CF1" w14:textId="77777777" w:rsidR="00BE7A5B" w:rsidRPr="004D20F1" w:rsidRDefault="00BE7A5B" w:rsidP="004D20F1">
      <w:pPr>
        <w:widowControl w:val="0"/>
        <w:suppressAutoHyphens/>
        <w:jc w:val="center"/>
        <w:rPr>
          <w:b/>
          <w:bCs/>
        </w:rPr>
      </w:pPr>
    </w:p>
    <w:p w14:paraId="52AA9C92" w14:textId="77777777" w:rsidR="00BE7A5B" w:rsidRPr="004D20F1" w:rsidRDefault="00BE7A5B" w:rsidP="004D20F1">
      <w:pPr>
        <w:widowControl w:val="0"/>
        <w:suppressAutoHyphens/>
        <w:jc w:val="center"/>
        <w:rPr>
          <w:b/>
          <w:bCs/>
        </w:rPr>
      </w:pPr>
    </w:p>
    <w:p w14:paraId="764570C4" w14:textId="77777777" w:rsidR="00BE7A5B" w:rsidRPr="004D20F1" w:rsidRDefault="00BE7A5B" w:rsidP="004D20F1">
      <w:pPr>
        <w:widowControl w:val="0"/>
        <w:suppressAutoHyphens/>
        <w:jc w:val="center"/>
        <w:rPr>
          <w:b/>
          <w:bCs/>
        </w:rPr>
      </w:pPr>
      <w:r w:rsidRPr="004D20F1">
        <w:rPr>
          <w:b/>
          <w:bCs/>
        </w:rPr>
        <w:t xml:space="preserve">Patent and Biological Materials License Agreement </w:t>
      </w:r>
      <w:r>
        <w:rPr>
          <w:b/>
          <w:bCs/>
        </w:rPr>
        <w:t xml:space="preserve">for Internal Research Use </w:t>
      </w:r>
      <w:r w:rsidRPr="004D20F1">
        <w:rPr>
          <w:b/>
          <w:bCs/>
        </w:rPr>
        <w:t xml:space="preserve">with the </w:t>
      </w:r>
    </w:p>
    <w:p w14:paraId="61040656" w14:textId="77777777" w:rsidR="00BE7A5B" w:rsidRPr="004D20F1" w:rsidRDefault="00BE7A5B" w:rsidP="004D20F1">
      <w:pPr>
        <w:widowControl w:val="0"/>
        <w:suppressAutoHyphens/>
        <w:jc w:val="center"/>
        <w:rPr>
          <w:b/>
          <w:bCs/>
        </w:rPr>
      </w:pPr>
      <w:r w:rsidRPr="004D20F1">
        <w:rPr>
          <w:b/>
          <w:bCs/>
        </w:rPr>
        <w:t xml:space="preserve">National Institute of Allergy and Infectious Diseases, dated </w:t>
      </w:r>
      <w:r>
        <w:rPr>
          <w:b/>
          <w:bCs/>
        </w:rPr>
        <w:t>November</w:t>
      </w:r>
      <w:r w:rsidRPr="004D20F1">
        <w:rPr>
          <w:b/>
          <w:bCs/>
        </w:rPr>
        <w:t xml:space="preserve"> 2</w:t>
      </w:r>
      <w:r>
        <w:rPr>
          <w:b/>
          <w:bCs/>
        </w:rPr>
        <w:t>5</w:t>
      </w:r>
      <w:r w:rsidRPr="004D20F1">
        <w:rPr>
          <w:b/>
          <w:bCs/>
        </w:rPr>
        <w:t>, 2020</w:t>
      </w:r>
    </w:p>
    <w:p w14:paraId="72740A40" w14:textId="77777777" w:rsidR="00BE7A5B" w:rsidRPr="004D20F1" w:rsidRDefault="00BE7A5B" w:rsidP="004D20F1">
      <w:pPr>
        <w:widowControl w:val="0"/>
        <w:suppressAutoHyphens/>
      </w:pPr>
    </w:p>
    <w:p w14:paraId="68BA2080" w14:textId="77777777" w:rsidR="00BE7A5B" w:rsidRPr="004D20F1" w:rsidRDefault="00BE7A5B" w:rsidP="004D20F1">
      <w:pPr>
        <w:widowControl w:val="0"/>
        <w:suppressAutoHyphens/>
      </w:pPr>
    </w:p>
    <w:p w14:paraId="477DB407" w14:textId="77777777" w:rsidR="00BE7A5B" w:rsidRPr="004D20F1" w:rsidRDefault="00BE7A5B" w:rsidP="004D20F1">
      <w:pPr>
        <w:widowControl w:val="0"/>
        <w:suppressAutoHyphens/>
      </w:pPr>
    </w:p>
    <w:p w14:paraId="3C704F1A" w14:textId="77777777" w:rsidR="00BE7A5B" w:rsidRPr="004D20F1" w:rsidRDefault="00BE7A5B" w:rsidP="004D20F1">
      <w:pPr>
        <w:widowControl w:val="0"/>
        <w:suppressAutoHyphens/>
        <w:jc w:val="center"/>
      </w:pPr>
      <w:r w:rsidRPr="004D20F1">
        <w:t xml:space="preserve">Certain information as identified herein has been omitted from this exhibit because it is </w:t>
      </w:r>
    </w:p>
    <w:p w14:paraId="3B977B20" w14:textId="77777777" w:rsidR="00BE7A5B" w:rsidRPr="004D20F1" w:rsidRDefault="00BE7A5B" w:rsidP="004D20F1">
      <w:pPr>
        <w:widowControl w:val="0"/>
        <w:suppressAutoHyphens/>
        <w:jc w:val="center"/>
      </w:pPr>
      <w:r w:rsidRPr="004D20F1">
        <w:t>both (i) not material and (ii) would be competitively harmful if publicly disclosed.</w:t>
      </w:r>
    </w:p>
    <w:p w14:paraId="3D5B5CEE" w14:textId="77777777" w:rsidR="00BE7A5B" w:rsidRPr="004D20F1" w:rsidRDefault="00BE7A5B" w:rsidP="004D20F1">
      <w:pPr>
        <w:rPr>
          <w:bCs/>
          <w:sz w:val="28"/>
          <w:szCs w:val="28"/>
        </w:rPr>
      </w:pPr>
    </w:p>
    <w:p w14:paraId="7508FC49" w14:textId="77777777" w:rsidR="00BE7A5B" w:rsidRPr="004D20F1" w:rsidRDefault="00BE7A5B" w:rsidP="004D20F1">
      <w:pPr>
        <w:rPr>
          <w:bCs/>
          <w:sz w:val="28"/>
          <w:szCs w:val="28"/>
        </w:rPr>
      </w:pPr>
    </w:p>
    <w:p w14:paraId="74C376F3" w14:textId="77777777" w:rsidR="00BE7A5B" w:rsidRPr="004D20F1" w:rsidRDefault="00BE7A5B" w:rsidP="004D20F1">
      <w:pPr>
        <w:rPr>
          <w:bCs/>
          <w:sz w:val="28"/>
          <w:szCs w:val="28"/>
        </w:rPr>
      </w:pPr>
    </w:p>
    <w:p w14:paraId="09B740FE" w14:textId="77777777" w:rsidR="00BE7A5B" w:rsidRDefault="00BE7A5B">
      <w:pPr>
        <w:rPr>
          <w:b/>
          <w:sz w:val="28"/>
          <w:szCs w:val="28"/>
        </w:rPr>
      </w:pPr>
    </w:p>
    <w:p w14:paraId="5644F55D" w14:textId="77777777" w:rsidR="00BE7A5B" w:rsidRDefault="00BE7A5B">
      <w:pPr>
        <w:rPr>
          <w:b/>
          <w:sz w:val="28"/>
          <w:szCs w:val="28"/>
        </w:rPr>
      </w:pPr>
    </w:p>
    <w:p w14:paraId="2E85C741" w14:textId="77777777" w:rsidR="00BE7A5B" w:rsidRDefault="00BE7A5B">
      <w:pPr>
        <w:rPr>
          <w:b/>
          <w:sz w:val="28"/>
          <w:szCs w:val="28"/>
        </w:rPr>
      </w:pPr>
    </w:p>
    <w:p w14:paraId="5D39D39D" w14:textId="77777777" w:rsidR="00BE7A5B" w:rsidRDefault="00BE7A5B">
      <w:pPr>
        <w:rPr>
          <w:b/>
          <w:sz w:val="28"/>
          <w:szCs w:val="28"/>
        </w:rPr>
      </w:pPr>
      <w:r>
        <w:rPr>
          <w:b/>
          <w:sz w:val="28"/>
          <w:szCs w:val="28"/>
        </w:rPr>
        <w:br w:type="page"/>
      </w:r>
    </w:p>
    <w:p w14:paraId="0E78276C" w14:textId="77777777" w:rsidR="00BE7A5B" w:rsidRPr="0067483F" w:rsidRDefault="00BE7A5B" w:rsidP="00073147">
      <w:pPr>
        <w:jc w:val="center"/>
        <w:rPr>
          <w:b/>
          <w:sz w:val="28"/>
          <w:szCs w:val="28"/>
        </w:rPr>
      </w:pPr>
      <w:r w:rsidRPr="0067483F">
        <w:rPr>
          <w:b/>
          <w:sz w:val="28"/>
          <w:szCs w:val="28"/>
        </w:rPr>
        <w:t>PUBLIC HEALTH SERVICE</w:t>
      </w:r>
    </w:p>
    <w:p w14:paraId="328D179A" w14:textId="77777777" w:rsidR="00BE7A5B" w:rsidRPr="0067483F" w:rsidRDefault="00BE7A5B" w:rsidP="00073147">
      <w:pPr>
        <w:jc w:val="center"/>
        <w:rPr>
          <w:sz w:val="28"/>
          <w:szCs w:val="28"/>
        </w:rPr>
      </w:pPr>
    </w:p>
    <w:p w14:paraId="69CF3FB7" w14:textId="77777777" w:rsidR="00BE7A5B" w:rsidRDefault="00BE7A5B" w:rsidP="00073147">
      <w:pPr>
        <w:jc w:val="center"/>
        <w:rPr>
          <w:b/>
        </w:rPr>
      </w:pPr>
      <w:r>
        <w:rPr>
          <w:b/>
        </w:rPr>
        <w:t>NON</w:t>
      </w:r>
      <w:r>
        <w:rPr>
          <w:b/>
        </w:rPr>
        <w:noBreakHyphen/>
        <w:t>EXCLUSIVE PATENT and BIOLOGICAL MATERIALS LICENSE AGREEMENT</w:t>
      </w:r>
    </w:p>
    <w:p w14:paraId="4ECC4857" w14:textId="77777777" w:rsidR="00BE7A5B" w:rsidRPr="00CB2338" w:rsidRDefault="00BE7A5B" w:rsidP="00073147">
      <w:pPr>
        <w:spacing w:after="240"/>
        <w:jc w:val="center"/>
        <w:rPr>
          <w:b/>
        </w:rPr>
      </w:pPr>
      <w:r>
        <w:rPr>
          <w:b/>
        </w:rPr>
        <w:t>FOR INTERNAL RESEARCH USE</w:t>
      </w:r>
    </w:p>
    <w:p w14:paraId="0E000AEC" w14:textId="77777777" w:rsidR="00BE7A5B" w:rsidRPr="00C56372" w:rsidRDefault="00BE7A5B" w:rsidP="00073147">
      <w:pPr>
        <w:pStyle w:val="BodyText"/>
        <w:jc w:val="center"/>
      </w:pPr>
      <w:r w:rsidRPr="00C56372">
        <w:t xml:space="preserve">This </w:t>
      </w:r>
      <w:r w:rsidRPr="00C56372">
        <w:rPr>
          <w:b/>
        </w:rPr>
        <w:t>Agreement</w:t>
      </w:r>
      <w:r w:rsidRPr="00C56372">
        <w:t xml:space="preserve"> is based on the model </w:t>
      </w:r>
      <w:r>
        <w:t>Non-Exclusive Patent Internal Use Agreement</w:t>
      </w:r>
      <w:r w:rsidRPr="00C56372">
        <w:t xml:space="preserve"> adopted by the U.S. Public Health Service (“</w:t>
      </w:r>
      <w:r w:rsidRPr="008915D2">
        <w:rPr>
          <w:b/>
        </w:rPr>
        <w:t>PHS</w:t>
      </w:r>
      <w:r w:rsidRPr="00C56372">
        <w:t>”) Technology Transfer Policy Board for use by components of the National Institutes of Health (“</w:t>
      </w:r>
      <w:r w:rsidRPr="008915D2">
        <w:rPr>
          <w:b/>
        </w:rPr>
        <w:t>NIH</w:t>
      </w:r>
      <w:r w:rsidRPr="00C56372">
        <w:t>”), the Centers for Disease Control and Prevention (“</w:t>
      </w:r>
      <w:r w:rsidRPr="008915D2">
        <w:rPr>
          <w:b/>
        </w:rPr>
        <w:t>CDC</w:t>
      </w:r>
      <w:r w:rsidRPr="00C56372">
        <w:t>”), and the Food and Drug Administration (“</w:t>
      </w:r>
      <w:r w:rsidRPr="008915D2">
        <w:rPr>
          <w:b/>
        </w:rPr>
        <w:t>FDA</w:t>
      </w:r>
      <w:r w:rsidRPr="00C56372">
        <w:t xml:space="preserve">”), which are agencies of the </w:t>
      </w:r>
      <w:r w:rsidRPr="00A1228A">
        <w:rPr>
          <w:b/>
        </w:rPr>
        <w:t>PHS</w:t>
      </w:r>
      <w:r w:rsidRPr="00C56372">
        <w:t xml:space="preserve"> within the Department of Health and Human Services (“</w:t>
      </w:r>
      <w:r w:rsidRPr="008915D2">
        <w:rPr>
          <w:b/>
        </w:rPr>
        <w:t>HHS</w:t>
      </w:r>
      <w:r w:rsidRPr="00C56372">
        <w:t>”).</w:t>
      </w:r>
    </w:p>
    <w:p w14:paraId="32AFC6FE" w14:textId="77777777" w:rsidR="00BE7A5B" w:rsidRPr="00C56372" w:rsidRDefault="00BE7A5B" w:rsidP="00073147">
      <w:pPr>
        <w:pStyle w:val="BodyText"/>
        <w:jc w:val="center"/>
      </w:pPr>
    </w:p>
    <w:p w14:paraId="1C71CE26" w14:textId="77777777" w:rsidR="00BE7A5B" w:rsidRPr="00C56372" w:rsidRDefault="00BE7A5B" w:rsidP="00073147">
      <w:pPr>
        <w:pStyle w:val="BodyText"/>
        <w:jc w:val="center"/>
      </w:pPr>
      <w:r w:rsidRPr="00C56372">
        <w:t xml:space="preserve">This Cover Page identifies the Parties to this </w:t>
      </w:r>
      <w:r w:rsidRPr="00C56372">
        <w:rPr>
          <w:b/>
        </w:rPr>
        <w:t>Agreement</w:t>
      </w:r>
      <w:r w:rsidRPr="00C56372">
        <w:t>:</w:t>
      </w:r>
    </w:p>
    <w:p w14:paraId="54FE5368" w14:textId="77777777" w:rsidR="00BE7A5B" w:rsidRPr="00C56372" w:rsidRDefault="00BE7A5B" w:rsidP="00073147">
      <w:pPr>
        <w:pStyle w:val="BodyText"/>
        <w:jc w:val="center"/>
      </w:pPr>
    </w:p>
    <w:p w14:paraId="3BD2A130" w14:textId="77777777" w:rsidR="00BE7A5B" w:rsidRPr="00C56372" w:rsidRDefault="00BE7A5B" w:rsidP="00586D3D">
      <w:pPr>
        <w:pStyle w:val="BodyText"/>
        <w:jc w:val="center"/>
      </w:pPr>
      <w:r w:rsidRPr="00C56372">
        <w:t>The U.S. Department of Health and Human Services, as represented by</w:t>
      </w:r>
    </w:p>
    <w:p w14:paraId="1A7E7134" w14:textId="77777777" w:rsidR="00BE7A5B" w:rsidRDefault="00BE7A5B" w:rsidP="00586D3D">
      <w:pPr>
        <w:pStyle w:val="BodyText"/>
        <w:jc w:val="center"/>
      </w:pPr>
      <w:r w:rsidRPr="00BF6E60">
        <w:t>National Institute of Allergy and Infectious Diseases</w:t>
      </w:r>
      <w:r>
        <w:t>,</w:t>
      </w:r>
      <w:r w:rsidRPr="00C56372">
        <w:t xml:space="preserve"> </w:t>
      </w:r>
    </w:p>
    <w:p w14:paraId="7FC9854B" w14:textId="77777777" w:rsidR="00BE7A5B" w:rsidRPr="00C56372" w:rsidRDefault="00BE7A5B" w:rsidP="00586D3D">
      <w:pPr>
        <w:pStyle w:val="BodyText"/>
        <w:jc w:val="center"/>
      </w:pPr>
      <w:r w:rsidRPr="00C56372">
        <w:t>an Institute or Center (hereinafter referred to as the “</w:t>
      </w:r>
      <w:r w:rsidRPr="00C56372">
        <w:rPr>
          <w:b/>
        </w:rPr>
        <w:t>IC</w:t>
      </w:r>
      <w:r w:rsidRPr="00C56372">
        <w:t>”) of the</w:t>
      </w:r>
    </w:p>
    <w:p w14:paraId="710B914B" w14:textId="77777777" w:rsidR="00BE7A5B" w:rsidRPr="00BF6E60" w:rsidRDefault="00BE7A5B" w:rsidP="00BF6E60">
      <w:pPr>
        <w:spacing w:after="120"/>
        <w:jc w:val="center"/>
        <w:rPr>
          <w:b/>
        </w:rPr>
      </w:pPr>
      <w:r w:rsidRPr="00BF6E60">
        <w:rPr>
          <w:b/>
        </w:rPr>
        <w:t>NIH</w:t>
      </w:r>
    </w:p>
    <w:p w14:paraId="63D1DE9C" w14:textId="77777777" w:rsidR="00BE7A5B" w:rsidRPr="00C56372" w:rsidRDefault="00BE7A5B" w:rsidP="00586D3D">
      <w:pPr>
        <w:pStyle w:val="BodyText"/>
        <w:jc w:val="center"/>
      </w:pPr>
    </w:p>
    <w:p w14:paraId="0555E3F6" w14:textId="77777777" w:rsidR="00BE7A5B" w:rsidRPr="00C56372" w:rsidRDefault="00BE7A5B" w:rsidP="00586D3D">
      <w:pPr>
        <w:pStyle w:val="BodyText"/>
        <w:jc w:val="center"/>
      </w:pPr>
      <w:r w:rsidRPr="00C56372">
        <w:t>and</w:t>
      </w:r>
    </w:p>
    <w:p w14:paraId="4B170D50" w14:textId="77777777" w:rsidR="00BE7A5B" w:rsidRPr="00C56372" w:rsidRDefault="00BE7A5B" w:rsidP="00586D3D">
      <w:pPr>
        <w:pStyle w:val="BodyText"/>
        <w:jc w:val="center"/>
      </w:pPr>
    </w:p>
    <w:p w14:paraId="4E6691B3" w14:textId="77777777" w:rsidR="00BE7A5B" w:rsidRPr="00A95E1F" w:rsidRDefault="00BE7A5B" w:rsidP="00586D3D">
      <w:pPr>
        <w:spacing w:after="120"/>
        <w:jc w:val="center"/>
      </w:pPr>
      <w:r w:rsidRPr="00084174">
        <w:t>GeoVax Inc</w:t>
      </w:r>
      <w:r w:rsidRPr="00B76CF3">
        <w:t xml:space="preserve">., </w:t>
      </w:r>
      <w:r w:rsidRPr="00084174">
        <w:t>hereinafter</w:t>
      </w:r>
      <w:r w:rsidRPr="00A95E1F">
        <w:t xml:space="preserve"> referred to as the “</w:t>
      </w:r>
      <w:r w:rsidRPr="00A95E1F">
        <w:rPr>
          <w:b/>
        </w:rPr>
        <w:t>Licensee</w:t>
      </w:r>
      <w:r w:rsidRPr="00A95E1F">
        <w:t>”,</w:t>
      </w:r>
    </w:p>
    <w:p w14:paraId="4FF05F7C" w14:textId="77777777" w:rsidR="00BE7A5B" w:rsidRPr="00A95E1F" w:rsidRDefault="00BE7A5B" w:rsidP="00586D3D">
      <w:pPr>
        <w:spacing w:after="120"/>
        <w:jc w:val="center"/>
      </w:pPr>
      <w:r w:rsidRPr="00A95E1F">
        <w:t xml:space="preserve">having offices at </w:t>
      </w:r>
      <w:r w:rsidRPr="002D052B">
        <w:t>1900 Lake Park Dr., Ste.380</w:t>
      </w:r>
      <w:r>
        <w:t>,</w:t>
      </w:r>
      <w:r w:rsidRPr="002D052B">
        <w:t xml:space="preserve"> Smyrna, Georgia 30080</w:t>
      </w:r>
      <w:r>
        <w:t xml:space="preserve">, </w:t>
      </w:r>
    </w:p>
    <w:p w14:paraId="538C019F" w14:textId="77777777" w:rsidR="00BE7A5B" w:rsidRDefault="00BE7A5B" w:rsidP="00586D3D">
      <w:pPr>
        <w:spacing w:after="120"/>
        <w:jc w:val="center"/>
      </w:pPr>
      <w:r w:rsidRPr="00A95E1F">
        <w:t xml:space="preserve">created and operating under the laws of </w:t>
      </w:r>
      <w:r w:rsidRPr="002D052B">
        <w:t>Georgia, United States</w:t>
      </w:r>
      <w:r w:rsidRPr="000005FC">
        <w:t xml:space="preserve"> of </w:t>
      </w:r>
      <w:r w:rsidRPr="002F7DDC">
        <w:t>America</w:t>
      </w:r>
      <w:r w:rsidRPr="00A95E1F">
        <w:t>.</w:t>
      </w:r>
    </w:p>
    <w:p w14:paraId="3D2707FB" w14:textId="77777777" w:rsidR="00BE7A5B" w:rsidRDefault="00BE7A5B" w:rsidP="0030648C">
      <w:pPr>
        <w:tabs>
          <w:tab w:val="left" w:pos="720"/>
        </w:tabs>
        <w:jc w:val="center"/>
        <w:rPr>
          <w:b/>
        </w:rPr>
      </w:pPr>
      <w:r>
        <w:rPr>
          <w:b/>
        </w:rPr>
        <w:t xml:space="preserve">Tax ID </w:t>
      </w:r>
      <w:proofErr w:type="gramStart"/>
      <w:r>
        <w:rPr>
          <w:b/>
        </w:rPr>
        <w:t>No.</w:t>
      </w:r>
      <w:r w:rsidRPr="002D052B">
        <w:rPr>
          <w:b/>
        </w:rPr>
        <w:t xml:space="preserve"> </w:t>
      </w:r>
      <w:r>
        <w:rPr>
          <w:b/>
        </w:rPr>
        <w:t>:</w:t>
      </w:r>
      <w:proofErr w:type="gramEnd"/>
      <w:r>
        <w:rPr>
          <w:b/>
        </w:rPr>
        <w:t xml:space="preserve">  </w:t>
      </w:r>
      <w:r w:rsidRPr="00C464B6">
        <w:rPr>
          <w:b/>
        </w:rPr>
        <w:t>58-2646816</w:t>
      </w:r>
    </w:p>
    <w:p w14:paraId="1D69EC25" w14:textId="77777777" w:rsidR="00BE7A5B" w:rsidRPr="00A95E1F" w:rsidRDefault="00BE7A5B" w:rsidP="00586D3D">
      <w:pPr>
        <w:spacing w:after="120"/>
        <w:jc w:val="center"/>
        <w:rPr>
          <w:rFonts w:ascii="Times New Roman Bold" w:hAnsi="Times New Roman Bold"/>
          <w:b/>
          <w:caps/>
        </w:rPr>
      </w:pPr>
    </w:p>
    <w:p w14:paraId="0395179E" w14:textId="77777777" w:rsidR="00BE7A5B" w:rsidRDefault="00BE7A5B">
      <w:pPr>
        <w:rPr>
          <w:b/>
        </w:rPr>
      </w:pPr>
    </w:p>
    <w:p w14:paraId="09B7C984" w14:textId="77777777" w:rsidR="00BE7A5B" w:rsidRDefault="00BE7A5B">
      <w:pPr>
        <w:rPr>
          <w:b/>
        </w:rPr>
      </w:pPr>
      <w:r>
        <w:rPr>
          <w:b/>
        </w:rPr>
        <w:br w:type="page"/>
      </w:r>
    </w:p>
    <w:p w14:paraId="6ABA7A82" w14:textId="77777777" w:rsidR="00BE7A5B" w:rsidRPr="00C37685" w:rsidRDefault="00BE7A5B" w:rsidP="00651C0E">
      <w:pPr>
        <w:tabs>
          <w:tab w:val="left" w:pos="-1440"/>
        </w:tabs>
        <w:spacing w:after="480"/>
      </w:pPr>
      <w:r w:rsidRPr="00C37685">
        <w:t xml:space="preserve">For </w:t>
      </w:r>
      <w:r w:rsidRPr="006F3C00">
        <w:rPr>
          <w:b/>
        </w:rPr>
        <w:t>IC</w:t>
      </w:r>
      <w:r>
        <w:rPr>
          <w:b/>
        </w:rPr>
        <w:t>’s</w:t>
      </w:r>
      <w:r w:rsidRPr="00C37685">
        <w:t xml:space="preserve"> internal use only:</w:t>
      </w:r>
    </w:p>
    <w:p w14:paraId="0EFAB7DA" w14:textId="77777777" w:rsidR="00BE7A5B" w:rsidRPr="00C37685" w:rsidRDefault="00BE7A5B" w:rsidP="006F3C00">
      <w:pPr>
        <w:tabs>
          <w:tab w:val="left" w:pos="-1440"/>
        </w:tabs>
        <w:spacing w:after="480"/>
        <w:ind w:left="720"/>
      </w:pPr>
      <w:r w:rsidRPr="00C37685">
        <w:t xml:space="preserve">License Number: </w:t>
      </w:r>
      <w:r w:rsidRPr="00F40947">
        <w:t>L-243-2020-0</w:t>
      </w:r>
    </w:p>
    <w:p w14:paraId="436BEBE1" w14:textId="77777777" w:rsidR="00BE7A5B" w:rsidRPr="00C37685" w:rsidRDefault="00BE7A5B" w:rsidP="00651C0E">
      <w:pPr>
        <w:tabs>
          <w:tab w:val="left" w:pos="-1440"/>
        </w:tabs>
        <w:spacing w:after="240"/>
        <w:ind w:left="720"/>
      </w:pPr>
      <w:r w:rsidRPr="00C37685">
        <w:t>License Application Number:</w:t>
      </w:r>
      <w:r>
        <w:t xml:space="preserve"> A-411-2020</w:t>
      </w:r>
    </w:p>
    <w:p w14:paraId="1E44EDBB" w14:textId="77777777" w:rsidR="00BE7A5B" w:rsidRPr="00C37685" w:rsidRDefault="00BE7A5B" w:rsidP="00651C0E">
      <w:pPr>
        <w:tabs>
          <w:tab w:val="left" w:pos="-1440"/>
        </w:tabs>
        <w:spacing w:after="240"/>
        <w:ind w:left="720"/>
      </w:pPr>
    </w:p>
    <w:p w14:paraId="5560F45A" w14:textId="77777777" w:rsidR="00BE7A5B" w:rsidRPr="00C37685" w:rsidRDefault="00BE7A5B" w:rsidP="00651C0E">
      <w:pPr>
        <w:tabs>
          <w:tab w:val="left" w:pos="-1440"/>
        </w:tabs>
        <w:spacing w:after="240"/>
        <w:ind w:left="720"/>
      </w:pPr>
      <w:r w:rsidRPr="00C37685">
        <w:t>Serial Number(s) of Licensed Patent(s) or Patent Application(s):</w:t>
      </w:r>
      <w:r>
        <w:t xml:space="preserve"> Appendix A</w:t>
      </w:r>
    </w:p>
    <w:p w14:paraId="038AFD3C" w14:textId="77777777" w:rsidR="00BE7A5B" w:rsidRDefault="00BE7A5B" w:rsidP="006F3C00">
      <w:pPr>
        <w:tabs>
          <w:tab w:val="left" w:pos="-1440"/>
        </w:tabs>
        <w:spacing w:after="240"/>
      </w:pPr>
      <w:r>
        <w:t xml:space="preserve"> </w:t>
      </w:r>
    </w:p>
    <w:p w14:paraId="0621A6CA" w14:textId="77777777" w:rsidR="00BE7A5B" w:rsidRPr="00C37685" w:rsidRDefault="00BE7A5B" w:rsidP="00651C0E">
      <w:pPr>
        <w:tabs>
          <w:tab w:val="left" w:pos="-1440"/>
        </w:tabs>
        <w:spacing w:after="240"/>
        <w:ind w:left="720"/>
      </w:pPr>
      <w:r>
        <w:t>Cooperative Research and Development Agreement (CRADA) Number (if a subject invention): N/A</w:t>
      </w:r>
    </w:p>
    <w:p w14:paraId="54084B81" w14:textId="77777777" w:rsidR="00BE7A5B" w:rsidRPr="00C37685" w:rsidRDefault="00BE7A5B" w:rsidP="00651C0E">
      <w:pPr>
        <w:tabs>
          <w:tab w:val="left" w:pos="-1440"/>
        </w:tabs>
        <w:spacing w:after="240"/>
        <w:ind w:left="720"/>
      </w:pPr>
    </w:p>
    <w:p w14:paraId="5D456F93" w14:textId="77777777" w:rsidR="00BE7A5B" w:rsidRPr="00C37685" w:rsidRDefault="00BE7A5B" w:rsidP="00651C0E">
      <w:pPr>
        <w:tabs>
          <w:tab w:val="left" w:pos="-1440"/>
        </w:tabs>
        <w:spacing w:after="240"/>
        <w:ind w:left="720"/>
      </w:pPr>
      <w:r w:rsidRPr="00C37685">
        <w:t>Additional Remarks:</w:t>
      </w:r>
      <w:r>
        <w:t xml:space="preserve"> N/A</w:t>
      </w:r>
    </w:p>
    <w:p w14:paraId="4BD640D4" w14:textId="77777777" w:rsidR="00BE7A5B" w:rsidRPr="00C37685" w:rsidRDefault="00BE7A5B" w:rsidP="00651C0E">
      <w:pPr>
        <w:tabs>
          <w:tab w:val="left" w:pos="-1440"/>
        </w:tabs>
        <w:spacing w:after="240"/>
        <w:ind w:left="720"/>
      </w:pPr>
    </w:p>
    <w:p w14:paraId="7581EA77" w14:textId="77777777" w:rsidR="00BE7A5B" w:rsidRPr="00C37685" w:rsidRDefault="00BE7A5B" w:rsidP="00651C0E">
      <w:pPr>
        <w:tabs>
          <w:tab w:val="left" w:pos="-1440"/>
        </w:tabs>
        <w:spacing w:after="240"/>
        <w:ind w:left="720"/>
      </w:pPr>
      <w:r w:rsidRPr="00C37685">
        <w:t>Public Benefit(s):</w:t>
      </w:r>
      <w:r>
        <w:t xml:space="preserve"> Novel therapeutics may be developed using a recombinant MVA platform.</w:t>
      </w:r>
    </w:p>
    <w:p w14:paraId="140CD530" w14:textId="77777777" w:rsidR="00BE7A5B" w:rsidRPr="00C37685" w:rsidRDefault="00BE7A5B" w:rsidP="00651C0E">
      <w:pPr>
        <w:tabs>
          <w:tab w:val="left" w:pos="-1440"/>
        </w:tabs>
        <w:spacing w:after="240"/>
        <w:ind w:left="720"/>
      </w:pPr>
    </w:p>
    <w:p w14:paraId="4B5B52F3" w14:textId="77777777" w:rsidR="00BE7A5B" w:rsidRDefault="00BE7A5B" w:rsidP="006F3C00">
      <w:pPr>
        <w:tabs>
          <w:tab w:val="left" w:pos="-1440"/>
        </w:tabs>
        <w:spacing w:before="240" w:after="240"/>
      </w:pPr>
      <w:r w:rsidRPr="00C37685">
        <w:t xml:space="preserve">This Patent License Agreement, hereinafter referred to as the </w:t>
      </w:r>
      <w:r>
        <w:t>“</w:t>
      </w:r>
      <w:r w:rsidRPr="00C37685">
        <w:rPr>
          <w:b/>
        </w:rPr>
        <w:t>Agreement</w:t>
      </w:r>
      <w:r>
        <w:t>”</w:t>
      </w:r>
      <w:r w:rsidRPr="00C37685">
        <w:t xml:space="preserve">, consists of this Cover Page, an attached </w:t>
      </w:r>
      <w:r w:rsidRPr="00C37685">
        <w:rPr>
          <w:b/>
        </w:rPr>
        <w:t>Agreement</w:t>
      </w:r>
      <w:r>
        <w:t xml:space="preserve">, a Signature Page, Appendix </w:t>
      </w:r>
      <w:r w:rsidRPr="00C37685">
        <w:t>A (List of Patent(s) or Patent Application(s)), Appendix</w:t>
      </w:r>
      <w:r>
        <w:t xml:space="preserve"> </w:t>
      </w:r>
      <w:r w:rsidRPr="00C37685">
        <w:t>B (</w:t>
      </w:r>
      <w:r w:rsidRPr="00957E56">
        <w:t>L</w:t>
      </w:r>
      <w:r>
        <w:t>icensed Products, Processes, Territory, Field of Use and Termination)</w:t>
      </w:r>
      <w:r w:rsidRPr="00C37685">
        <w:t>, Appe</w:t>
      </w:r>
      <w:r>
        <w:t xml:space="preserve">ndix C (Royalties), and </w:t>
      </w:r>
      <w:r w:rsidRPr="00C37685">
        <w:t>Appendix</w:t>
      </w:r>
      <w:r>
        <w:t xml:space="preserve"> D</w:t>
      </w:r>
      <w:r w:rsidRPr="00C37685">
        <w:t xml:space="preserve"> (</w:t>
      </w:r>
      <w:r>
        <w:t>Royalty Payment Options).</w:t>
      </w:r>
    </w:p>
    <w:p w14:paraId="098A1D2E" w14:textId="77777777" w:rsidR="00BE7A5B" w:rsidRDefault="00BE7A5B">
      <w:pPr>
        <w:rPr>
          <w:b/>
        </w:rPr>
      </w:pPr>
      <w:r>
        <w:rPr>
          <w:b/>
        </w:rPr>
        <w:br w:type="page"/>
      </w:r>
    </w:p>
    <w:p w14:paraId="128E2C94" w14:textId="77777777" w:rsidR="00BE7A5B" w:rsidRPr="00EB14CE" w:rsidRDefault="00BE7A5B" w:rsidP="008D2C6C">
      <w:pPr>
        <w:spacing w:after="240"/>
      </w:pPr>
      <w:r>
        <w:t xml:space="preserve">The </w:t>
      </w:r>
      <w:r w:rsidRPr="0036666C">
        <w:rPr>
          <w:b/>
        </w:rPr>
        <w:t>IC</w:t>
      </w:r>
      <w:r w:rsidRPr="00EB14CE">
        <w:t xml:space="preserve"> and</w:t>
      </w:r>
      <w:r>
        <w:t xml:space="preserve"> the</w:t>
      </w:r>
      <w:r w:rsidRPr="00EB14CE">
        <w:t xml:space="preserve"> </w:t>
      </w:r>
      <w:r w:rsidRPr="00EB14CE">
        <w:rPr>
          <w:b/>
        </w:rPr>
        <w:t>Licensee</w:t>
      </w:r>
      <w:r w:rsidRPr="00EB14CE">
        <w:t xml:space="preserve"> agree as follows:</w:t>
      </w:r>
    </w:p>
    <w:p w14:paraId="7350EC73" w14:textId="77777777" w:rsidR="00BE7A5B" w:rsidRPr="00EB14CE" w:rsidRDefault="00BE7A5B" w:rsidP="008D2C6C">
      <w:pPr>
        <w:pStyle w:val="Level1License"/>
        <w:spacing w:after="240"/>
      </w:pPr>
      <w:r w:rsidRPr="00EB14CE">
        <w:t>BACKGROUND</w:t>
      </w:r>
    </w:p>
    <w:p w14:paraId="028BEAF2" w14:textId="77777777" w:rsidR="00BE7A5B" w:rsidRPr="00EB14CE" w:rsidRDefault="00BE7A5B" w:rsidP="008D2C6C">
      <w:pPr>
        <w:pStyle w:val="Level2License"/>
        <w:spacing w:after="240"/>
      </w:pPr>
      <w:proofErr w:type="gramStart"/>
      <w:r w:rsidRPr="00EB14CE">
        <w:t>In the course of</w:t>
      </w:r>
      <w:proofErr w:type="gramEnd"/>
      <w:r w:rsidRPr="00EB14CE">
        <w:t xml:space="preserve"> conducting biomedical and behavioral research,</w:t>
      </w:r>
      <w:r>
        <w:t xml:space="preserve"> the</w:t>
      </w:r>
      <w:r w:rsidRPr="00EB14CE">
        <w:t xml:space="preserve"> </w:t>
      </w:r>
      <w:r w:rsidRPr="0036666C">
        <w:rPr>
          <w:b/>
        </w:rPr>
        <w:t>IC</w:t>
      </w:r>
      <w:r w:rsidRPr="00EB14CE">
        <w:t xml:space="preserve"> investigators made inventions that may have commercial applicability.</w:t>
      </w:r>
    </w:p>
    <w:p w14:paraId="4CC1006F" w14:textId="77777777" w:rsidR="00BE7A5B" w:rsidRPr="00EB14CE" w:rsidRDefault="00BE7A5B" w:rsidP="008D2C6C">
      <w:pPr>
        <w:pStyle w:val="Level2License"/>
        <w:spacing w:after="240"/>
      </w:pPr>
      <w:r w:rsidRPr="00EB14CE">
        <w:t xml:space="preserve">By assignment of rights </w:t>
      </w:r>
      <w:r>
        <w:t>from the</w:t>
      </w:r>
      <w:r w:rsidRPr="00EB14CE">
        <w:t xml:space="preserve"> </w:t>
      </w:r>
      <w:r w:rsidRPr="0036666C">
        <w:rPr>
          <w:b/>
        </w:rPr>
        <w:t>IC</w:t>
      </w:r>
      <w:r w:rsidRPr="00EB14CE">
        <w:t xml:space="preserve"> employees and other inventors, </w:t>
      </w:r>
      <w:r w:rsidRPr="00EB14CE">
        <w:rPr>
          <w:b/>
        </w:rPr>
        <w:t>HHS</w:t>
      </w:r>
      <w:r w:rsidRPr="00EB14CE">
        <w:t xml:space="preserve">, on behalf of the </w:t>
      </w:r>
      <w:r w:rsidRPr="00EB14CE">
        <w:rPr>
          <w:b/>
        </w:rPr>
        <w:t>Government</w:t>
      </w:r>
      <w:r w:rsidRPr="00EB14CE">
        <w:t xml:space="preserve">, owns intellectual property rights claimed in any United States or foreign patent applications or patents corresponding to the assigned inventions.  </w:t>
      </w:r>
      <w:r w:rsidRPr="00EB14CE">
        <w:rPr>
          <w:b/>
        </w:rPr>
        <w:t>HHS</w:t>
      </w:r>
      <w:r w:rsidRPr="00EB14CE">
        <w:t xml:space="preserve"> also owns any tangible embodiments of these inventions </w:t>
      </w:r>
      <w:proofErr w:type="gramStart"/>
      <w:r w:rsidRPr="00EB14CE">
        <w:t>actually reduced</w:t>
      </w:r>
      <w:proofErr w:type="gramEnd"/>
      <w:r w:rsidRPr="00EB14CE">
        <w:t xml:space="preserve"> to practice by</w:t>
      </w:r>
      <w:r>
        <w:t xml:space="preserve"> the</w:t>
      </w:r>
      <w:r w:rsidRPr="00EB14CE">
        <w:t xml:space="preserve"> </w:t>
      </w:r>
      <w:r w:rsidRPr="0036666C">
        <w:rPr>
          <w:b/>
        </w:rPr>
        <w:t>IC</w:t>
      </w:r>
      <w:r w:rsidRPr="00EB14CE">
        <w:t>.</w:t>
      </w:r>
    </w:p>
    <w:p w14:paraId="233A76D9" w14:textId="77777777" w:rsidR="00BE7A5B" w:rsidRPr="00EB14CE" w:rsidRDefault="00BE7A5B" w:rsidP="008D2C6C">
      <w:pPr>
        <w:pStyle w:val="Level2License"/>
        <w:spacing w:after="240"/>
      </w:pPr>
      <w:r>
        <w:t xml:space="preserve">The Secretary of </w:t>
      </w:r>
      <w:r>
        <w:rPr>
          <w:b/>
        </w:rPr>
        <w:t>HHS</w:t>
      </w:r>
      <w:r>
        <w:t xml:space="preserve"> has delegated to the </w:t>
      </w:r>
      <w:r w:rsidRPr="0036666C">
        <w:rPr>
          <w:b/>
        </w:rPr>
        <w:t>IC</w:t>
      </w:r>
      <w:r>
        <w:t xml:space="preserve"> the authority to enter into this </w:t>
      </w:r>
      <w:r>
        <w:rPr>
          <w:b/>
        </w:rPr>
        <w:t>Agreement</w:t>
      </w:r>
      <w:r>
        <w:t xml:space="preserve"> for the licensing of rights to these inventions under </w:t>
      </w:r>
      <w:hyperlink r:id="rId7" w:history="1">
        <w:r w:rsidRPr="006B7459">
          <w:rPr>
            <w:rStyle w:val="Hyperlink"/>
          </w:rPr>
          <w:t>35 U.S.C. §§200-212</w:t>
        </w:r>
      </w:hyperlink>
      <w:r w:rsidRPr="00746F8A">
        <w:t xml:space="preserve">, the </w:t>
      </w:r>
      <w:hyperlink r:id="rId8" w:history="1">
        <w:r w:rsidRPr="00D26BBF">
          <w:rPr>
            <w:rStyle w:val="Hyperlink"/>
          </w:rPr>
          <w:t>Federal Technology Transfer Act of 1986</w:t>
        </w:r>
      </w:hyperlink>
      <w:r>
        <w:t xml:space="preserve">, </w:t>
      </w:r>
      <w:hyperlink r:id="rId9" w:history="1">
        <w:r w:rsidRPr="006B7459">
          <w:rPr>
            <w:rStyle w:val="Hyperlink"/>
          </w:rPr>
          <w:t>15 U.S.C. §3710a</w:t>
        </w:r>
      </w:hyperlink>
      <w:r w:rsidRPr="00746F8A">
        <w:t>, and the regulations govern</w:t>
      </w:r>
      <w:r>
        <w:t>ing the licensing of Government</w:t>
      </w:r>
      <w:r>
        <w:noBreakHyphen/>
      </w:r>
      <w:r w:rsidRPr="00746F8A">
        <w:t xml:space="preserve">owned inventions, </w:t>
      </w:r>
      <w:hyperlink r:id="rId10" w:history="1">
        <w:r w:rsidRPr="006B7459">
          <w:rPr>
            <w:rStyle w:val="Hyperlink"/>
          </w:rPr>
          <w:t>37 C</w:t>
        </w:r>
        <w:r>
          <w:rPr>
            <w:rStyle w:val="Hyperlink"/>
          </w:rPr>
          <w:t>.</w:t>
        </w:r>
        <w:r w:rsidRPr="006B7459">
          <w:rPr>
            <w:rStyle w:val="Hyperlink"/>
          </w:rPr>
          <w:t>F</w:t>
        </w:r>
        <w:r>
          <w:rPr>
            <w:rStyle w:val="Hyperlink"/>
          </w:rPr>
          <w:t>.</w:t>
        </w:r>
        <w:r w:rsidRPr="006B7459">
          <w:rPr>
            <w:rStyle w:val="Hyperlink"/>
          </w:rPr>
          <w:t>R</w:t>
        </w:r>
        <w:r>
          <w:rPr>
            <w:rStyle w:val="Hyperlink"/>
          </w:rPr>
          <w:t>.</w:t>
        </w:r>
        <w:r w:rsidRPr="006B7459">
          <w:rPr>
            <w:rStyle w:val="Hyperlink"/>
          </w:rPr>
          <w:t xml:space="preserve"> Part 404</w:t>
        </w:r>
      </w:hyperlink>
      <w:r w:rsidRPr="00746F8A">
        <w:t>.</w:t>
      </w:r>
    </w:p>
    <w:p w14:paraId="14EE291E" w14:textId="77777777" w:rsidR="00BE7A5B" w:rsidRPr="00746F8A" w:rsidRDefault="00BE7A5B" w:rsidP="008D2C6C">
      <w:pPr>
        <w:pStyle w:val="Level2License"/>
        <w:spacing w:after="240"/>
      </w:pPr>
      <w:r>
        <w:t xml:space="preserve">The </w:t>
      </w:r>
      <w:r w:rsidRPr="0036666C">
        <w:rPr>
          <w:b/>
        </w:rPr>
        <w:t>IC</w:t>
      </w:r>
      <w:r w:rsidRPr="00EB14CE">
        <w:t xml:space="preserve"> desires to transfer these inventions to the private sector through commercial research li</w:t>
      </w:r>
      <w:r w:rsidRPr="00746F8A">
        <w:t xml:space="preserve">censes to facilitate the commercial development of products and processes for public use and benefit. </w:t>
      </w:r>
    </w:p>
    <w:p w14:paraId="0FAC25EA" w14:textId="77777777" w:rsidR="00BE7A5B" w:rsidRPr="00746F8A" w:rsidRDefault="00BE7A5B" w:rsidP="008D2C6C">
      <w:pPr>
        <w:pStyle w:val="Level2License"/>
        <w:spacing w:after="240"/>
      </w:pPr>
      <w:r>
        <w:t xml:space="preserve">The </w:t>
      </w:r>
      <w:r w:rsidRPr="00EB14CE">
        <w:rPr>
          <w:b/>
        </w:rPr>
        <w:t>Licensee</w:t>
      </w:r>
      <w:r w:rsidRPr="00EB14CE">
        <w:t xml:space="preserve"> desires to acquire the rights to use certain of these inventions </w:t>
      </w:r>
      <w:proofErr w:type="gramStart"/>
      <w:r w:rsidRPr="00EB14CE">
        <w:t>in order to</w:t>
      </w:r>
      <w:proofErr w:type="gramEnd"/>
      <w:r w:rsidRPr="00EB14CE">
        <w:t xml:space="preserve"> develop processes, methods, or marketable products for public </w:t>
      </w:r>
      <w:r w:rsidRPr="00746F8A">
        <w:t>use and benefit.</w:t>
      </w:r>
    </w:p>
    <w:p w14:paraId="5A373675" w14:textId="77777777" w:rsidR="00BE7A5B" w:rsidRPr="00EB14CE" w:rsidRDefault="00BE7A5B" w:rsidP="008D2C6C">
      <w:pPr>
        <w:pStyle w:val="Level1License"/>
        <w:spacing w:after="240"/>
      </w:pPr>
      <w:r w:rsidRPr="00EB14CE">
        <w:t>DEFINITIONS</w:t>
      </w:r>
    </w:p>
    <w:p w14:paraId="1331060A" w14:textId="77777777" w:rsidR="00BE7A5B" w:rsidRDefault="00BE7A5B" w:rsidP="008D2C6C">
      <w:pPr>
        <w:pStyle w:val="Level2License"/>
        <w:spacing w:after="240"/>
      </w:pPr>
      <w:r>
        <w:t>“</w:t>
      </w:r>
      <w:r w:rsidRPr="001D0279">
        <w:rPr>
          <w:b/>
        </w:rPr>
        <w:t>Affiliate</w:t>
      </w:r>
      <w:r>
        <w:rPr>
          <w:b/>
        </w:rPr>
        <w:t>(</w:t>
      </w:r>
      <w:r w:rsidRPr="001D0279">
        <w:rPr>
          <w:b/>
        </w:rPr>
        <w:t>s</w:t>
      </w:r>
      <w:r>
        <w:rPr>
          <w:b/>
        </w:rPr>
        <w:t>)</w:t>
      </w:r>
      <w:r>
        <w:t xml:space="preserve">” means </w:t>
      </w:r>
      <w:r w:rsidRPr="00EF475B">
        <w:t>a corporation or other business entity, which directly or indirectly is controlled by or controls, or is under common control with</w:t>
      </w:r>
      <w:r>
        <w:t xml:space="preserve"> the</w:t>
      </w:r>
      <w:r w:rsidRPr="00EF475B">
        <w:t xml:space="preserve"> </w:t>
      </w:r>
      <w:r w:rsidRPr="00EF475B">
        <w:rPr>
          <w:b/>
        </w:rPr>
        <w:t>Licensee</w:t>
      </w:r>
      <w:r w:rsidRPr="00EF475B">
        <w:t>.  For this purpose, the term "control" shall mean ownership of more than fifty percent (50%) of the voting stock or other ownership interest of the corporation or other business entity, or the power to elect or appoint more than fifty percent (50%) of the members of the governing body of the corporation or other business entity.</w:t>
      </w:r>
    </w:p>
    <w:p w14:paraId="5AC177CF" w14:textId="77777777" w:rsidR="00BE7A5B" w:rsidRDefault="00BE7A5B" w:rsidP="008D2C6C">
      <w:pPr>
        <w:pStyle w:val="Level2License"/>
        <w:spacing w:after="240"/>
      </w:pPr>
      <w:r>
        <w:t>“</w:t>
      </w:r>
      <w:r w:rsidRPr="00EB14CE">
        <w:rPr>
          <w:b/>
        </w:rPr>
        <w:t>Government</w:t>
      </w:r>
      <w:r>
        <w:t>”</w:t>
      </w:r>
      <w:r w:rsidRPr="00EB14CE">
        <w:t xml:space="preserve"> means the government of the </w:t>
      </w:r>
      <w:smartTag w:uri="urn:schemas-microsoft-com:office:smarttags" w:element="country-region">
        <w:smartTag w:uri="urn:schemas-microsoft-com:office:smarttags" w:element="place">
          <w:r w:rsidRPr="00EB14CE">
            <w:t>United States of America</w:t>
          </w:r>
        </w:smartTag>
      </w:smartTag>
      <w:r w:rsidRPr="00EB14CE">
        <w:t>.</w:t>
      </w:r>
    </w:p>
    <w:p w14:paraId="4B1E39A8" w14:textId="77777777" w:rsidR="00BE7A5B" w:rsidRPr="00EB14CE" w:rsidRDefault="00BE7A5B" w:rsidP="008D2C6C">
      <w:pPr>
        <w:pStyle w:val="Level2License"/>
        <w:spacing w:after="240"/>
      </w:pPr>
      <w:r>
        <w:t>“</w:t>
      </w:r>
      <w:r w:rsidRPr="00EB14CE">
        <w:rPr>
          <w:b/>
        </w:rPr>
        <w:t>Licensed Patent Rights</w:t>
      </w:r>
      <w:r>
        <w:t>”</w:t>
      </w:r>
      <w:r w:rsidRPr="00EB14CE">
        <w:t xml:space="preserve"> shall mean:</w:t>
      </w:r>
    </w:p>
    <w:p w14:paraId="6196CCBA" w14:textId="77777777" w:rsidR="00BE7A5B" w:rsidRPr="00EB14CE" w:rsidRDefault="00BE7A5B" w:rsidP="008D2C6C">
      <w:pPr>
        <w:pStyle w:val="Level3License"/>
        <w:spacing w:after="240"/>
      </w:pPr>
      <w:r w:rsidRPr="00EB14CE">
        <w:t>U.S. patent applications and patents listed in Appendix</w:t>
      </w:r>
      <w:r>
        <w:t xml:space="preserve"> </w:t>
      </w:r>
      <w:r w:rsidRPr="00EB14CE">
        <w:t xml:space="preserve">A, all divisions and continuations of these applications, all patents issuing from such applications, divisions, and continuations, and any reissues, reexaminations, and extensions of all such </w:t>
      </w:r>
      <w:proofErr w:type="gramStart"/>
      <w:r w:rsidRPr="00EB14CE">
        <w:t>patents;</w:t>
      </w:r>
      <w:proofErr w:type="gramEnd"/>
    </w:p>
    <w:p w14:paraId="7138EE95" w14:textId="77777777" w:rsidR="00BE7A5B" w:rsidRPr="00EB14CE" w:rsidRDefault="00BE7A5B" w:rsidP="008D2C6C">
      <w:pPr>
        <w:pStyle w:val="Level3License"/>
        <w:spacing w:after="240"/>
      </w:pPr>
      <w:r w:rsidRPr="00EB14CE">
        <w:t>to the extent that the following contain one or more claims directed to the invention o</w:t>
      </w:r>
      <w:r>
        <w:t>r inventions claimed in 2.3</w:t>
      </w:r>
      <w:r w:rsidRPr="00EB14CE">
        <w:t>(a):</w:t>
      </w:r>
    </w:p>
    <w:p w14:paraId="3025C35D" w14:textId="77777777" w:rsidR="00BE7A5B" w:rsidRPr="00EB14CE" w:rsidRDefault="00BE7A5B" w:rsidP="008D2C6C">
      <w:pPr>
        <w:pStyle w:val="Level4License"/>
        <w:spacing w:after="240"/>
      </w:pPr>
      <w:r w:rsidRPr="00EB14CE">
        <w:t>continu</w:t>
      </w:r>
      <w:r>
        <w:t>ations</w:t>
      </w:r>
      <w:r>
        <w:noBreakHyphen/>
        <w:t>in</w:t>
      </w:r>
      <w:r>
        <w:noBreakHyphen/>
        <w:t xml:space="preserve">part of </w:t>
      </w:r>
      <w:proofErr w:type="gramStart"/>
      <w:r>
        <w:t>2.3</w:t>
      </w:r>
      <w:r w:rsidRPr="00EB14CE">
        <w:t>(a);</w:t>
      </w:r>
      <w:proofErr w:type="gramEnd"/>
    </w:p>
    <w:p w14:paraId="33C49CBB" w14:textId="77777777" w:rsidR="00BE7A5B" w:rsidRPr="00EB14CE" w:rsidRDefault="00BE7A5B" w:rsidP="008D2C6C">
      <w:pPr>
        <w:pStyle w:val="Level4License"/>
        <w:spacing w:after="240"/>
      </w:pPr>
      <w:r w:rsidRPr="00EB14CE">
        <w:t>all divisions and continuations of these continuations</w:t>
      </w:r>
      <w:r w:rsidRPr="00EB14CE">
        <w:noBreakHyphen/>
        <w:t>in-</w:t>
      </w:r>
      <w:proofErr w:type="gramStart"/>
      <w:r w:rsidRPr="00EB14CE">
        <w:t>part;</w:t>
      </w:r>
      <w:proofErr w:type="gramEnd"/>
    </w:p>
    <w:p w14:paraId="18BD7286" w14:textId="77777777" w:rsidR="00BE7A5B" w:rsidRPr="00EB14CE" w:rsidRDefault="00BE7A5B" w:rsidP="008D2C6C">
      <w:pPr>
        <w:pStyle w:val="Level4License"/>
        <w:spacing w:after="240"/>
      </w:pPr>
      <w:r w:rsidRPr="00EB14CE">
        <w:t xml:space="preserve">all patents issuing from </w:t>
      </w:r>
      <w:r>
        <w:t>these</w:t>
      </w:r>
      <w:r w:rsidRPr="00EB14CE">
        <w:t xml:space="preserve"> continuations</w:t>
      </w:r>
      <w:r w:rsidRPr="00EB14CE">
        <w:noBreakHyphen/>
        <w:t>in</w:t>
      </w:r>
      <w:r w:rsidRPr="00EB14CE">
        <w:noBreakHyphen/>
        <w:t>part, divisions, and continuations; and</w:t>
      </w:r>
    </w:p>
    <w:p w14:paraId="36DF482F" w14:textId="77777777" w:rsidR="00BE7A5B" w:rsidRPr="00EB14CE" w:rsidRDefault="00BE7A5B" w:rsidP="008D2C6C">
      <w:pPr>
        <w:pStyle w:val="Level4License"/>
        <w:spacing w:after="240"/>
      </w:pPr>
      <w:r w:rsidRPr="00EB14CE">
        <w:t>any reissues, reexa</w:t>
      </w:r>
      <w:r>
        <w:t>minations, and extensions of</w:t>
      </w:r>
      <w:r w:rsidRPr="00EB14CE">
        <w:t xml:space="preserve"> </w:t>
      </w:r>
      <w:r>
        <w:t>these</w:t>
      </w:r>
      <w:r w:rsidRPr="00EB14CE">
        <w:t xml:space="preserve"> </w:t>
      </w:r>
      <w:proofErr w:type="gramStart"/>
      <w:r w:rsidRPr="00EB14CE">
        <w:t>patents;</w:t>
      </w:r>
      <w:proofErr w:type="gramEnd"/>
      <w:r w:rsidRPr="00EB14CE">
        <w:t xml:space="preserve"> </w:t>
      </w:r>
    </w:p>
    <w:p w14:paraId="2EE1142F" w14:textId="77777777" w:rsidR="00BE7A5B" w:rsidRDefault="00BE7A5B" w:rsidP="007C21FA">
      <w:pPr>
        <w:pStyle w:val="Level3License"/>
        <w:spacing w:after="240"/>
      </w:pPr>
      <w:r w:rsidRPr="00EB14CE">
        <w:t>to the extent that the following contain one or more claims directed to the invent</w:t>
      </w:r>
      <w:r>
        <w:t>ion or inventions claimed in 2.3</w:t>
      </w:r>
      <w:r w:rsidRPr="00EB14CE">
        <w:t>(a):  all counterpart foreign applications and patents to 2.</w:t>
      </w:r>
      <w:r>
        <w:t>3(a) and 2.3</w:t>
      </w:r>
      <w:r w:rsidRPr="00EB14CE">
        <w:t>(b), including those lis</w:t>
      </w:r>
      <w:r>
        <w:t xml:space="preserve">ted in Appendix </w:t>
      </w:r>
      <w:r w:rsidRPr="00EB14CE">
        <w:t>A</w:t>
      </w:r>
      <w:r>
        <w:t>; and</w:t>
      </w:r>
    </w:p>
    <w:p w14:paraId="0BD01223" w14:textId="77777777" w:rsidR="00BE7A5B" w:rsidRPr="00EB14CE" w:rsidRDefault="00BE7A5B" w:rsidP="007C21FA">
      <w:pPr>
        <w:pStyle w:val="Level3License"/>
        <w:spacing w:after="240"/>
      </w:pPr>
      <w:r w:rsidRPr="00EB14CE">
        <w:rPr>
          <w:b/>
        </w:rPr>
        <w:t>Licensed Patent Rights</w:t>
      </w:r>
      <w:r w:rsidRPr="00EB14CE">
        <w:t xml:space="preserve"> shall </w:t>
      </w:r>
      <w:r w:rsidRPr="00EB14CE">
        <w:rPr>
          <w:i/>
        </w:rPr>
        <w:t>not</w:t>
      </w:r>
      <w:r>
        <w:t xml:space="preserve"> include 2.3(b) or 2.3</w:t>
      </w:r>
      <w:r w:rsidRPr="00EB14CE">
        <w:t>(c) to the extent that they contain one or more claims directed to new matter which is not the subject matter of a claim in 2.</w:t>
      </w:r>
      <w:r>
        <w:t>3</w:t>
      </w:r>
      <w:r w:rsidRPr="00EB14CE">
        <w:t>(a).</w:t>
      </w:r>
    </w:p>
    <w:p w14:paraId="485491FF" w14:textId="77777777" w:rsidR="00BE7A5B" w:rsidRPr="00746F8A" w:rsidRDefault="00BE7A5B" w:rsidP="00953F8E">
      <w:pPr>
        <w:pStyle w:val="Level2License"/>
        <w:spacing w:after="240"/>
      </w:pPr>
      <w:r>
        <w:rPr>
          <w:bCs/>
        </w:rPr>
        <w:t>“</w:t>
      </w:r>
      <w:r w:rsidRPr="00EB14CE">
        <w:rPr>
          <w:b/>
          <w:bCs/>
        </w:rPr>
        <w:t>Licensed Products</w:t>
      </w:r>
      <w:r>
        <w:rPr>
          <w:bCs/>
        </w:rPr>
        <w:t>”</w:t>
      </w:r>
      <w:r w:rsidRPr="00EB14CE">
        <w:t xml:space="preserve"> means tangible materials, which, in the course of manufacture, use, sale, or importation would be within the scope of one or more claims of the </w:t>
      </w:r>
      <w:r w:rsidRPr="00EB14CE">
        <w:rPr>
          <w:b/>
          <w:bCs/>
        </w:rPr>
        <w:t>Licensed Patent Rights</w:t>
      </w:r>
      <w:r w:rsidRPr="00EB14CE">
        <w:t xml:space="preserve"> that have not been held unpatentable, invalid or unenforceable by an </w:t>
      </w:r>
      <w:proofErr w:type="spellStart"/>
      <w:r w:rsidRPr="00EB14CE">
        <w:t>unappealed</w:t>
      </w:r>
      <w:proofErr w:type="spellEnd"/>
      <w:r w:rsidRPr="00746F8A">
        <w:t xml:space="preserve"> or unappealable judgment of a court of competent jurisdiction.</w:t>
      </w:r>
    </w:p>
    <w:p w14:paraId="6F71AFD6" w14:textId="77777777" w:rsidR="00BE7A5B" w:rsidRPr="00EB14CE" w:rsidRDefault="00BE7A5B" w:rsidP="00953F8E">
      <w:pPr>
        <w:pStyle w:val="Level2License"/>
        <w:spacing w:after="240"/>
      </w:pPr>
      <w:r>
        <w:rPr>
          <w:bCs/>
        </w:rPr>
        <w:t>“</w:t>
      </w:r>
      <w:r w:rsidRPr="00EB14CE">
        <w:rPr>
          <w:b/>
          <w:bCs/>
        </w:rPr>
        <w:t>Licensed Processes</w:t>
      </w:r>
      <w:r>
        <w:rPr>
          <w:bCs/>
        </w:rPr>
        <w:t>”</w:t>
      </w:r>
      <w:r w:rsidRPr="00EB14CE">
        <w:t xml:space="preserve"> means pr</w:t>
      </w:r>
      <w:r>
        <w:t xml:space="preserve">ocesses, </w:t>
      </w:r>
      <w:r w:rsidRPr="00EB14CE">
        <w:t xml:space="preserve">which, in the course of being practiced, would be within the scope of one or more claims of the </w:t>
      </w:r>
      <w:r w:rsidRPr="00EB14CE">
        <w:rPr>
          <w:b/>
          <w:bCs/>
        </w:rPr>
        <w:t>Licensed Patent Rights</w:t>
      </w:r>
      <w:r w:rsidRPr="00EB14CE">
        <w:t xml:space="preserve"> that have not been held unpatentable, invalid or unenforceable by an </w:t>
      </w:r>
      <w:proofErr w:type="spellStart"/>
      <w:r w:rsidRPr="00EB14CE">
        <w:t>unappealed</w:t>
      </w:r>
      <w:proofErr w:type="spellEnd"/>
      <w:r w:rsidRPr="00EB14CE">
        <w:t xml:space="preserve"> or unappealable judgment of a court of competent jurisdiction.</w:t>
      </w:r>
    </w:p>
    <w:p w14:paraId="77739A87" w14:textId="77777777" w:rsidR="00BE7A5B" w:rsidRPr="00EB14CE" w:rsidRDefault="00BE7A5B" w:rsidP="00953F8E">
      <w:pPr>
        <w:pStyle w:val="Level2License"/>
        <w:spacing w:after="240"/>
      </w:pPr>
      <w:r>
        <w:t>“</w:t>
      </w:r>
      <w:r w:rsidRPr="00EB14CE">
        <w:rPr>
          <w:b/>
        </w:rPr>
        <w:t>Licensed Territory</w:t>
      </w:r>
      <w:r>
        <w:t>”</w:t>
      </w:r>
      <w:r w:rsidRPr="00EB14CE">
        <w:t xml:space="preserve"> means the geographi</w:t>
      </w:r>
      <w:r>
        <w:t xml:space="preserve">cal area identified in Appendix </w:t>
      </w:r>
      <w:r w:rsidRPr="00EB14CE">
        <w:t>B.</w:t>
      </w:r>
    </w:p>
    <w:p w14:paraId="28FC1B90" w14:textId="77777777" w:rsidR="00BE7A5B" w:rsidRDefault="00BE7A5B" w:rsidP="00953F8E">
      <w:pPr>
        <w:pStyle w:val="Level2License"/>
        <w:spacing w:after="240"/>
      </w:pPr>
      <w:r>
        <w:t>“</w:t>
      </w:r>
      <w:r w:rsidRPr="00EB14CE">
        <w:rPr>
          <w:b/>
        </w:rPr>
        <w:t>Licensed Fields of Use</w:t>
      </w:r>
      <w:r>
        <w:t>”</w:t>
      </w:r>
      <w:r w:rsidRPr="00EB14CE">
        <w:t xml:space="preserve"> means the field of use identified in Appendix</w:t>
      </w:r>
      <w:r>
        <w:t xml:space="preserve"> </w:t>
      </w:r>
      <w:r w:rsidRPr="00EB14CE">
        <w:t>B.</w:t>
      </w:r>
    </w:p>
    <w:p w14:paraId="6ABA3A27" w14:textId="77777777" w:rsidR="00BE7A5B" w:rsidRDefault="00BE7A5B" w:rsidP="00F47FBC">
      <w:pPr>
        <w:pStyle w:val="Level2License"/>
        <w:spacing w:after="240"/>
      </w:pPr>
      <w:r>
        <w:t>“</w:t>
      </w:r>
      <w:r w:rsidRPr="00F026B4">
        <w:rPr>
          <w:b/>
        </w:rPr>
        <w:t>Materials</w:t>
      </w:r>
      <w:r>
        <w:t>”</w:t>
      </w:r>
      <w:r w:rsidRPr="00F026B4">
        <w:t xml:space="preserve"> means </w:t>
      </w:r>
      <w:r>
        <w:t>the following tangible materials and all progeny, subclones and/or unmodified derivatives thereof:</w:t>
      </w:r>
    </w:p>
    <w:p w14:paraId="0555D804" w14:textId="77777777" w:rsidR="00BE7A5B" w:rsidRDefault="00BE7A5B" w:rsidP="00F47FBC">
      <w:pPr>
        <w:pStyle w:val="Level3License"/>
        <w:spacing w:after="240"/>
      </w:pPr>
      <w:r>
        <w:t xml:space="preserve">plasmid shuttle vector pLW-76 (as described in </w:t>
      </w:r>
      <w:r w:rsidRPr="000457E2">
        <w:rPr>
          <w:b/>
        </w:rPr>
        <w:t>HHS</w:t>
      </w:r>
      <w:r>
        <w:t xml:space="preserve"> reference number E-018-2010/0), and </w:t>
      </w:r>
    </w:p>
    <w:p w14:paraId="494CCFDE" w14:textId="77777777" w:rsidR="00BE7A5B" w:rsidRPr="00EB14CE" w:rsidRDefault="00BE7A5B" w:rsidP="002F7DDC">
      <w:pPr>
        <w:pStyle w:val="Level3License"/>
        <w:spacing w:after="240"/>
      </w:pPr>
      <w:r w:rsidRPr="00B362B6">
        <w:rPr>
          <w:color w:val="000000"/>
        </w:rPr>
        <w:t>plasmid shuttle vector pLW-7</w:t>
      </w:r>
      <w:r>
        <w:rPr>
          <w:color w:val="000000"/>
        </w:rPr>
        <w:t>3 (</w:t>
      </w:r>
      <w:r>
        <w:t xml:space="preserve">as described in </w:t>
      </w:r>
      <w:r w:rsidRPr="000457E2">
        <w:rPr>
          <w:b/>
        </w:rPr>
        <w:t>HHS</w:t>
      </w:r>
      <w:r>
        <w:t xml:space="preserve"> reference number E-248-2006/0</w:t>
      </w:r>
      <w:r>
        <w:rPr>
          <w:color w:val="000000"/>
        </w:rPr>
        <w:t xml:space="preserve">) </w:t>
      </w:r>
      <w:r>
        <w:t xml:space="preserve">and referenced in the publication Wyatt, L., </w:t>
      </w:r>
      <w:r w:rsidRPr="000457E2">
        <w:rPr>
          <w:i/>
        </w:rPr>
        <w:t>et al</w:t>
      </w:r>
      <w:r>
        <w:t>,</w:t>
      </w:r>
      <w:r w:rsidRPr="00192966">
        <w:t xml:space="preserve"> </w:t>
      </w:r>
      <w:r w:rsidRPr="000457E2">
        <w:rPr>
          <w:i/>
        </w:rPr>
        <w:t>Elucidating and minimizing the loss by recombinant vaccinia virus of human immunodeficiency virus gene expression resulting from spontaneous mutations and positive selections</w:t>
      </w:r>
      <w:r w:rsidRPr="00192966">
        <w:t>. Journal of Virology 83: 7176-7184. (PMID: 19420086)</w:t>
      </w:r>
      <w:r>
        <w:t>.</w:t>
      </w:r>
    </w:p>
    <w:p w14:paraId="22CF5D41" w14:textId="77777777" w:rsidR="00BE7A5B" w:rsidRPr="00EB14CE" w:rsidRDefault="00BE7A5B" w:rsidP="008D2C6C">
      <w:pPr>
        <w:pStyle w:val="Level1License"/>
        <w:spacing w:after="240"/>
      </w:pPr>
      <w:r w:rsidRPr="00EB14CE">
        <w:t>GRANT OF RIGHTS</w:t>
      </w:r>
    </w:p>
    <w:p w14:paraId="083945C8" w14:textId="77777777" w:rsidR="00BE7A5B" w:rsidRPr="00EB14CE" w:rsidRDefault="00BE7A5B" w:rsidP="00081190">
      <w:pPr>
        <w:pStyle w:val="Level2License"/>
        <w:spacing w:after="240"/>
      </w:pPr>
      <w:r>
        <w:t xml:space="preserve">The </w:t>
      </w:r>
      <w:r w:rsidRPr="0036666C">
        <w:rPr>
          <w:b/>
        </w:rPr>
        <w:t>IC</w:t>
      </w:r>
      <w:r w:rsidRPr="00EB14CE">
        <w:t xml:space="preserve"> hereby grants and</w:t>
      </w:r>
      <w:r>
        <w:t xml:space="preserve"> the</w:t>
      </w:r>
      <w:r w:rsidRPr="00EB14CE">
        <w:t xml:space="preserve"> </w:t>
      </w:r>
      <w:r w:rsidRPr="00EB14CE">
        <w:rPr>
          <w:b/>
        </w:rPr>
        <w:t>Licensee</w:t>
      </w:r>
      <w:r w:rsidRPr="00EB14CE">
        <w:t xml:space="preserve"> accepts, subject to the terms and conditions of this </w:t>
      </w:r>
      <w:r w:rsidRPr="00EB14CE">
        <w:rPr>
          <w:b/>
        </w:rPr>
        <w:t>Agreement</w:t>
      </w:r>
      <w:r w:rsidRPr="00EB14CE">
        <w:t xml:space="preserve">, a nonexclusive license under the </w:t>
      </w:r>
      <w:r w:rsidRPr="00EB14CE">
        <w:rPr>
          <w:b/>
        </w:rPr>
        <w:t>Licensed Patent Rights</w:t>
      </w:r>
      <w:r w:rsidRPr="00EB14CE">
        <w:t xml:space="preserve"> in the </w:t>
      </w:r>
      <w:r w:rsidRPr="00EB14CE">
        <w:rPr>
          <w:b/>
        </w:rPr>
        <w:t>Licensed Territory</w:t>
      </w:r>
      <w:r w:rsidRPr="00EB14CE">
        <w:t xml:space="preserve"> to make and to use,</w:t>
      </w:r>
      <w:r w:rsidRPr="000005FC">
        <w:rPr>
          <w:i/>
        </w:rPr>
        <w:t xml:space="preserve"> but not to sell</w:t>
      </w:r>
      <w:r w:rsidRPr="00EB14CE">
        <w:t xml:space="preserve"> </w:t>
      </w:r>
      <w:r w:rsidRPr="002F7DDC">
        <w:rPr>
          <w:b/>
          <w:bCs/>
        </w:rPr>
        <w:t>Materials</w:t>
      </w:r>
      <w:r>
        <w:t xml:space="preserve">, </w:t>
      </w:r>
      <w:r w:rsidRPr="00EB14CE">
        <w:rPr>
          <w:b/>
          <w:bCs/>
        </w:rPr>
        <w:t>Licensed Products</w:t>
      </w:r>
      <w:r w:rsidRPr="00EB14CE">
        <w:t xml:space="preserve"> and </w:t>
      </w:r>
      <w:r w:rsidRPr="00EB14CE">
        <w:rPr>
          <w:b/>
          <w:bCs/>
        </w:rPr>
        <w:t>Licensed Processes</w:t>
      </w:r>
      <w:r>
        <w:t xml:space="preserve"> in the </w:t>
      </w:r>
      <w:r w:rsidRPr="005113CC">
        <w:rPr>
          <w:b/>
        </w:rPr>
        <w:t>Licensed Field</w:t>
      </w:r>
      <w:r>
        <w:rPr>
          <w:b/>
        </w:rPr>
        <w:t>s</w:t>
      </w:r>
      <w:r w:rsidRPr="005113CC">
        <w:rPr>
          <w:b/>
        </w:rPr>
        <w:t xml:space="preserve"> of Use.</w:t>
      </w:r>
    </w:p>
    <w:p w14:paraId="1836C1DB" w14:textId="77777777" w:rsidR="00BE7A5B" w:rsidRPr="00EB14CE" w:rsidRDefault="00BE7A5B" w:rsidP="00081190">
      <w:pPr>
        <w:pStyle w:val="Level2License"/>
        <w:spacing w:after="240"/>
      </w:pPr>
      <w:r>
        <w:t xml:space="preserve">The </w:t>
      </w:r>
      <w:r w:rsidRPr="00EB14CE">
        <w:rPr>
          <w:b/>
        </w:rPr>
        <w:t>Licensee</w:t>
      </w:r>
      <w:r w:rsidRPr="00EB14CE">
        <w:t xml:space="preserve"> has no right to </w:t>
      </w:r>
      <w:r>
        <w:t>sublicense</w:t>
      </w:r>
      <w:r w:rsidRPr="00EB14CE">
        <w:t>.</w:t>
      </w:r>
    </w:p>
    <w:p w14:paraId="07B7AAE1" w14:textId="77777777" w:rsidR="00BE7A5B" w:rsidRPr="00EB14CE" w:rsidRDefault="00BE7A5B" w:rsidP="00081190">
      <w:pPr>
        <w:pStyle w:val="Level2License"/>
        <w:spacing w:after="240"/>
      </w:pPr>
      <w:r w:rsidRPr="00EB14CE">
        <w:t xml:space="preserve">This </w:t>
      </w:r>
      <w:r w:rsidRPr="00EB14CE">
        <w:rPr>
          <w:b/>
        </w:rPr>
        <w:t>Agreement</w:t>
      </w:r>
      <w:r w:rsidRPr="00EB14CE">
        <w:t xml:space="preserve"> confers no license or rights by implication, estoppel, or otherwise under any patent ap</w:t>
      </w:r>
      <w:r w:rsidRPr="00746F8A">
        <w:t>plications or patents of</w:t>
      </w:r>
      <w:r>
        <w:t xml:space="preserve"> the</w:t>
      </w:r>
      <w:r w:rsidRPr="00746F8A">
        <w:t xml:space="preserve"> </w:t>
      </w:r>
      <w:r w:rsidRPr="0036666C">
        <w:rPr>
          <w:b/>
        </w:rPr>
        <w:t>IC</w:t>
      </w:r>
      <w:r w:rsidRPr="00EB14CE">
        <w:t xml:space="preserve"> other than</w:t>
      </w:r>
      <w:r>
        <w:t xml:space="preserve"> the</w:t>
      </w:r>
      <w:r w:rsidRPr="00EB14CE">
        <w:t xml:space="preserve"> </w:t>
      </w:r>
      <w:r w:rsidRPr="00EB14CE">
        <w:rPr>
          <w:b/>
        </w:rPr>
        <w:t>Licensed Patent Rights</w:t>
      </w:r>
      <w:r w:rsidRPr="00EB14CE">
        <w:t xml:space="preserve"> regardless of whether such patents are dominant or subordinate to</w:t>
      </w:r>
      <w:r>
        <w:t xml:space="preserve"> the</w:t>
      </w:r>
      <w:r w:rsidRPr="00EB14CE">
        <w:t xml:space="preserve"> </w:t>
      </w:r>
      <w:r w:rsidRPr="00EB14CE">
        <w:rPr>
          <w:b/>
        </w:rPr>
        <w:t>Licensed Patent Rights</w:t>
      </w:r>
      <w:r w:rsidRPr="00EB14CE">
        <w:t>.</w:t>
      </w:r>
    </w:p>
    <w:p w14:paraId="2C2335AF" w14:textId="77777777" w:rsidR="00BE7A5B" w:rsidRDefault="00BE7A5B" w:rsidP="00081190">
      <w:pPr>
        <w:pStyle w:val="Level2License"/>
        <w:spacing w:after="240"/>
      </w:pPr>
      <w:r>
        <w:t xml:space="preserve">The </w:t>
      </w:r>
      <w:r w:rsidRPr="0036666C">
        <w:rPr>
          <w:b/>
        </w:rPr>
        <w:t>IC</w:t>
      </w:r>
      <w:r w:rsidRPr="00EB14CE">
        <w:t xml:space="preserve"> ackno</w:t>
      </w:r>
      <w:r>
        <w:t>wledges that information relating</w:t>
      </w:r>
      <w:r w:rsidRPr="00EB14CE">
        <w:t xml:space="preserve"> to the </w:t>
      </w:r>
      <w:r w:rsidRPr="00EB14CE">
        <w:rPr>
          <w:b/>
        </w:rPr>
        <w:t>Licensed Patent Rights</w:t>
      </w:r>
      <w:r w:rsidRPr="00EB14CE">
        <w:t xml:space="preserve"> may be of assistance to</w:t>
      </w:r>
      <w:r>
        <w:t xml:space="preserve"> the</w:t>
      </w:r>
      <w:r w:rsidRPr="00EB14CE">
        <w:t xml:space="preserve"> </w:t>
      </w:r>
      <w:r w:rsidRPr="00EB14CE">
        <w:rPr>
          <w:b/>
        </w:rPr>
        <w:t>Licensee</w:t>
      </w:r>
      <w:r w:rsidRPr="00EB14CE">
        <w:t xml:space="preserve"> in its </w:t>
      </w:r>
      <w:r>
        <w:t>research</w:t>
      </w:r>
      <w:r w:rsidRPr="00EB14CE">
        <w:t xml:space="preserve"> efforts.  Accordingly,</w:t>
      </w:r>
      <w:r>
        <w:t xml:space="preserve"> the</w:t>
      </w:r>
      <w:r w:rsidRPr="00EB14CE">
        <w:t xml:space="preserve"> </w:t>
      </w:r>
      <w:r w:rsidRPr="0036666C">
        <w:rPr>
          <w:b/>
        </w:rPr>
        <w:t>IC</w:t>
      </w:r>
      <w:r w:rsidRPr="00EB14CE">
        <w:t xml:space="preserve"> shall consider reasonable requests by</w:t>
      </w:r>
      <w:r>
        <w:t xml:space="preserve"> the</w:t>
      </w:r>
      <w:r w:rsidRPr="00EB14CE">
        <w:t xml:space="preserve"> </w:t>
      </w:r>
      <w:r w:rsidRPr="00EB14CE">
        <w:rPr>
          <w:b/>
        </w:rPr>
        <w:t>Licensee</w:t>
      </w:r>
      <w:r w:rsidRPr="00EB14CE">
        <w:t xml:space="preserve"> for access to the inventors of the </w:t>
      </w:r>
      <w:r w:rsidRPr="00EB14CE">
        <w:rPr>
          <w:b/>
        </w:rPr>
        <w:t>Licensed Patent Rights</w:t>
      </w:r>
      <w:r w:rsidRPr="00EB14CE">
        <w:t>.</w:t>
      </w:r>
    </w:p>
    <w:p w14:paraId="5DCF3A09" w14:textId="77777777" w:rsidR="00BE7A5B" w:rsidRPr="00EB14CE" w:rsidRDefault="00BE7A5B" w:rsidP="008D2C6C">
      <w:pPr>
        <w:pStyle w:val="Level1License"/>
        <w:spacing w:after="240"/>
      </w:pPr>
      <w:r w:rsidRPr="00EB14CE">
        <w:t>ROYALTIES</w:t>
      </w:r>
    </w:p>
    <w:p w14:paraId="71F265B3" w14:textId="77777777" w:rsidR="00BE7A5B" w:rsidRPr="00746F8A" w:rsidRDefault="00BE7A5B" w:rsidP="003A7711">
      <w:pPr>
        <w:pStyle w:val="Level2License"/>
        <w:spacing w:after="240"/>
      </w:pPr>
      <w:r>
        <w:t xml:space="preserve">The </w:t>
      </w:r>
      <w:r w:rsidRPr="00EB14CE">
        <w:rPr>
          <w:b/>
        </w:rPr>
        <w:t>Licensee</w:t>
      </w:r>
      <w:r>
        <w:t xml:space="preserve"> agrees to pay the</w:t>
      </w:r>
      <w:r w:rsidRPr="00EB14CE">
        <w:t xml:space="preserve"> </w:t>
      </w:r>
      <w:r w:rsidRPr="0036666C">
        <w:rPr>
          <w:b/>
        </w:rPr>
        <w:t>IC</w:t>
      </w:r>
      <w:r w:rsidRPr="00EB14CE">
        <w:t xml:space="preserve"> a non-creditable, nonrefundable license</w:t>
      </w:r>
      <w:r w:rsidRPr="00746F8A">
        <w:t xml:space="preserve"> issue royalty as set forth in Appendix</w:t>
      </w:r>
      <w:r>
        <w:t xml:space="preserve"> </w:t>
      </w:r>
      <w:r w:rsidRPr="00746F8A">
        <w:t>C.</w:t>
      </w:r>
    </w:p>
    <w:p w14:paraId="7B347C95" w14:textId="77777777" w:rsidR="00BE7A5B" w:rsidRPr="00EB14CE" w:rsidRDefault="00BE7A5B" w:rsidP="003A7711">
      <w:pPr>
        <w:pStyle w:val="Level2License"/>
        <w:spacing w:after="240"/>
      </w:pPr>
      <w:r>
        <w:t xml:space="preserve">The </w:t>
      </w:r>
      <w:r w:rsidRPr="00EB14CE">
        <w:rPr>
          <w:b/>
        </w:rPr>
        <w:t>Licensee</w:t>
      </w:r>
      <w:r>
        <w:t xml:space="preserve"> agrees to pay the</w:t>
      </w:r>
      <w:r w:rsidRPr="00EB14CE">
        <w:t xml:space="preserve"> </w:t>
      </w:r>
      <w:r w:rsidRPr="0036666C">
        <w:rPr>
          <w:b/>
        </w:rPr>
        <w:t>IC</w:t>
      </w:r>
      <w:r w:rsidRPr="00EB14CE">
        <w:t xml:space="preserve"> a nonrefundable annual royal</w:t>
      </w:r>
      <w:r>
        <w:t xml:space="preserve">ty as set forth in Appendix </w:t>
      </w:r>
      <w:r w:rsidRPr="00EB14CE">
        <w:t>C.</w:t>
      </w:r>
    </w:p>
    <w:p w14:paraId="279C6A60" w14:textId="77777777" w:rsidR="00BE7A5B" w:rsidRPr="00EB14CE" w:rsidRDefault="00BE7A5B" w:rsidP="003A7711">
      <w:pPr>
        <w:pStyle w:val="Level2License"/>
        <w:spacing w:after="240"/>
      </w:pPr>
      <w:r w:rsidRPr="00EB14CE">
        <w:t xml:space="preserve">All </w:t>
      </w:r>
      <w:r>
        <w:t>royalties</w:t>
      </w:r>
      <w:r w:rsidRPr="00EB14CE">
        <w:t xml:space="preserve"> due under this </w:t>
      </w:r>
      <w:r w:rsidRPr="00EB14CE">
        <w:rPr>
          <w:b/>
        </w:rPr>
        <w:t>Agreement</w:t>
      </w:r>
      <w:r w:rsidRPr="00EB14CE">
        <w:t xml:space="preserve"> shall be paid in U.S. dollars, net of all non</w:t>
      </w:r>
      <w:r>
        <w:noBreakHyphen/>
      </w:r>
      <w:r w:rsidRPr="00EB14CE">
        <w:t>U.S. taxes, a</w:t>
      </w:r>
      <w:r>
        <w:t>nd payment options are listed in</w:t>
      </w:r>
      <w:r w:rsidRPr="00EB14CE">
        <w:t xml:space="preserve"> Appendix</w:t>
      </w:r>
      <w:r>
        <w:t xml:space="preserve"> D</w:t>
      </w:r>
      <w:r w:rsidRPr="00EB14CE">
        <w:t>.</w:t>
      </w:r>
      <w:r>
        <w:t xml:space="preserve">  </w:t>
      </w:r>
      <w:r w:rsidRPr="004611BD">
        <w:t xml:space="preserve">For conversion of foreign currency to U.S. dollars, the conversion rate shall be the </w:t>
      </w:r>
      <w:smartTag w:uri="urn:schemas-microsoft-com:office:smarttags" w:element="State">
        <w:smartTag w:uri="urn:schemas-microsoft-com:office:smarttags" w:element="place">
          <w:r w:rsidRPr="004611BD">
            <w:t>New York</w:t>
          </w:r>
        </w:smartTag>
      </w:smartTag>
      <w:r w:rsidRPr="004611BD">
        <w:t xml:space="preserve"> foreign exchange rate quoted in </w:t>
      </w:r>
      <w:r w:rsidRPr="004611BD">
        <w:rPr>
          <w:i/>
        </w:rPr>
        <w:t>The Wall Street Journal</w:t>
      </w:r>
      <w:r w:rsidRPr="004611BD">
        <w:t xml:space="preserve"> on th</w:t>
      </w:r>
      <w:r>
        <w:t>e day that the payment is due.</w:t>
      </w:r>
    </w:p>
    <w:p w14:paraId="36A99D4C" w14:textId="77777777" w:rsidR="00BE7A5B" w:rsidRDefault="00BE7A5B" w:rsidP="003A7711">
      <w:pPr>
        <w:pStyle w:val="Level2License"/>
        <w:spacing w:after="240"/>
      </w:pPr>
      <w:r w:rsidRPr="00EB14CE">
        <w:t xml:space="preserve">Additional royalties may be assessed </w:t>
      </w:r>
      <w:r w:rsidRPr="00746F8A">
        <w:t>by</w:t>
      </w:r>
      <w:r>
        <w:t xml:space="preserve"> the</w:t>
      </w:r>
      <w:r w:rsidRPr="00746F8A">
        <w:t xml:space="preserve"> </w:t>
      </w:r>
      <w:r w:rsidRPr="0036666C">
        <w:rPr>
          <w:b/>
          <w:bCs/>
        </w:rPr>
        <w:t>IC</w:t>
      </w:r>
      <w:r w:rsidRPr="00EB14CE">
        <w:t xml:space="preserve"> on any payment that is more than ninety (90) days overdue at the rate of one percent (1%) per month.  This one percent (1%) per month rate may be applied retroactively from the original due date until the date of receipt by</w:t>
      </w:r>
      <w:r>
        <w:t xml:space="preserve"> the</w:t>
      </w:r>
      <w:r w:rsidRPr="00EB14CE">
        <w:t xml:space="preserve"> </w:t>
      </w:r>
      <w:r w:rsidRPr="0036666C">
        <w:rPr>
          <w:b/>
        </w:rPr>
        <w:t>IC</w:t>
      </w:r>
      <w:r w:rsidRPr="00EB14CE">
        <w:t xml:space="preserve"> of the overdue payment and additional royalties.  The payment of any additional royalties shall not prevent</w:t>
      </w:r>
      <w:r>
        <w:t xml:space="preserve"> the</w:t>
      </w:r>
      <w:r w:rsidRPr="00EB14CE">
        <w:t xml:space="preserve"> </w:t>
      </w:r>
      <w:r w:rsidRPr="0036666C">
        <w:rPr>
          <w:b/>
          <w:bCs/>
        </w:rPr>
        <w:t>IC</w:t>
      </w:r>
      <w:r w:rsidRPr="00EB14CE">
        <w:t xml:space="preserve"> from exercising any other rights it may have </w:t>
      </w:r>
      <w:proofErr w:type="gramStart"/>
      <w:r w:rsidRPr="00EB14CE">
        <w:t>as a consequence of</w:t>
      </w:r>
      <w:proofErr w:type="gramEnd"/>
      <w:r w:rsidRPr="00EB14CE">
        <w:t xml:space="preserve"> the lateness of any payment.</w:t>
      </w:r>
    </w:p>
    <w:p w14:paraId="24043DD5" w14:textId="77777777" w:rsidR="00BE7A5B" w:rsidRPr="002609AD" w:rsidRDefault="00BE7A5B" w:rsidP="001604C5">
      <w:pPr>
        <w:pStyle w:val="Level2License"/>
        <w:spacing w:after="240"/>
        <w:rPr>
          <w:b/>
          <w:bCs/>
          <w:u w:val="single"/>
        </w:rPr>
      </w:pPr>
      <w:r w:rsidRPr="002609AD">
        <w:rPr>
          <w:b/>
          <w:bCs/>
          <w:u w:val="single"/>
        </w:rPr>
        <w:t xml:space="preserve">No royalties </w:t>
      </w:r>
      <w:r>
        <w:rPr>
          <w:b/>
          <w:bCs/>
          <w:u w:val="single"/>
        </w:rPr>
        <w:t xml:space="preserve">due under this Agreement </w:t>
      </w:r>
      <w:r w:rsidRPr="002609AD">
        <w:rPr>
          <w:b/>
          <w:bCs/>
          <w:u w:val="single"/>
        </w:rPr>
        <w:t>shall be paid with funds stemming from any federal contract, grant, or cooperative agreement.</w:t>
      </w:r>
    </w:p>
    <w:p w14:paraId="51C4EA52" w14:textId="77777777" w:rsidR="00BE7A5B" w:rsidRPr="00EB14CE" w:rsidRDefault="00BE7A5B" w:rsidP="008D2C6C">
      <w:pPr>
        <w:pStyle w:val="Level1License"/>
        <w:spacing w:after="240"/>
      </w:pPr>
      <w:r w:rsidRPr="00EB14CE">
        <w:t>PERFORMANCE</w:t>
      </w:r>
    </w:p>
    <w:p w14:paraId="0A5E32BE" w14:textId="77777777" w:rsidR="00BE7A5B" w:rsidRPr="00EB14CE" w:rsidRDefault="00BE7A5B" w:rsidP="00320FD7">
      <w:pPr>
        <w:pStyle w:val="Level2License"/>
        <w:spacing w:after="240"/>
      </w:pPr>
      <w:r w:rsidRPr="00E04874">
        <w:t xml:space="preserve">The </w:t>
      </w:r>
      <w:r w:rsidRPr="00E04874">
        <w:rPr>
          <w:b/>
        </w:rPr>
        <w:t>IC</w:t>
      </w:r>
      <w:r w:rsidRPr="00E04874">
        <w:t xml:space="preserve"> has previously provided </w:t>
      </w:r>
      <w:r w:rsidRPr="00E04874">
        <w:rPr>
          <w:b/>
        </w:rPr>
        <w:t>Materials</w:t>
      </w:r>
      <w:r w:rsidRPr="00E04874">
        <w:t xml:space="preserve"> to the </w:t>
      </w:r>
      <w:r w:rsidRPr="00E04874">
        <w:rPr>
          <w:b/>
        </w:rPr>
        <w:t>Licensee</w:t>
      </w:r>
      <w:r w:rsidRPr="00E04874">
        <w:t xml:space="preserve">, and this </w:t>
      </w:r>
      <w:r w:rsidRPr="00E04874">
        <w:rPr>
          <w:b/>
        </w:rPr>
        <w:t>Agreement</w:t>
      </w:r>
      <w:r w:rsidRPr="00E04874">
        <w:t xml:space="preserve"> aims to document that transfer and appropriately link </w:t>
      </w:r>
      <w:r w:rsidRPr="00E04874">
        <w:rPr>
          <w:b/>
        </w:rPr>
        <w:t>Materials</w:t>
      </w:r>
      <w:r w:rsidRPr="00E04874">
        <w:t xml:space="preserve"> to the provisions of this </w:t>
      </w:r>
      <w:r w:rsidRPr="00E04874">
        <w:rPr>
          <w:b/>
        </w:rPr>
        <w:t>Agreement</w:t>
      </w:r>
      <w:r w:rsidRPr="00E04874">
        <w:t xml:space="preserve">. The </w:t>
      </w:r>
      <w:r w:rsidRPr="00E04874">
        <w:rPr>
          <w:b/>
        </w:rPr>
        <w:t>IC</w:t>
      </w:r>
      <w:r w:rsidRPr="00E04874">
        <w:t xml:space="preserve"> agrees to replace the </w:t>
      </w:r>
      <w:r w:rsidRPr="00E04874">
        <w:rPr>
          <w:b/>
        </w:rPr>
        <w:t>Materials</w:t>
      </w:r>
      <w:r w:rsidRPr="00E04874">
        <w:t xml:space="preserve">, as available, at reasonable cost, in the event of their unintentional destruction. </w:t>
      </w:r>
      <w:r w:rsidRPr="00EB14CE">
        <w:t xml:space="preserve"> </w:t>
      </w:r>
      <w:r>
        <w:t xml:space="preserve">The </w:t>
      </w:r>
      <w:r w:rsidRPr="00EB14CE">
        <w:rPr>
          <w:b/>
        </w:rPr>
        <w:t>Licensee</w:t>
      </w:r>
      <w:r w:rsidRPr="00EB14CE">
        <w:t xml:space="preserve"> agrees to retain control over the </w:t>
      </w:r>
      <w:r w:rsidRPr="00EB14CE">
        <w:rPr>
          <w:b/>
          <w:bCs/>
        </w:rPr>
        <w:t>Licensed Products</w:t>
      </w:r>
      <w:r w:rsidRPr="00EB14CE">
        <w:t xml:space="preserve"> and shall not distribute or release them to others without the prior written consent of</w:t>
      </w:r>
      <w:r>
        <w:t xml:space="preserve"> the</w:t>
      </w:r>
      <w:r w:rsidRPr="00EB14CE">
        <w:t xml:space="preserve"> </w:t>
      </w:r>
      <w:r w:rsidRPr="0036666C">
        <w:rPr>
          <w:b/>
        </w:rPr>
        <w:t>IC</w:t>
      </w:r>
      <w:r w:rsidRPr="00EB14CE">
        <w:t>.</w:t>
      </w:r>
    </w:p>
    <w:p w14:paraId="5ACD6C87" w14:textId="77777777" w:rsidR="00BE7A5B" w:rsidRPr="00EB14CE" w:rsidRDefault="00BE7A5B" w:rsidP="00320FD7">
      <w:pPr>
        <w:pStyle w:val="Level2License"/>
        <w:spacing w:after="240"/>
      </w:pPr>
      <w:r>
        <w:t xml:space="preserve">The </w:t>
      </w:r>
      <w:r w:rsidRPr="00EB14CE">
        <w:rPr>
          <w:b/>
        </w:rPr>
        <w:t>Licensee</w:t>
      </w:r>
      <w:r w:rsidRPr="00EB14CE">
        <w:t xml:space="preserve"> shall expend reasonable efforts and resources to </w:t>
      </w:r>
      <w:r w:rsidRPr="00746F8A">
        <w:t>carry out the research development plan submitted with</w:t>
      </w:r>
      <w:r>
        <w:t xml:space="preserve"> the</w:t>
      </w:r>
      <w:r w:rsidRPr="00746F8A">
        <w:t xml:space="preserve"> </w:t>
      </w:r>
      <w:r w:rsidRPr="00EB14CE">
        <w:rPr>
          <w:b/>
        </w:rPr>
        <w:t>Licensee's</w:t>
      </w:r>
      <w:r w:rsidRPr="00EB14CE">
        <w:t xml:space="preserve"> application for a license and shall begin research within six (6) months of the effective date of this </w:t>
      </w:r>
      <w:r w:rsidRPr="00EB14CE">
        <w:rPr>
          <w:b/>
        </w:rPr>
        <w:t>Agreement</w:t>
      </w:r>
      <w:r w:rsidRPr="00EB14CE">
        <w:t>.</w:t>
      </w:r>
    </w:p>
    <w:p w14:paraId="15C95827" w14:textId="77777777" w:rsidR="00BE7A5B" w:rsidRPr="00EB14CE" w:rsidRDefault="00BE7A5B" w:rsidP="00320FD7">
      <w:pPr>
        <w:pStyle w:val="Level2License"/>
        <w:spacing w:after="240"/>
      </w:pPr>
      <w:r>
        <w:t xml:space="preserve">The </w:t>
      </w:r>
      <w:r w:rsidRPr="00EB14CE">
        <w:rPr>
          <w:b/>
        </w:rPr>
        <w:t>Licensee</w:t>
      </w:r>
      <w:r w:rsidRPr="00EB14CE">
        <w:t xml:space="preserve"> agrees in its use of any </w:t>
      </w:r>
      <w:r w:rsidRPr="00F026B4">
        <w:rPr>
          <w:b/>
        </w:rPr>
        <w:t>Materials</w:t>
      </w:r>
      <w:r>
        <w:t xml:space="preserve"> and </w:t>
      </w:r>
      <w:r w:rsidRPr="00EB14CE">
        <w:rPr>
          <w:b/>
        </w:rPr>
        <w:t>Licensed Products</w:t>
      </w:r>
      <w:r w:rsidRPr="00EB14CE">
        <w:t xml:space="preserve"> provided by</w:t>
      </w:r>
      <w:r>
        <w:t xml:space="preserve"> the</w:t>
      </w:r>
      <w:r w:rsidRPr="00EB14CE">
        <w:t xml:space="preserve"> </w:t>
      </w:r>
      <w:r w:rsidRPr="0036666C">
        <w:rPr>
          <w:b/>
        </w:rPr>
        <w:t>IC</w:t>
      </w:r>
      <w:r w:rsidRPr="00EB14CE">
        <w:t xml:space="preserve"> to comply with all applicable statutes, regulations, and guidelines, including </w:t>
      </w:r>
      <w:r>
        <w:rPr>
          <w:b/>
        </w:rPr>
        <w:t>NIH</w:t>
      </w:r>
      <w:r w:rsidRPr="00EB14CE">
        <w:t xml:space="preserve"> and </w:t>
      </w:r>
      <w:r>
        <w:rPr>
          <w:b/>
        </w:rPr>
        <w:t>HHS</w:t>
      </w:r>
      <w:r w:rsidRPr="00EB14CE">
        <w:t xml:space="preserve"> regulations and guidelines. </w:t>
      </w:r>
      <w:r>
        <w:t>The</w:t>
      </w:r>
      <w:r w:rsidRPr="00EB14CE">
        <w:t xml:space="preserve"> </w:t>
      </w:r>
      <w:r w:rsidRPr="00EB14CE">
        <w:rPr>
          <w:b/>
        </w:rPr>
        <w:t>Licensee</w:t>
      </w:r>
      <w:r w:rsidRPr="00EB14CE">
        <w:t xml:space="preserve"> agrees not to use the</w:t>
      </w:r>
      <w:r>
        <w:t xml:space="preserve"> </w:t>
      </w:r>
      <w:r w:rsidRPr="00F026B4">
        <w:rPr>
          <w:b/>
        </w:rPr>
        <w:t>Materials</w:t>
      </w:r>
      <w:r>
        <w:t xml:space="preserve"> and </w:t>
      </w:r>
      <w:r w:rsidRPr="00F026B4">
        <w:t>the</w:t>
      </w:r>
      <w:r w:rsidRPr="00EB14CE">
        <w:t xml:space="preserve"> </w:t>
      </w:r>
      <w:r w:rsidRPr="00EB14CE">
        <w:rPr>
          <w:b/>
        </w:rPr>
        <w:t>Licensed Products</w:t>
      </w:r>
      <w:r w:rsidRPr="00EB14CE">
        <w:t xml:space="preserve"> for research involving human subjects or clinical trials in the United States without comp</w:t>
      </w:r>
      <w:r>
        <w:t xml:space="preserve">lying with </w:t>
      </w:r>
      <w:hyperlink r:id="rId11" w:history="1">
        <w:r w:rsidRPr="006B7459">
          <w:rPr>
            <w:rStyle w:val="Hyperlink"/>
          </w:rPr>
          <w:t>21 C</w:t>
        </w:r>
        <w:r>
          <w:rPr>
            <w:rStyle w:val="Hyperlink"/>
          </w:rPr>
          <w:t>.</w:t>
        </w:r>
        <w:r w:rsidRPr="006B7459">
          <w:rPr>
            <w:rStyle w:val="Hyperlink"/>
          </w:rPr>
          <w:t>F</w:t>
        </w:r>
        <w:r>
          <w:rPr>
            <w:rStyle w:val="Hyperlink"/>
          </w:rPr>
          <w:t>.</w:t>
        </w:r>
        <w:r w:rsidRPr="006B7459">
          <w:rPr>
            <w:rStyle w:val="Hyperlink"/>
          </w:rPr>
          <w:t>R</w:t>
        </w:r>
        <w:r>
          <w:rPr>
            <w:rStyle w:val="Hyperlink"/>
          </w:rPr>
          <w:t>.</w:t>
        </w:r>
        <w:r w:rsidRPr="006B7459">
          <w:rPr>
            <w:rStyle w:val="Hyperlink"/>
          </w:rPr>
          <w:t xml:space="preserve"> Part 50</w:t>
        </w:r>
      </w:hyperlink>
      <w:r w:rsidRPr="00746F8A">
        <w:t xml:space="preserve"> and </w:t>
      </w:r>
      <w:hyperlink r:id="rId12" w:history="1">
        <w:r w:rsidRPr="006B7459">
          <w:rPr>
            <w:rStyle w:val="Hyperlink"/>
          </w:rPr>
          <w:t>45 C</w:t>
        </w:r>
        <w:r>
          <w:rPr>
            <w:rStyle w:val="Hyperlink"/>
          </w:rPr>
          <w:t>.</w:t>
        </w:r>
        <w:r w:rsidRPr="006B7459">
          <w:rPr>
            <w:rStyle w:val="Hyperlink"/>
          </w:rPr>
          <w:t>F</w:t>
        </w:r>
        <w:r>
          <w:rPr>
            <w:rStyle w:val="Hyperlink"/>
          </w:rPr>
          <w:t>.</w:t>
        </w:r>
        <w:r w:rsidRPr="006B7459">
          <w:rPr>
            <w:rStyle w:val="Hyperlink"/>
          </w:rPr>
          <w:t>R</w:t>
        </w:r>
        <w:r>
          <w:rPr>
            <w:rStyle w:val="Hyperlink"/>
          </w:rPr>
          <w:t>.</w:t>
        </w:r>
        <w:r w:rsidRPr="006B7459">
          <w:rPr>
            <w:rStyle w:val="Hyperlink"/>
          </w:rPr>
          <w:t xml:space="preserve"> Part 46</w:t>
        </w:r>
      </w:hyperlink>
      <w:r w:rsidRPr="00746F8A">
        <w:t xml:space="preserve">. </w:t>
      </w:r>
      <w:r>
        <w:t xml:space="preserve"> The</w:t>
      </w:r>
      <w:r w:rsidRPr="00746F8A">
        <w:t xml:space="preserve"> </w:t>
      </w:r>
      <w:r w:rsidRPr="00EB14CE">
        <w:rPr>
          <w:b/>
        </w:rPr>
        <w:t>Licensee</w:t>
      </w:r>
      <w:r w:rsidRPr="00EB14CE">
        <w:t xml:space="preserve"> agrees not to use the </w:t>
      </w:r>
      <w:r w:rsidRPr="00F026B4">
        <w:rPr>
          <w:b/>
        </w:rPr>
        <w:t>Materials</w:t>
      </w:r>
      <w:r>
        <w:t xml:space="preserve"> and </w:t>
      </w:r>
      <w:r w:rsidRPr="00F026B4">
        <w:t>the</w:t>
      </w:r>
      <w:r w:rsidRPr="000005FC">
        <w:rPr>
          <w:b/>
        </w:rPr>
        <w:t xml:space="preserve"> </w:t>
      </w:r>
      <w:r w:rsidRPr="00EB14CE">
        <w:rPr>
          <w:b/>
        </w:rPr>
        <w:t>Licensed Products</w:t>
      </w:r>
      <w:r w:rsidRPr="00EB14CE">
        <w:t xml:space="preserve"> for research involving human subjects or clinical trials outside of the United States without notifying</w:t>
      </w:r>
      <w:r>
        <w:t xml:space="preserve"> the</w:t>
      </w:r>
      <w:r w:rsidRPr="00EB14CE">
        <w:t xml:space="preserve"> </w:t>
      </w:r>
      <w:r w:rsidRPr="0036666C">
        <w:rPr>
          <w:b/>
        </w:rPr>
        <w:t>IC</w:t>
      </w:r>
      <w:r w:rsidRPr="00EB14CE">
        <w:t xml:space="preserve">, in writing, of </w:t>
      </w:r>
      <w:r>
        <w:t>this</w:t>
      </w:r>
      <w:r w:rsidRPr="00EB14CE">
        <w:t xml:space="preserve"> research or trials and complying with the applicable regulations of the appropriate national control authorities. </w:t>
      </w:r>
      <w:r>
        <w:t xml:space="preserve"> </w:t>
      </w:r>
      <w:r w:rsidRPr="00EB14CE">
        <w:t>Written notification to</w:t>
      </w:r>
      <w:r>
        <w:t xml:space="preserve"> the</w:t>
      </w:r>
      <w:r w:rsidRPr="00EB14CE">
        <w:t xml:space="preserve"> </w:t>
      </w:r>
      <w:r w:rsidRPr="0036666C">
        <w:rPr>
          <w:b/>
        </w:rPr>
        <w:t>IC</w:t>
      </w:r>
      <w:r w:rsidRPr="00EB14CE">
        <w:t xml:space="preserve"> of research involving human subjects or clinical trials outside of the United States shall be given no later than sixty (60) days prior to commen</w:t>
      </w:r>
      <w:r w:rsidRPr="00746F8A">
        <w:t xml:space="preserve">cement of </w:t>
      </w:r>
      <w:r>
        <w:t>this</w:t>
      </w:r>
      <w:r w:rsidRPr="00EB14CE">
        <w:t xml:space="preserve"> research or trials.</w:t>
      </w:r>
    </w:p>
    <w:p w14:paraId="6847933A" w14:textId="77777777" w:rsidR="00BE7A5B" w:rsidRDefault="00BE7A5B" w:rsidP="00320FD7">
      <w:pPr>
        <w:pStyle w:val="Level2License"/>
        <w:spacing w:after="240"/>
      </w:pPr>
      <w:r w:rsidRPr="00EB14CE">
        <w:t>All plans and reports required by this</w:t>
      </w:r>
      <w:r>
        <w:t xml:space="preserve"> </w:t>
      </w:r>
      <w:r w:rsidRPr="00E7084A">
        <w:rPr>
          <w:b/>
        </w:rPr>
        <w:t>Agreement</w:t>
      </w:r>
      <w:r w:rsidRPr="00746F8A">
        <w:t xml:space="preserve"> shall be treated by</w:t>
      </w:r>
      <w:r>
        <w:t xml:space="preserve"> the</w:t>
      </w:r>
      <w:r w:rsidRPr="00746F8A">
        <w:t xml:space="preserve"> </w:t>
      </w:r>
      <w:r w:rsidRPr="0036666C">
        <w:rPr>
          <w:b/>
        </w:rPr>
        <w:t>IC</w:t>
      </w:r>
      <w:r w:rsidRPr="00EB14CE">
        <w:t xml:space="preserve"> as commercial and financial information obtained from a person and as privileged and confidential and, to the extent permitted by law, not subject to disclosure under the Freedom of Inf</w:t>
      </w:r>
      <w:r>
        <w:t xml:space="preserve">ormation Act, </w:t>
      </w:r>
      <w:hyperlink r:id="rId13" w:history="1">
        <w:r w:rsidRPr="00337EBC">
          <w:rPr>
            <w:rStyle w:val="Hyperlink"/>
          </w:rPr>
          <w:t>5 U.S.C. §552</w:t>
        </w:r>
      </w:hyperlink>
      <w:r w:rsidRPr="00746F8A">
        <w:t>.</w:t>
      </w:r>
    </w:p>
    <w:p w14:paraId="1CE807B7" w14:textId="77777777" w:rsidR="00BE7A5B" w:rsidRPr="007E4310" w:rsidRDefault="00BE7A5B" w:rsidP="007E4310"/>
    <w:p w14:paraId="0C7CC3B0" w14:textId="77777777" w:rsidR="00BE7A5B" w:rsidRPr="00EB14CE" w:rsidRDefault="00BE7A5B" w:rsidP="008D2C6C">
      <w:pPr>
        <w:pStyle w:val="Level1License"/>
        <w:spacing w:after="240"/>
      </w:pPr>
      <w:r w:rsidRPr="00EB14CE">
        <w:t>NEGATION OF WARRANTIES AND INDEMNIFICATION</w:t>
      </w:r>
    </w:p>
    <w:p w14:paraId="296BE000" w14:textId="77777777" w:rsidR="00BE7A5B" w:rsidRPr="00EB14CE" w:rsidRDefault="00BE7A5B" w:rsidP="00EC1DB1">
      <w:pPr>
        <w:pStyle w:val="Level2License"/>
        <w:spacing w:after="240"/>
      </w:pPr>
      <w:r>
        <w:t xml:space="preserve">The </w:t>
      </w:r>
      <w:r w:rsidRPr="0036666C">
        <w:rPr>
          <w:b/>
        </w:rPr>
        <w:t>IC</w:t>
      </w:r>
      <w:r w:rsidRPr="00EB14CE">
        <w:t xml:space="preserve"> offers no warranties other than those expressly specified in </w:t>
      </w:r>
      <w:r>
        <w:t>Article 1</w:t>
      </w:r>
      <w:r w:rsidRPr="00EB14CE">
        <w:t>.</w:t>
      </w:r>
    </w:p>
    <w:p w14:paraId="2A7D2828" w14:textId="77777777" w:rsidR="00BE7A5B" w:rsidRPr="00EB14CE" w:rsidRDefault="00BE7A5B" w:rsidP="00EC1DB1">
      <w:pPr>
        <w:pStyle w:val="Level2License"/>
        <w:spacing w:after="240"/>
      </w:pPr>
      <w:r>
        <w:t xml:space="preserve">The </w:t>
      </w:r>
      <w:r w:rsidRPr="0036666C">
        <w:rPr>
          <w:b/>
        </w:rPr>
        <w:t>IC</w:t>
      </w:r>
      <w:r w:rsidRPr="00EB14CE">
        <w:t xml:space="preserve"> does not warrant the validity of the </w:t>
      </w:r>
      <w:r w:rsidRPr="00EB14CE">
        <w:rPr>
          <w:b/>
        </w:rPr>
        <w:t>Licensed Patent Rights</w:t>
      </w:r>
      <w:r w:rsidRPr="00EB14CE">
        <w:t xml:space="preserve"> and makes no representations whatsoever with regard to the scope of the </w:t>
      </w:r>
      <w:r w:rsidRPr="00EB14CE">
        <w:rPr>
          <w:b/>
        </w:rPr>
        <w:t>Licensed Patent Rights</w:t>
      </w:r>
      <w:r w:rsidRPr="00EB14CE">
        <w:t xml:space="preserve">, or that the </w:t>
      </w:r>
      <w:r w:rsidRPr="00EB14CE">
        <w:rPr>
          <w:b/>
        </w:rPr>
        <w:t>Licensed Patent Rights</w:t>
      </w:r>
      <w:r w:rsidRPr="00EB14CE">
        <w:t xml:space="preserve"> may be exploited without infringing other patents or other intellectual property rights of third parties.</w:t>
      </w:r>
    </w:p>
    <w:p w14:paraId="1E7A5D4D" w14:textId="77777777" w:rsidR="00BE7A5B" w:rsidRPr="00EB14CE" w:rsidRDefault="00BE7A5B" w:rsidP="00EC1DB1">
      <w:pPr>
        <w:pStyle w:val="Level2License"/>
        <w:spacing w:after="240"/>
      </w:pPr>
      <w:r>
        <w:t xml:space="preserve">THE </w:t>
      </w:r>
      <w:r w:rsidRPr="0036666C">
        <w:rPr>
          <w:b/>
        </w:rPr>
        <w:t>IC</w:t>
      </w:r>
      <w:r w:rsidRPr="00EB14CE">
        <w:t xml:space="preserve"> MAKES NO WARRANTIES, EXPRESSED OR IMPLIED, </w:t>
      </w:r>
      <w:r w:rsidRPr="00746F8A">
        <w:t xml:space="preserve">OF MERCHANTABILITY OR FITNESS FOR A PARTICULAR PURPOSE </w:t>
      </w:r>
      <w:r>
        <w:t>OF ANY SUBJECT MATTER DEFINED BY THE CLAIMS OF THE</w:t>
      </w:r>
      <w:r w:rsidRPr="00957E56">
        <w:t xml:space="preserve"> </w:t>
      </w:r>
      <w:r>
        <w:rPr>
          <w:b/>
        </w:rPr>
        <w:t>LICENSED PATENT RIGHTS</w:t>
      </w:r>
      <w:r w:rsidRPr="00957E56">
        <w:t xml:space="preserve"> </w:t>
      </w:r>
      <w:r>
        <w:t xml:space="preserve">OR OF ANY </w:t>
      </w:r>
      <w:r w:rsidRPr="002F7DDC">
        <w:rPr>
          <w:b/>
          <w:bCs/>
        </w:rPr>
        <w:t>MATERIALS</w:t>
      </w:r>
      <w:r>
        <w:t xml:space="preserve"> OR</w:t>
      </w:r>
      <w:r w:rsidRPr="00957E56">
        <w:t xml:space="preserve"> </w:t>
      </w:r>
      <w:r>
        <w:rPr>
          <w:b/>
        </w:rPr>
        <w:t>LICENSED PRODUCTS</w:t>
      </w:r>
      <w:r w:rsidRPr="00957E56">
        <w:t xml:space="preserve"> </w:t>
      </w:r>
      <w:r>
        <w:t>PROVIDED TO THE</w:t>
      </w:r>
      <w:r w:rsidRPr="00957E56">
        <w:t xml:space="preserve"> </w:t>
      </w:r>
      <w:r>
        <w:rPr>
          <w:b/>
        </w:rPr>
        <w:t>LICENSEE</w:t>
      </w:r>
      <w:r w:rsidRPr="00957E56">
        <w:t xml:space="preserve"> </w:t>
      </w:r>
      <w:r>
        <w:t xml:space="preserve">UNDER PARAGRAPH </w:t>
      </w:r>
      <w:r w:rsidRPr="00957E56">
        <w:t>5.1.</w:t>
      </w:r>
    </w:p>
    <w:p w14:paraId="575A137C" w14:textId="77777777" w:rsidR="00BE7A5B" w:rsidRPr="00EB14CE" w:rsidRDefault="00BE7A5B" w:rsidP="00EC1DB1">
      <w:pPr>
        <w:pStyle w:val="Level2License"/>
        <w:spacing w:after="240"/>
      </w:pPr>
      <w:r>
        <w:t xml:space="preserve">The </w:t>
      </w:r>
      <w:r w:rsidRPr="0036666C">
        <w:rPr>
          <w:b/>
        </w:rPr>
        <w:t>IC</w:t>
      </w:r>
      <w:r w:rsidRPr="00EB14CE">
        <w:t xml:space="preserve"> does not represent that it shall commence legal </w:t>
      </w:r>
      <w:r w:rsidRPr="00746F8A">
        <w:t xml:space="preserve">actions against third parties infringing the </w:t>
      </w:r>
      <w:r w:rsidRPr="00EB14CE">
        <w:rPr>
          <w:b/>
        </w:rPr>
        <w:t>Licensed Patent Rights</w:t>
      </w:r>
      <w:r w:rsidRPr="00EB14CE">
        <w:t>.</w:t>
      </w:r>
    </w:p>
    <w:p w14:paraId="35AA64F3" w14:textId="77777777" w:rsidR="00BE7A5B" w:rsidRPr="00EB14CE" w:rsidRDefault="00BE7A5B" w:rsidP="00EC1DB1">
      <w:pPr>
        <w:pStyle w:val="Level2License"/>
        <w:spacing w:after="240"/>
      </w:pPr>
      <w:r>
        <w:t xml:space="preserve">The </w:t>
      </w:r>
      <w:r w:rsidRPr="00EB14CE">
        <w:rPr>
          <w:b/>
        </w:rPr>
        <w:t>Licensee</w:t>
      </w:r>
      <w:r w:rsidRPr="00EB14CE">
        <w:t xml:space="preserve"> shall indemnify and hold</w:t>
      </w:r>
      <w:r>
        <w:t xml:space="preserve"> the</w:t>
      </w:r>
      <w:r w:rsidRPr="00EB14CE">
        <w:t xml:space="preserve"> </w:t>
      </w:r>
      <w:r w:rsidRPr="0036666C">
        <w:rPr>
          <w:b/>
        </w:rPr>
        <w:t>IC</w:t>
      </w:r>
      <w:r>
        <w:t>,</w:t>
      </w:r>
      <w:r w:rsidRPr="00EB14CE">
        <w:t xml:space="preserve"> its employees, students, fellows, agents, and consultants harmless from and against all liability, demands, damages, expenses, and losses, includin</w:t>
      </w:r>
      <w:r w:rsidRPr="00746F8A">
        <w:t>g but not limited to death, personal injury, illness, or property damage in connection with or arising out of</w:t>
      </w:r>
      <w:r w:rsidRPr="00EB14CE">
        <w:t>:</w:t>
      </w:r>
    </w:p>
    <w:p w14:paraId="64EF7D24" w14:textId="77777777" w:rsidR="00BE7A5B" w:rsidRPr="00EB14CE" w:rsidRDefault="00BE7A5B" w:rsidP="00EC1DB1">
      <w:pPr>
        <w:pStyle w:val="Level3License"/>
        <w:spacing w:after="240"/>
      </w:pPr>
      <w:r w:rsidRPr="00EB14CE">
        <w:t>the use by</w:t>
      </w:r>
      <w:r>
        <w:t xml:space="preserve"> the</w:t>
      </w:r>
      <w:r w:rsidRPr="00EB14CE">
        <w:t xml:space="preserve"> </w:t>
      </w:r>
      <w:r w:rsidRPr="00EB14CE">
        <w:rPr>
          <w:b/>
        </w:rPr>
        <w:t>Licensee</w:t>
      </w:r>
      <w:r w:rsidRPr="00EB14CE">
        <w:t xml:space="preserve">, its directors, employees, or third parties of any </w:t>
      </w:r>
      <w:r w:rsidRPr="00EB14CE">
        <w:rPr>
          <w:b/>
        </w:rPr>
        <w:t>Licensed Patent Rights</w:t>
      </w:r>
      <w:r w:rsidRPr="00EB14CE">
        <w:t>, or</w:t>
      </w:r>
    </w:p>
    <w:p w14:paraId="52A0B720" w14:textId="77777777" w:rsidR="00BE7A5B" w:rsidRPr="00EB14CE" w:rsidRDefault="00BE7A5B" w:rsidP="00EC1DB1">
      <w:pPr>
        <w:pStyle w:val="Level3License"/>
        <w:spacing w:after="240"/>
      </w:pPr>
      <w:r w:rsidRPr="00EB14CE">
        <w:t xml:space="preserve">the design, manufacture, distribution, or use of any </w:t>
      </w:r>
      <w:r w:rsidRPr="00F026B4">
        <w:rPr>
          <w:b/>
        </w:rPr>
        <w:t>Materials</w:t>
      </w:r>
      <w:r>
        <w:t xml:space="preserve"> and </w:t>
      </w:r>
      <w:r w:rsidRPr="00EB14CE">
        <w:rPr>
          <w:b/>
          <w:bCs/>
        </w:rPr>
        <w:t>Licensed Products</w:t>
      </w:r>
      <w:r w:rsidRPr="00EB14CE">
        <w:t xml:space="preserve"> provided under Paragraph</w:t>
      </w:r>
      <w:r>
        <w:t xml:space="preserve"> </w:t>
      </w:r>
      <w:r w:rsidRPr="00EB14CE">
        <w:t xml:space="preserve">5.1, or other products or processes developed in connection with or arising out of the </w:t>
      </w:r>
      <w:r w:rsidRPr="00EB14CE">
        <w:rPr>
          <w:b/>
        </w:rPr>
        <w:t>Licensed Patent Rights</w:t>
      </w:r>
      <w:r w:rsidRPr="00EB14CE">
        <w:t>.</w:t>
      </w:r>
    </w:p>
    <w:p w14:paraId="7A9E39C9" w14:textId="77777777" w:rsidR="00BE7A5B" w:rsidRPr="00746F8A" w:rsidRDefault="00BE7A5B" w:rsidP="00EC1DB1">
      <w:pPr>
        <w:pStyle w:val="Level2License"/>
        <w:spacing w:after="240"/>
      </w:pPr>
      <w:r>
        <w:t xml:space="preserve">The </w:t>
      </w:r>
      <w:r w:rsidRPr="00EB14CE">
        <w:rPr>
          <w:b/>
        </w:rPr>
        <w:t>Licensee</w:t>
      </w:r>
      <w:r w:rsidRPr="00EB14CE">
        <w:t xml:space="preserve"> agrees to maintain a liability insurance program consist</w:t>
      </w:r>
      <w:r w:rsidRPr="00746F8A">
        <w:t>ent with sound business practice.</w:t>
      </w:r>
    </w:p>
    <w:p w14:paraId="231BDB31" w14:textId="77777777" w:rsidR="00BE7A5B" w:rsidRPr="00EB14CE" w:rsidRDefault="00BE7A5B" w:rsidP="008D2C6C">
      <w:pPr>
        <w:pStyle w:val="Level1License"/>
        <w:spacing w:after="240"/>
      </w:pPr>
      <w:r>
        <w:t xml:space="preserve">TERM, </w:t>
      </w:r>
      <w:r w:rsidRPr="00EB14CE">
        <w:t>TERMINATION AND MODIFICATION OF RIGHTS</w:t>
      </w:r>
    </w:p>
    <w:p w14:paraId="7EB4B459" w14:textId="77777777" w:rsidR="00BE7A5B" w:rsidRPr="00746F8A" w:rsidRDefault="00BE7A5B" w:rsidP="006F07EA">
      <w:pPr>
        <w:pStyle w:val="Level2License"/>
        <w:spacing w:after="240"/>
      </w:pPr>
      <w:r w:rsidRPr="00EB14CE">
        <w:t xml:space="preserve">This </w:t>
      </w:r>
      <w:r w:rsidRPr="00EB14CE">
        <w:rPr>
          <w:b/>
        </w:rPr>
        <w:t>Agreement</w:t>
      </w:r>
      <w:r w:rsidRPr="00EB14CE">
        <w:t xml:space="preserve"> is effective when signed by all parties, unless the provisions of Paragraph</w:t>
      </w:r>
      <w:r>
        <w:t xml:space="preserve"> </w:t>
      </w:r>
      <w:r w:rsidRPr="00EB14CE">
        <w:t xml:space="preserve">8.8 are not </w:t>
      </w:r>
      <w:r>
        <w:t>fulfilled</w:t>
      </w:r>
      <w:r w:rsidRPr="00EB14CE">
        <w:t xml:space="preserve">, and shall </w:t>
      </w:r>
      <w:r>
        <w:t>expire</w:t>
      </w:r>
      <w:r w:rsidRPr="00EB14CE">
        <w:t xml:space="preserve"> at the time specified in </w:t>
      </w:r>
      <w:r w:rsidRPr="006F07EA">
        <w:t>Appendix</w:t>
      </w:r>
      <w:r>
        <w:t xml:space="preserve"> </w:t>
      </w:r>
      <w:r w:rsidRPr="006F07EA">
        <w:t>B</w:t>
      </w:r>
      <w:r w:rsidRPr="00EB14CE">
        <w:t xml:space="preserve">, </w:t>
      </w:r>
      <w:r w:rsidRPr="00746F8A">
        <w:t>unless previously terminated under the terms of this Article</w:t>
      </w:r>
      <w:r>
        <w:t xml:space="preserve"> </w:t>
      </w:r>
      <w:r w:rsidRPr="00746F8A">
        <w:t>7.</w:t>
      </w:r>
    </w:p>
    <w:p w14:paraId="7577BA75" w14:textId="77777777" w:rsidR="00BE7A5B" w:rsidRPr="00EB14CE" w:rsidRDefault="00BE7A5B" w:rsidP="006F07EA">
      <w:pPr>
        <w:pStyle w:val="Level2License"/>
        <w:spacing w:after="240"/>
      </w:pPr>
      <w:r w:rsidRPr="00C37685">
        <w:t>In the event that</w:t>
      </w:r>
      <w:r>
        <w:t xml:space="preserve"> the</w:t>
      </w:r>
      <w:r w:rsidRPr="00C37685">
        <w:t xml:space="preserve"> </w:t>
      </w:r>
      <w:r w:rsidRPr="00C37685">
        <w:rPr>
          <w:b/>
        </w:rPr>
        <w:t>Licensee</w:t>
      </w:r>
      <w:r w:rsidRPr="00C37685">
        <w:t xml:space="preserve"> is in default in the performance of any material obligations under this </w:t>
      </w:r>
      <w:r w:rsidRPr="00C37685">
        <w:rPr>
          <w:b/>
        </w:rPr>
        <w:t>Agreement</w:t>
      </w:r>
      <w:r w:rsidRPr="00C37685">
        <w:t>, including but not limited to the oblig</w:t>
      </w:r>
      <w:r>
        <w:t xml:space="preserve">ations listed in </w:t>
      </w:r>
      <w:r w:rsidRPr="006F07EA">
        <w:t>Paragraph</w:t>
      </w:r>
      <w:r>
        <w:t xml:space="preserve"> </w:t>
      </w:r>
      <w:r w:rsidRPr="006F07EA">
        <w:t>7</w:t>
      </w:r>
      <w:r>
        <w:t>.3</w:t>
      </w:r>
      <w:r w:rsidRPr="00C37685">
        <w:t xml:space="preserve"> and if the default has not been remedied within ninety (90) days after the date of notice in writing of </w:t>
      </w:r>
      <w:r>
        <w:t>the</w:t>
      </w:r>
      <w:r w:rsidRPr="00C37685">
        <w:t xml:space="preserve"> default,</w:t>
      </w:r>
      <w:r>
        <w:t xml:space="preserve"> the</w:t>
      </w:r>
      <w:r w:rsidRPr="00C37685">
        <w:t xml:space="preserve"> </w:t>
      </w:r>
      <w:r w:rsidRPr="0036666C">
        <w:rPr>
          <w:b/>
        </w:rPr>
        <w:t>IC</w:t>
      </w:r>
      <w:r w:rsidRPr="00C37685">
        <w:t xml:space="preserve"> may terminate this </w:t>
      </w:r>
      <w:r w:rsidRPr="00C37685">
        <w:rPr>
          <w:b/>
        </w:rPr>
        <w:t>Agreement</w:t>
      </w:r>
      <w:r w:rsidRPr="00C37685">
        <w:t xml:space="preserve"> by written notice</w:t>
      </w:r>
      <w:r>
        <w:t xml:space="preserve"> and pursue outstanding royalties owed through procedures provided by the </w:t>
      </w:r>
      <w:hyperlink r:id="rId14" w:history="1">
        <w:r w:rsidRPr="00337EBC">
          <w:rPr>
            <w:rStyle w:val="Hyperlink"/>
          </w:rPr>
          <w:t>Federal Debt Collection Act</w:t>
        </w:r>
      </w:hyperlink>
      <w:r w:rsidRPr="00C37685">
        <w:t>.</w:t>
      </w:r>
    </w:p>
    <w:p w14:paraId="0D390BB9" w14:textId="77777777" w:rsidR="00BE7A5B" w:rsidRPr="00EB14CE" w:rsidRDefault="00BE7A5B" w:rsidP="006F07EA">
      <w:pPr>
        <w:pStyle w:val="Level2License"/>
        <w:spacing w:after="240"/>
      </w:pPr>
      <w:r>
        <w:t xml:space="preserve">The </w:t>
      </w:r>
      <w:r w:rsidRPr="0036666C">
        <w:rPr>
          <w:b/>
        </w:rPr>
        <w:t>IC</w:t>
      </w:r>
      <w:r w:rsidRPr="00EB14CE">
        <w:t xml:space="preserve"> shall specifically have the right to terminate this </w:t>
      </w:r>
      <w:r w:rsidRPr="00EB14CE">
        <w:rPr>
          <w:b/>
        </w:rPr>
        <w:t>Agreement</w:t>
      </w:r>
      <w:r w:rsidRPr="00EB14CE">
        <w:t xml:space="preserve"> by written notice if </w:t>
      </w:r>
      <w:r>
        <w:t>the</w:t>
      </w:r>
      <w:r w:rsidRPr="00EB14CE">
        <w:t xml:space="preserve"> </w:t>
      </w:r>
      <w:r w:rsidRPr="00EB14CE">
        <w:rPr>
          <w:b/>
        </w:rPr>
        <w:t>Licensee</w:t>
      </w:r>
      <w:r w:rsidRPr="00EB14CE">
        <w:t>:</w:t>
      </w:r>
    </w:p>
    <w:p w14:paraId="60837D5D" w14:textId="77777777" w:rsidR="00BE7A5B" w:rsidRPr="00EB14CE" w:rsidRDefault="00BE7A5B" w:rsidP="00802C9D">
      <w:pPr>
        <w:pStyle w:val="Level3License"/>
        <w:spacing w:after="240"/>
      </w:pPr>
      <w:r w:rsidRPr="00EB14CE">
        <w:t xml:space="preserve">has not demonstrated that it is executing the research plan submitted with its application for a license or that it has </w:t>
      </w:r>
      <w:r>
        <w:t xml:space="preserve">not </w:t>
      </w:r>
      <w:r w:rsidRPr="00EB14CE">
        <w:t>taken or can</w:t>
      </w:r>
      <w:r>
        <w:t>not</w:t>
      </w:r>
      <w:r w:rsidRPr="00EB14CE">
        <w:t xml:space="preserve"> be expected to take, within a reasonable time, effective steps to achieve the practical application of the </w:t>
      </w:r>
      <w:r w:rsidRPr="00EB14CE">
        <w:rPr>
          <w:b/>
        </w:rPr>
        <w:t>Licensed Patent Rights</w:t>
      </w:r>
      <w:r w:rsidRPr="00EB14CE">
        <w:t xml:space="preserve"> as contemplated by this </w:t>
      </w:r>
      <w:r w:rsidRPr="00EB14CE">
        <w:rPr>
          <w:b/>
        </w:rPr>
        <w:t>Agreement</w:t>
      </w:r>
      <w:r w:rsidRPr="00EB14CE">
        <w:t>; or</w:t>
      </w:r>
    </w:p>
    <w:p w14:paraId="2F6D4BBA" w14:textId="77777777" w:rsidR="00BE7A5B" w:rsidRPr="00EB14CE" w:rsidRDefault="00BE7A5B" w:rsidP="00802C9D">
      <w:pPr>
        <w:pStyle w:val="Level3License"/>
        <w:spacing w:after="240"/>
      </w:pPr>
      <w:r w:rsidRPr="00EB14CE">
        <w:t xml:space="preserve">has willfully made a false statement of or willfully omitted a material fact in its </w:t>
      </w:r>
      <w:r w:rsidRPr="00746F8A">
        <w:t xml:space="preserve">application for a license or in any report required by this </w:t>
      </w:r>
      <w:r w:rsidRPr="00EB14CE">
        <w:rPr>
          <w:b/>
        </w:rPr>
        <w:t>Agreement</w:t>
      </w:r>
      <w:r w:rsidRPr="00EB14CE">
        <w:t>.</w:t>
      </w:r>
    </w:p>
    <w:p w14:paraId="0EFEEA7A" w14:textId="77777777" w:rsidR="00BE7A5B" w:rsidRPr="00EB14CE" w:rsidRDefault="00BE7A5B" w:rsidP="00802C9D">
      <w:pPr>
        <w:pStyle w:val="Level2License"/>
        <w:spacing w:after="240"/>
      </w:pPr>
      <w:r>
        <w:t xml:space="preserve">The </w:t>
      </w:r>
      <w:r w:rsidRPr="0036666C">
        <w:rPr>
          <w:b/>
        </w:rPr>
        <w:t>IC</w:t>
      </w:r>
      <w:r w:rsidRPr="00EB14CE">
        <w:t xml:space="preserve"> reserves the right according to </w:t>
      </w:r>
      <w:hyperlink r:id="rId15" w:history="1">
        <w:r w:rsidRPr="00337EBC">
          <w:rPr>
            <w:rStyle w:val="Hyperlink"/>
          </w:rPr>
          <w:t>35 U.S.C. §209(d)(3)</w:t>
        </w:r>
      </w:hyperlink>
      <w:r w:rsidRPr="00EB14CE">
        <w:t xml:space="preserve"> to terminate this </w:t>
      </w:r>
      <w:r w:rsidRPr="00EB14CE">
        <w:rPr>
          <w:b/>
        </w:rPr>
        <w:t>Agreement</w:t>
      </w:r>
      <w:r w:rsidRPr="00EB14CE">
        <w:t xml:space="preserve"> if it is determined that </w:t>
      </w:r>
      <w:r>
        <w:t>this</w:t>
      </w:r>
      <w:r w:rsidRPr="00EB14CE">
        <w:t xml:space="preserve"> action is necessary to meet </w:t>
      </w:r>
      <w:r>
        <w:t xml:space="preserve">the </w:t>
      </w:r>
      <w:r w:rsidRPr="00EB14CE">
        <w:t xml:space="preserve">requirements for public use specified by Federal regulations issued after the date of the license and </w:t>
      </w:r>
      <w:r>
        <w:t>these</w:t>
      </w:r>
      <w:r w:rsidRPr="00EB14CE">
        <w:t xml:space="preserve"> requirements are not reasonably satisfied by</w:t>
      </w:r>
      <w:r>
        <w:t xml:space="preserve"> the</w:t>
      </w:r>
      <w:r w:rsidRPr="00EB14CE">
        <w:t xml:space="preserve"> </w:t>
      </w:r>
      <w:r w:rsidRPr="00EB14CE">
        <w:rPr>
          <w:b/>
        </w:rPr>
        <w:t>Licensee</w:t>
      </w:r>
      <w:r w:rsidRPr="00EB14CE">
        <w:t>.</w:t>
      </w:r>
    </w:p>
    <w:p w14:paraId="6475FDDE" w14:textId="77777777" w:rsidR="00BE7A5B" w:rsidRPr="00746F8A" w:rsidRDefault="00BE7A5B" w:rsidP="00802C9D">
      <w:pPr>
        <w:pStyle w:val="Level2License"/>
        <w:spacing w:after="240"/>
      </w:pPr>
      <w:r>
        <w:t xml:space="preserve">The </w:t>
      </w:r>
      <w:r w:rsidRPr="00EB14CE">
        <w:rPr>
          <w:b/>
        </w:rPr>
        <w:t>Licensee</w:t>
      </w:r>
      <w:r w:rsidRPr="00EB14CE">
        <w:t xml:space="preserve"> shall have a unilateral right to terminate this </w:t>
      </w:r>
      <w:r w:rsidRPr="00EB14CE">
        <w:rPr>
          <w:b/>
        </w:rPr>
        <w:t>Agreement</w:t>
      </w:r>
      <w:r w:rsidRPr="00EB14CE">
        <w:t xml:space="preserve"> by giving</w:t>
      </w:r>
      <w:r>
        <w:t xml:space="preserve"> the</w:t>
      </w:r>
      <w:r w:rsidRPr="00EB14CE">
        <w:t xml:space="preserve"> </w:t>
      </w:r>
      <w:r w:rsidRPr="0036666C">
        <w:rPr>
          <w:b/>
        </w:rPr>
        <w:t>IC</w:t>
      </w:r>
      <w:r w:rsidRPr="00EB14CE">
        <w:t xml:space="preserve"> sixty (60) days written notice to that e</w:t>
      </w:r>
      <w:r w:rsidRPr="00746F8A">
        <w:t>ffect.</w:t>
      </w:r>
    </w:p>
    <w:p w14:paraId="1D992CA8" w14:textId="77777777" w:rsidR="00BE7A5B" w:rsidRPr="008B1BE9" w:rsidRDefault="00BE7A5B" w:rsidP="008B1BE9">
      <w:pPr>
        <w:pStyle w:val="Level2License"/>
        <w:spacing w:after="240"/>
      </w:pPr>
      <w:r w:rsidRPr="00C2639E">
        <w:t xml:space="preserve">Within thirty (30) days of receipt of written notice of the </w:t>
      </w:r>
      <w:r>
        <w:rPr>
          <w:b/>
        </w:rPr>
        <w:t>IC’s</w:t>
      </w:r>
      <w:r w:rsidRPr="00C2639E">
        <w:t xml:space="preserve"> unilateral decision to modify or terminate this </w:t>
      </w:r>
      <w:r w:rsidRPr="00C2639E">
        <w:rPr>
          <w:b/>
        </w:rPr>
        <w:t>Agreement</w:t>
      </w:r>
      <w:r w:rsidRPr="00C2639E">
        <w:t xml:space="preserve">, the </w:t>
      </w:r>
      <w:r w:rsidRPr="00C2639E">
        <w:rPr>
          <w:b/>
        </w:rPr>
        <w:t>Licensee</w:t>
      </w:r>
      <w:r w:rsidRPr="00C2639E">
        <w:t xml:space="preserve"> may, consistent with the provisions of </w:t>
      </w:r>
      <w:hyperlink r:id="rId16" w:history="1">
        <w:r w:rsidRPr="00C2639E">
          <w:rPr>
            <w:rStyle w:val="Hyperlink"/>
          </w:rPr>
          <w:t xml:space="preserve">37 C.F.R. </w:t>
        </w:r>
        <w:r w:rsidRPr="00C2639E">
          <w:rPr>
            <w:rStyle w:val="Hyperlink"/>
            <w:rFonts w:ascii="Arial" w:hAnsi="Arial" w:cs="Arial" w:hint="cs"/>
          </w:rPr>
          <w:t>§</w:t>
        </w:r>
        <w:r w:rsidRPr="00C2639E">
          <w:rPr>
            <w:rStyle w:val="Hyperlink"/>
          </w:rPr>
          <w:t>404.11</w:t>
        </w:r>
      </w:hyperlink>
      <w:r w:rsidRPr="00C2639E">
        <w:t xml:space="preserve">, appeal the decision by written submission to the designated </w:t>
      </w:r>
      <w:r>
        <w:rPr>
          <w:b/>
        </w:rPr>
        <w:t>IC</w:t>
      </w:r>
      <w:r w:rsidRPr="00C2639E">
        <w:t xml:space="preserve"> official.  The decision of the designated </w:t>
      </w:r>
      <w:r>
        <w:rPr>
          <w:b/>
        </w:rPr>
        <w:t>IC</w:t>
      </w:r>
      <w:r w:rsidRPr="00C2639E">
        <w:t xml:space="preserve"> official shall be the final agency decision.  The </w:t>
      </w:r>
      <w:r w:rsidRPr="00C2639E">
        <w:rPr>
          <w:b/>
        </w:rPr>
        <w:t>Licensee</w:t>
      </w:r>
      <w:r w:rsidRPr="00C2639E">
        <w:t xml:space="preserve"> may thereafter exercise </w:t>
      </w:r>
      <w:proofErr w:type="gramStart"/>
      <w:r w:rsidRPr="00C2639E">
        <w:t>any and all</w:t>
      </w:r>
      <w:proofErr w:type="gramEnd"/>
      <w:r w:rsidRPr="00C2639E">
        <w:t xml:space="preserve"> administrative or judicial remedies that may be accessible.</w:t>
      </w:r>
    </w:p>
    <w:p w14:paraId="1852D7F0" w14:textId="77777777" w:rsidR="00BE7A5B" w:rsidRPr="00EB14CE" w:rsidRDefault="00BE7A5B" w:rsidP="00802C9D">
      <w:pPr>
        <w:pStyle w:val="Level2License"/>
        <w:spacing w:after="240"/>
      </w:pPr>
      <w:r>
        <w:t>If either p</w:t>
      </w:r>
      <w:r w:rsidRPr="00EB14CE">
        <w:t xml:space="preserve">arty desires a modification to this </w:t>
      </w:r>
      <w:r w:rsidRPr="00EB14CE">
        <w:rPr>
          <w:b/>
        </w:rPr>
        <w:t>Agreement</w:t>
      </w:r>
      <w:r>
        <w:t>, the p</w:t>
      </w:r>
      <w:r w:rsidRPr="00EB14CE">
        <w:t>arties shall, upon reasonable notice of th</w:t>
      </w:r>
      <w:r>
        <w:t>e proposed modification by the p</w:t>
      </w:r>
      <w:r w:rsidRPr="00EB14CE">
        <w:t xml:space="preserve">arty desiring the change, confer in good faith to determine the desirability of </w:t>
      </w:r>
      <w:r>
        <w:t>the</w:t>
      </w:r>
      <w:r w:rsidRPr="00EB14CE">
        <w:t xml:space="preserve"> modification.  No modification shall be effective until a written amendment is signed b</w:t>
      </w:r>
      <w:r w:rsidRPr="00746F8A">
        <w:t xml:space="preserve">y the signatories to this </w:t>
      </w:r>
      <w:r w:rsidRPr="00EB14CE">
        <w:rPr>
          <w:b/>
        </w:rPr>
        <w:t>Agreement</w:t>
      </w:r>
      <w:r w:rsidRPr="00EB14CE">
        <w:t xml:space="preserve"> or their designees.</w:t>
      </w:r>
    </w:p>
    <w:p w14:paraId="3D32E0CA" w14:textId="77777777" w:rsidR="00BE7A5B" w:rsidRDefault="00BE7A5B" w:rsidP="00802C9D">
      <w:pPr>
        <w:pStyle w:val="Level2License"/>
        <w:spacing w:after="240"/>
      </w:pPr>
      <w:r w:rsidRPr="00C37685">
        <w:t xml:space="preserve">Within </w:t>
      </w:r>
      <w:r>
        <w:t xml:space="preserve">ninety (90) days of expiration, </w:t>
      </w:r>
      <w:r w:rsidRPr="00C37685">
        <w:t xml:space="preserve">termination </w:t>
      </w:r>
      <w:r>
        <w:t xml:space="preserve">or term extension </w:t>
      </w:r>
      <w:r w:rsidRPr="00C37685">
        <w:t xml:space="preserve">of this </w:t>
      </w:r>
      <w:r w:rsidRPr="00C37685">
        <w:rPr>
          <w:b/>
        </w:rPr>
        <w:t>Agreement</w:t>
      </w:r>
      <w:r w:rsidRPr="00C37685">
        <w:t xml:space="preserve"> under this </w:t>
      </w:r>
      <w:r>
        <w:t>Article 7</w:t>
      </w:r>
      <w:r w:rsidRPr="00C37685">
        <w:t>, a final report shall be submitted by</w:t>
      </w:r>
      <w:r>
        <w:t xml:space="preserve"> the</w:t>
      </w:r>
      <w:r w:rsidRPr="00C37685">
        <w:t xml:space="preserve"> </w:t>
      </w:r>
      <w:r w:rsidRPr="00C37685">
        <w:rPr>
          <w:b/>
        </w:rPr>
        <w:t>Licensee</w:t>
      </w:r>
      <w:r>
        <w:t xml:space="preserve">.  The </w:t>
      </w:r>
      <w:r w:rsidRPr="00C94020">
        <w:rPr>
          <w:b/>
          <w:bCs/>
        </w:rPr>
        <w:t>Licensee</w:t>
      </w:r>
      <w:r w:rsidRPr="00C94020">
        <w:t xml:space="preserve"> shall send the report to </w:t>
      </w:r>
      <w:r>
        <w:t>the</w:t>
      </w:r>
      <w:r w:rsidRPr="00EB14CE">
        <w:t xml:space="preserve"> </w:t>
      </w:r>
      <w:r w:rsidRPr="0036666C">
        <w:rPr>
          <w:b/>
          <w:bCs/>
        </w:rPr>
        <w:t>IC</w:t>
      </w:r>
      <w:r w:rsidRPr="00C94020">
        <w:t xml:space="preserve"> at the Mailing Address for </w:t>
      </w:r>
      <w:r w:rsidRPr="00C94020">
        <w:rPr>
          <w:b/>
          <w:bCs/>
        </w:rPr>
        <w:t>Agreement</w:t>
      </w:r>
      <w:r w:rsidRPr="00C94020">
        <w:t xml:space="preserve"> notices indicated on the Signature Page.</w:t>
      </w:r>
    </w:p>
    <w:p w14:paraId="63E66D9D" w14:textId="77777777" w:rsidR="00BE7A5B" w:rsidRDefault="00BE7A5B" w:rsidP="009D5536">
      <w:pPr>
        <w:pStyle w:val="Level3License"/>
        <w:spacing w:after="240"/>
      </w:pPr>
      <w:r>
        <w:t>The report</w:t>
      </w:r>
      <w:r w:rsidRPr="009912D5">
        <w:t xml:space="preserve"> shall include, but not be limited to, progress on the research and development involving the </w:t>
      </w:r>
      <w:r w:rsidRPr="00C37685">
        <w:rPr>
          <w:b/>
        </w:rPr>
        <w:t>Licensed Patent Rights</w:t>
      </w:r>
      <w:r>
        <w:t>, the</w:t>
      </w:r>
      <w:r w:rsidRPr="000005FC">
        <w:t xml:space="preserve"> </w:t>
      </w:r>
      <w:r w:rsidRPr="00F026B4">
        <w:rPr>
          <w:b/>
        </w:rPr>
        <w:t>Materials</w:t>
      </w:r>
      <w:r>
        <w:rPr>
          <w:b/>
        </w:rPr>
        <w:t>,</w:t>
      </w:r>
      <w:r>
        <w:t xml:space="preserve"> </w:t>
      </w:r>
      <w:r w:rsidRPr="009912D5">
        <w:t>the</w:t>
      </w:r>
      <w:r w:rsidRPr="009912D5">
        <w:rPr>
          <w:b/>
        </w:rPr>
        <w:t xml:space="preserve"> Licensed </w:t>
      </w:r>
      <w:proofErr w:type="gramStart"/>
      <w:r w:rsidRPr="009912D5">
        <w:rPr>
          <w:b/>
        </w:rPr>
        <w:t>Products</w:t>
      </w:r>
      <w:proofErr w:type="gramEnd"/>
      <w:r w:rsidRPr="009912D5">
        <w:t xml:space="preserve"> or the</w:t>
      </w:r>
      <w:r w:rsidRPr="009912D5">
        <w:rPr>
          <w:b/>
        </w:rPr>
        <w:t xml:space="preserve"> Licensed </w:t>
      </w:r>
      <w:r>
        <w:rPr>
          <w:b/>
        </w:rPr>
        <w:t>Processes</w:t>
      </w:r>
      <w:r>
        <w:t>.</w:t>
      </w:r>
    </w:p>
    <w:p w14:paraId="1A07FDC6" w14:textId="77777777" w:rsidR="00BE7A5B" w:rsidRDefault="00BE7A5B" w:rsidP="009D5536">
      <w:pPr>
        <w:pStyle w:val="Level3License"/>
        <w:spacing w:after="240"/>
      </w:pPr>
      <w:r w:rsidRPr="00C37685">
        <w:t>Any royalty payments, including those incurred but not yet paid (such as the full minimum annual royalty</w:t>
      </w:r>
      <w:r>
        <w:t>)</w:t>
      </w:r>
      <w:r w:rsidRPr="00C37685">
        <w:t xml:space="preserve"> due to</w:t>
      </w:r>
      <w:r>
        <w:t xml:space="preserve"> the</w:t>
      </w:r>
      <w:r w:rsidRPr="00C37685">
        <w:t xml:space="preserve"> </w:t>
      </w:r>
      <w:r w:rsidRPr="0036666C">
        <w:rPr>
          <w:b/>
        </w:rPr>
        <w:t>IC</w:t>
      </w:r>
      <w:r w:rsidRPr="00C37685">
        <w:t xml:space="preserve"> shall become immediately due and payable u</w:t>
      </w:r>
      <w:r>
        <w:t xml:space="preserve">pon termination or expiration.  </w:t>
      </w:r>
      <w:r w:rsidRPr="00C37685">
        <w:t xml:space="preserve">Unless otherwise specifically provided for under this </w:t>
      </w:r>
      <w:r w:rsidRPr="00C37685">
        <w:rPr>
          <w:b/>
        </w:rPr>
        <w:t>Agreement</w:t>
      </w:r>
      <w:r w:rsidRPr="00C37685">
        <w:t xml:space="preserve">, upon termination or expiration of this </w:t>
      </w:r>
      <w:r w:rsidRPr="00C37685">
        <w:rPr>
          <w:b/>
        </w:rPr>
        <w:t>Agreement</w:t>
      </w:r>
      <w:r w:rsidRPr="00C37685">
        <w:t>,</w:t>
      </w:r>
      <w:r w:rsidRPr="00AF2484">
        <w:t xml:space="preserve"> </w:t>
      </w:r>
      <w:r>
        <w:t xml:space="preserve">the </w:t>
      </w:r>
      <w:r w:rsidRPr="00F026B4">
        <w:rPr>
          <w:b/>
        </w:rPr>
        <w:t>Licensee</w:t>
      </w:r>
      <w:r w:rsidRPr="00F026B4">
        <w:t xml:space="preserve"> shall return all </w:t>
      </w:r>
      <w:r w:rsidRPr="00F026B4">
        <w:rPr>
          <w:b/>
        </w:rPr>
        <w:t>Materials</w:t>
      </w:r>
      <w:r w:rsidRPr="00F026B4">
        <w:t xml:space="preserve"> and </w:t>
      </w:r>
      <w:r w:rsidRPr="00F026B4">
        <w:rPr>
          <w:b/>
        </w:rPr>
        <w:t>Licensed Products</w:t>
      </w:r>
      <w:r w:rsidRPr="00F026B4">
        <w:t xml:space="preserve"> to</w:t>
      </w:r>
      <w:r w:rsidRPr="002C15F3">
        <w:t xml:space="preserve"> </w:t>
      </w:r>
      <w:r>
        <w:t>the</w:t>
      </w:r>
      <w:r w:rsidRPr="00F026B4">
        <w:t xml:space="preserve"> </w:t>
      </w:r>
      <w:r w:rsidRPr="008F0D9F">
        <w:rPr>
          <w:b/>
        </w:rPr>
        <w:t>IC</w:t>
      </w:r>
      <w:r>
        <w:t xml:space="preserve"> </w:t>
      </w:r>
      <w:r w:rsidRPr="00F026B4">
        <w:t>or provide</w:t>
      </w:r>
      <w:r>
        <w:t xml:space="preserve"> the</w:t>
      </w:r>
      <w:r w:rsidRPr="00F026B4">
        <w:t xml:space="preserve"> </w:t>
      </w:r>
      <w:r w:rsidRPr="008F0D9F">
        <w:rPr>
          <w:b/>
        </w:rPr>
        <w:t>IC</w:t>
      </w:r>
      <w:r w:rsidRPr="00F026B4">
        <w:t xml:space="preserve"> with written certification of their destruction, unless</w:t>
      </w:r>
      <w:r>
        <w:t xml:space="preserve"> the</w:t>
      </w:r>
      <w:r w:rsidRPr="00F026B4">
        <w:t xml:space="preserve"> </w:t>
      </w:r>
      <w:r w:rsidRPr="00F026B4">
        <w:rPr>
          <w:b/>
        </w:rPr>
        <w:t>Licensee</w:t>
      </w:r>
      <w:r w:rsidRPr="00F026B4">
        <w:t xml:space="preserve"> has executed a commercialization license for the </w:t>
      </w:r>
      <w:r w:rsidRPr="00F026B4">
        <w:rPr>
          <w:b/>
        </w:rPr>
        <w:t>Licensed Patent Rights</w:t>
      </w:r>
      <w:r>
        <w:rPr>
          <w:b/>
        </w:rPr>
        <w:t xml:space="preserve"> </w:t>
      </w:r>
      <w:r w:rsidRPr="002F7DDC">
        <w:rPr>
          <w:bCs/>
        </w:rPr>
        <w:t>or</w:t>
      </w:r>
      <w:r>
        <w:rPr>
          <w:b/>
        </w:rPr>
        <w:t xml:space="preserve"> Licensed Products</w:t>
      </w:r>
      <w:r w:rsidRPr="00F026B4">
        <w:t>.</w:t>
      </w:r>
      <w:r w:rsidRPr="00C37685">
        <w:t>.</w:t>
      </w:r>
    </w:p>
    <w:p w14:paraId="3F9F5152" w14:textId="77777777" w:rsidR="00BE7A5B" w:rsidRDefault="00BE7A5B" w:rsidP="009D5536">
      <w:pPr>
        <w:pStyle w:val="Level3License"/>
        <w:spacing w:after="240"/>
      </w:pPr>
      <w:r>
        <w:t xml:space="preserve">If the term of the </w:t>
      </w:r>
      <w:r w:rsidRPr="00703224">
        <w:rPr>
          <w:b/>
        </w:rPr>
        <w:t>Agreement</w:t>
      </w:r>
      <w:r>
        <w:t xml:space="preserve"> is extended at the </w:t>
      </w:r>
      <w:r w:rsidRPr="00703224">
        <w:rPr>
          <w:b/>
        </w:rPr>
        <w:t>Licensee’s</w:t>
      </w:r>
      <w:r>
        <w:t xml:space="preserve"> request, then the </w:t>
      </w:r>
      <w:r w:rsidRPr="0036666C">
        <w:rPr>
          <w:b/>
        </w:rPr>
        <w:t>IC</w:t>
      </w:r>
      <w:r>
        <w:t xml:space="preserve"> and the </w:t>
      </w:r>
      <w:r w:rsidRPr="00703224">
        <w:rPr>
          <w:b/>
        </w:rPr>
        <w:t>Licensee</w:t>
      </w:r>
      <w:r>
        <w:t xml:space="preserve"> will negotiate in good faith regarding the schedule for reports regarding the information required in </w:t>
      </w:r>
      <w:proofErr w:type="gramStart"/>
      <w:r>
        <w:t>7.8(a);</w:t>
      </w:r>
      <w:proofErr w:type="gramEnd"/>
    </w:p>
    <w:p w14:paraId="5DFFA010" w14:textId="77777777" w:rsidR="00BE7A5B" w:rsidRDefault="00BE7A5B" w:rsidP="009D5536">
      <w:pPr>
        <w:pStyle w:val="Level3License"/>
        <w:spacing w:after="240"/>
      </w:pPr>
      <w:r>
        <w:t xml:space="preserve">If the term of this </w:t>
      </w:r>
      <w:r w:rsidRPr="00465BCC">
        <w:rPr>
          <w:b/>
        </w:rPr>
        <w:t>Agreement</w:t>
      </w:r>
      <w:r>
        <w:t xml:space="preserve"> is longer than ten (10) years, then the </w:t>
      </w:r>
      <w:r w:rsidRPr="0036666C">
        <w:rPr>
          <w:b/>
        </w:rPr>
        <w:t>IC</w:t>
      </w:r>
      <w:r>
        <w:t xml:space="preserve"> may request a status update report after the fifth (5</w:t>
      </w:r>
      <w:r w:rsidRPr="00465BCC">
        <w:rPr>
          <w:vertAlign w:val="superscript"/>
        </w:rPr>
        <w:t>th</w:t>
      </w:r>
      <w:r>
        <w:t xml:space="preserve">) year of the </w:t>
      </w:r>
      <w:r w:rsidRPr="00465BCC">
        <w:rPr>
          <w:b/>
        </w:rPr>
        <w:t>Agreement</w:t>
      </w:r>
      <w:r>
        <w:t>; and</w:t>
      </w:r>
    </w:p>
    <w:p w14:paraId="32AC6785" w14:textId="77777777" w:rsidR="00BE7A5B" w:rsidRPr="00EB14CE" w:rsidRDefault="00BE7A5B" w:rsidP="009D5536">
      <w:pPr>
        <w:pStyle w:val="Level3License"/>
        <w:spacing w:after="240"/>
      </w:pPr>
      <w:r>
        <w:rPr>
          <w:bCs/>
        </w:rPr>
        <w:t xml:space="preserve">The </w:t>
      </w:r>
      <w:r>
        <w:rPr>
          <w:b/>
          <w:bCs/>
        </w:rPr>
        <w:t>Licensee</w:t>
      </w:r>
      <w:r>
        <w:t xml:space="preserve"> may not be granted additional </w:t>
      </w:r>
      <w:r w:rsidRPr="0036666C">
        <w:rPr>
          <w:b/>
          <w:bCs/>
        </w:rPr>
        <w:t>IC</w:t>
      </w:r>
      <w:r>
        <w:t xml:space="preserve"> licenses if this reporting requirement is not fulfilled.</w:t>
      </w:r>
    </w:p>
    <w:p w14:paraId="1B0C2DC3" w14:textId="77777777" w:rsidR="00BE7A5B" w:rsidRPr="00EB14CE" w:rsidRDefault="00BE7A5B" w:rsidP="00802C9D">
      <w:pPr>
        <w:pStyle w:val="Level2License"/>
        <w:spacing w:after="240"/>
      </w:pPr>
      <w:r w:rsidRPr="00EB14CE">
        <w:t>Paragra</w:t>
      </w:r>
      <w:r>
        <w:t>phs 4.3, 4.4, 4.5, 5.4</w:t>
      </w:r>
      <w:r w:rsidRPr="00EB14CE">
        <w:t>, 6.1</w:t>
      </w:r>
      <w:r>
        <w:t>-</w:t>
      </w:r>
      <w:r w:rsidRPr="00EB14CE">
        <w:t xml:space="preserve">6.5, 7.6, 7.8 </w:t>
      </w:r>
      <w:r>
        <w:t xml:space="preserve">and 7.9 </w:t>
      </w:r>
      <w:r w:rsidRPr="00EB14CE">
        <w:t xml:space="preserve">of this </w:t>
      </w:r>
      <w:r w:rsidRPr="00EB14CE">
        <w:rPr>
          <w:b/>
        </w:rPr>
        <w:t>Agreement</w:t>
      </w:r>
      <w:r w:rsidRPr="00EB14CE">
        <w:t xml:space="preserve"> shall survive termination of this </w:t>
      </w:r>
      <w:r w:rsidRPr="00EB14CE">
        <w:rPr>
          <w:b/>
        </w:rPr>
        <w:t>Agreement</w:t>
      </w:r>
      <w:r w:rsidRPr="00EB14CE">
        <w:t>.</w:t>
      </w:r>
    </w:p>
    <w:p w14:paraId="3D446084" w14:textId="77777777" w:rsidR="00BE7A5B" w:rsidRPr="00EB14CE" w:rsidRDefault="00BE7A5B" w:rsidP="008D2C6C">
      <w:pPr>
        <w:pStyle w:val="Level1License"/>
        <w:spacing w:after="240"/>
      </w:pPr>
      <w:r w:rsidRPr="00EB14CE">
        <w:t>GENERAL PROVISIONS</w:t>
      </w:r>
    </w:p>
    <w:p w14:paraId="03377728" w14:textId="77777777" w:rsidR="00BE7A5B" w:rsidRPr="00EB14CE" w:rsidRDefault="00BE7A5B" w:rsidP="00475FFB">
      <w:pPr>
        <w:pStyle w:val="Level2License"/>
        <w:spacing w:after="240"/>
      </w:pPr>
      <w:r w:rsidRPr="00EB14CE">
        <w:t xml:space="preserve">This </w:t>
      </w:r>
      <w:r w:rsidRPr="00EB14CE">
        <w:rPr>
          <w:b/>
        </w:rPr>
        <w:t>Agreement</w:t>
      </w:r>
      <w:r w:rsidRPr="00EB14CE">
        <w:t xml:space="preserve"> constitutes the entire agreement between the parties relating to the subject matter of the </w:t>
      </w:r>
      <w:r w:rsidRPr="00EB14CE">
        <w:rPr>
          <w:b/>
        </w:rPr>
        <w:t>Licensed Patent Rights</w:t>
      </w:r>
      <w:r w:rsidRPr="00EB14CE">
        <w:t>, and all prior negotiations, representations, agreements, and understandings are merged into, extinguished by,</w:t>
      </w:r>
      <w:r w:rsidRPr="00746F8A">
        <w:t xml:space="preserve"> and completely expressed by this </w:t>
      </w:r>
      <w:r w:rsidRPr="00EB14CE">
        <w:rPr>
          <w:b/>
        </w:rPr>
        <w:t>Agreement</w:t>
      </w:r>
      <w:r w:rsidRPr="00EB14CE">
        <w:t>.</w:t>
      </w:r>
    </w:p>
    <w:p w14:paraId="01E2ECC9" w14:textId="77777777" w:rsidR="00BE7A5B" w:rsidRPr="00EB14CE" w:rsidRDefault="00BE7A5B" w:rsidP="00475FFB">
      <w:pPr>
        <w:pStyle w:val="Level2License"/>
        <w:spacing w:after="240"/>
      </w:pPr>
      <w:r w:rsidRPr="00EB14CE">
        <w:t xml:space="preserve">The provisions of this </w:t>
      </w:r>
      <w:r w:rsidRPr="00EB14CE">
        <w:rPr>
          <w:b/>
        </w:rPr>
        <w:t>Agreement</w:t>
      </w:r>
      <w:r w:rsidRPr="00EB14CE">
        <w:t xml:space="preserve"> are severable, and in the event that any provision of this </w:t>
      </w:r>
      <w:r w:rsidRPr="00EB14CE">
        <w:rPr>
          <w:b/>
        </w:rPr>
        <w:t>Agreement</w:t>
      </w:r>
      <w:r w:rsidRPr="00EB14CE">
        <w:t xml:space="preserve"> shall be determined to be invalid or unenforceable under any controlling body of law, such determination</w:t>
      </w:r>
      <w:r w:rsidRPr="00746F8A">
        <w:t xml:space="preserve"> shall not in any way affect the validity or enforceability of the remaining provisions of this </w:t>
      </w:r>
      <w:r w:rsidRPr="00EB14CE">
        <w:rPr>
          <w:b/>
        </w:rPr>
        <w:t>Agreement</w:t>
      </w:r>
      <w:r w:rsidRPr="00EB14CE">
        <w:t>.</w:t>
      </w:r>
    </w:p>
    <w:p w14:paraId="79A297C9" w14:textId="77777777" w:rsidR="00BE7A5B" w:rsidRPr="00746F8A" w:rsidRDefault="00BE7A5B" w:rsidP="00475FFB">
      <w:pPr>
        <w:pStyle w:val="Level2License"/>
        <w:spacing w:after="240"/>
      </w:pPr>
      <w:r w:rsidRPr="00EB14CE">
        <w:t xml:space="preserve">The construction, validity, performance, and effect of this </w:t>
      </w:r>
      <w:r w:rsidRPr="00EB14CE">
        <w:rPr>
          <w:b/>
        </w:rPr>
        <w:t>Agreement</w:t>
      </w:r>
      <w:r w:rsidRPr="00EB14CE">
        <w:t xml:space="preserve"> shall be governed by Federal law as applied by the Federal courts in the </w:t>
      </w:r>
      <w:smartTag w:uri="urn:schemas-microsoft-com:office:smarttags" w:element="State">
        <w:smartTag w:uri="urn:schemas-microsoft-com:office:smarttags" w:element="place">
          <w:r w:rsidRPr="00EB14CE">
            <w:t>D</w:t>
          </w:r>
          <w:r w:rsidRPr="00746F8A">
            <w:t>istrict of Columbia</w:t>
          </w:r>
        </w:smartTag>
      </w:smartTag>
      <w:r w:rsidRPr="00746F8A">
        <w:t>.</w:t>
      </w:r>
    </w:p>
    <w:p w14:paraId="6DA5F6C5" w14:textId="77777777" w:rsidR="00BE7A5B" w:rsidRPr="00EB14CE" w:rsidRDefault="00BE7A5B" w:rsidP="00475FFB">
      <w:pPr>
        <w:pStyle w:val="Level2License"/>
        <w:spacing w:after="240"/>
      </w:pPr>
      <w:r w:rsidRPr="00EB14CE">
        <w:t xml:space="preserve">All </w:t>
      </w:r>
      <w:r w:rsidRPr="00EB14CE">
        <w:rPr>
          <w:b/>
          <w:bCs/>
        </w:rPr>
        <w:t>Agreement</w:t>
      </w:r>
      <w:r>
        <w:t xml:space="preserve"> n</w:t>
      </w:r>
      <w:r w:rsidRPr="00EB14CE">
        <w:t xml:space="preserve">otices required or permitted by this </w:t>
      </w:r>
      <w:r w:rsidRPr="00EB14CE">
        <w:rPr>
          <w:b/>
        </w:rPr>
        <w:t>Agreement</w:t>
      </w:r>
      <w:r w:rsidRPr="00EB14CE">
        <w:t xml:space="preserve"> shall be given by prepaid, first class, registered or certified mail p</w:t>
      </w:r>
      <w:r>
        <w:t>roperly addressed to the other p</w:t>
      </w:r>
      <w:r w:rsidRPr="00EB14CE">
        <w:t>arty at the address designated on the foll</w:t>
      </w:r>
      <w:r>
        <w:t>owing Signature Page, or to an</w:t>
      </w:r>
      <w:r w:rsidRPr="00EB14CE">
        <w:t xml:space="preserve">other address as may be designated in writing by such other </w:t>
      </w:r>
      <w:r>
        <w:t>p</w:t>
      </w:r>
      <w:r w:rsidRPr="00EB14CE">
        <w:t>arty, and shall be effective as of the date of the postmark of such notice.</w:t>
      </w:r>
    </w:p>
    <w:p w14:paraId="12F8C666" w14:textId="77777777" w:rsidR="00BE7A5B" w:rsidRDefault="00BE7A5B" w:rsidP="00BD26A9">
      <w:pPr>
        <w:pStyle w:val="Level2License"/>
        <w:overflowPunct/>
        <w:autoSpaceDE/>
        <w:autoSpaceDN/>
        <w:adjustRightInd/>
        <w:spacing w:after="240"/>
        <w:textAlignment w:val="auto"/>
      </w:pPr>
      <w:r w:rsidRPr="00094752">
        <w:t xml:space="preserve">This </w:t>
      </w:r>
      <w:r w:rsidRPr="00094752">
        <w:rPr>
          <w:rStyle w:val="Strong"/>
        </w:rPr>
        <w:t>Agreement</w:t>
      </w:r>
      <w:r w:rsidRPr="00094752">
        <w:t xml:space="preserve"> shall not be assigned or otherwise transferred (including any transfer by legal process or by operation of law, and any transfer in bankruptcy or insolvency, or in any other compulsory procedure or order of court) except to</w:t>
      </w:r>
      <w:r>
        <w:t xml:space="preserve"> the</w:t>
      </w:r>
      <w:r w:rsidRPr="00094752">
        <w:t xml:space="preserve"> </w:t>
      </w:r>
      <w:r w:rsidRPr="001D0279">
        <w:rPr>
          <w:b/>
        </w:rPr>
        <w:t>Licensee’s</w:t>
      </w:r>
      <w:r w:rsidRPr="00094752">
        <w:t xml:space="preserve"> </w:t>
      </w:r>
      <w:bookmarkStart w:id="0" w:name="OLE_LINK1"/>
      <w:bookmarkStart w:id="1" w:name="OLE_LINK2"/>
      <w:r w:rsidRPr="001D0279">
        <w:rPr>
          <w:b/>
        </w:rPr>
        <w:t>Affiliate</w:t>
      </w:r>
      <w:r>
        <w:rPr>
          <w:b/>
        </w:rPr>
        <w:t>(</w:t>
      </w:r>
      <w:r w:rsidRPr="001D0279">
        <w:rPr>
          <w:b/>
        </w:rPr>
        <w:t>s</w:t>
      </w:r>
      <w:r>
        <w:rPr>
          <w:b/>
        </w:rPr>
        <w:t>)</w:t>
      </w:r>
      <w:bookmarkEnd w:id="0"/>
      <w:bookmarkEnd w:id="1"/>
      <w:r w:rsidRPr="00094752">
        <w:t xml:space="preserve"> without the prior written consent of</w:t>
      </w:r>
      <w:r>
        <w:t xml:space="preserve"> the</w:t>
      </w:r>
      <w:r w:rsidRPr="00094752">
        <w:t xml:space="preserve"> </w:t>
      </w:r>
      <w:r w:rsidRPr="0036666C">
        <w:rPr>
          <w:rStyle w:val="Strong"/>
        </w:rPr>
        <w:t>IC</w:t>
      </w:r>
      <w:r w:rsidRPr="00094752">
        <w:t xml:space="preserve">.  The parties agree that the identity of the parties is material to the formation of this </w:t>
      </w:r>
      <w:r w:rsidRPr="00094752">
        <w:rPr>
          <w:rStyle w:val="Strong"/>
        </w:rPr>
        <w:t>Agreement</w:t>
      </w:r>
      <w:r w:rsidRPr="00094752">
        <w:t xml:space="preserve"> and that the obligations under this </w:t>
      </w:r>
      <w:r w:rsidRPr="00094752">
        <w:rPr>
          <w:rStyle w:val="Strong"/>
        </w:rPr>
        <w:t>Agreement</w:t>
      </w:r>
      <w:r w:rsidRPr="00094752">
        <w:t xml:space="preserve"> are nondelegable</w:t>
      </w:r>
      <w:r>
        <w:t>.</w:t>
      </w:r>
    </w:p>
    <w:p w14:paraId="6CE00102" w14:textId="77777777" w:rsidR="00BE7A5B" w:rsidRPr="00EB14CE" w:rsidRDefault="00BE7A5B" w:rsidP="00475FFB">
      <w:pPr>
        <w:pStyle w:val="Level2License"/>
        <w:spacing w:after="240"/>
      </w:pPr>
      <w:r>
        <w:t xml:space="preserve">The </w:t>
      </w:r>
      <w:r w:rsidRPr="00EB14CE">
        <w:rPr>
          <w:b/>
        </w:rPr>
        <w:t>Licensee</w:t>
      </w:r>
      <w:r w:rsidRPr="00EB14CE">
        <w:t xml:space="preserve"> acknowledges that it is subject to and agrees to abide by the United States laws and regulations (including the </w:t>
      </w:r>
      <w:hyperlink r:id="rId17" w:history="1">
        <w:r w:rsidRPr="002E45A8">
          <w:rPr>
            <w:rStyle w:val="Hyperlink"/>
          </w:rPr>
          <w:t>Export Administration Act of 1979</w:t>
        </w:r>
      </w:hyperlink>
      <w:r>
        <w:t xml:space="preserve"> </w:t>
      </w:r>
      <w:r w:rsidRPr="00EB14CE">
        <w:t xml:space="preserve">and </w:t>
      </w:r>
      <w:hyperlink r:id="rId18" w:history="1">
        <w:r w:rsidRPr="00477059">
          <w:rPr>
            <w:rStyle w:val="Hyperlink"/>
          </w:rPr>
          <w:t>Arms Export Control Act</w:t>
        </w:r>
      </w:hyperlink>
      <w:r w:rsidRPr="00EB14CE">
        <w:t xml:space="preserve">) controlling the export of technical data, computer </w:t>
      </w:r>
      <w:r w:rsidRPr="00746F8A">
        <w:t>software, laboratory prototypes, biological material</w:t>
      </w:r>
      <w:r>
        <w:t>s</w:t>
      </w:r>
      <w:r w:rsidRPr="00EB14CE">
        <w:t xml:space="preserve"> and other commodities.  The transfer of </w:t>
      </w:r>
      <w:r>
        <w:t>these</w:t>
      </w:r>
      <w:r w:rsidRPr="00EB14CE">
        <w:t xml:space="preserve"> items may require a license from the appropriate agency of the </w:t>
      </w:r>
      <w:r w:rsidRPr="00EB14CE">
        <w:rPr>
          <w:b/>
        </w:rPr>
        <w:t>Government</w:t>
      </w:r>
      <w:r w:rsidRPr="00EB14CE">
        <w:t xml:space="preserve"> or written assurances by</w:t>
      </w:r>
      <w:r>
        <w:t xml:space="preserve"> the</w:t>
      </w:r>
      <w:r w:rsidRPr="00EB14CE">
        <w:t xml:space="preserve"> </w:t>
      </w:r>
      <w:r w:rsidRPr="00EB14CE">
        <w:rPr>
          <w:b/>
        </w:rPr>
        <w:t>Licensee</w:t>
      </w:r>
      <w:r w:rsidRPr="00EB14CE">
        <w:t xml:space="preserve"> that it shall not export </w:t>
      </w:r>
      <w:r>
        <w:t>these</w:t>
      </w:r>
      <w:r w:rsidRPr="00EB14CE">
        <w:t xml:space="preserve"> items to certain foreign countries without prior app</w:t>
      </w:r>
      <w:r w:rsidRPr="00746F8A">
        <w:t xml:space="preserve">roval of </w:t>
      </w:r>
      <w:r w:rsidRPr="00EB14CE">
        <w:t xml:space="preserve">the agency. </w:t>
      </w:r>
      <w:r>
        <w:t xml:space="preserve"> The</w:t>
      </w:r>
      <w:r w:rsidRPr="00EB14CE">
        <w:t xml:space="preserve"> </w:t>
      </w:r>
      <w:r w:rsidRPr="0036666C">
        <w:rPr>
          <w:b/>
        </w:rPr>
        <w:t>IC</w:t>
      </w:r>
      <w:r w:rsidRPr="00EB14CE">
        <w:t xml:space="preserve"> neither represents that a license is or is not required or that, if required, it shall be issued.</w:t>
      </w:r>
    </w:p>
    <w:p w14:paraId="68938E47" w14:textId="77777777" w:rsidR="00BE7A5B" w:rsidRPr="00E7680C" w:rsidRDefault="00BE7A5B" w:rsidP="00475FFB">
      <w:pPr>
        <w:pStyle w:val="Level2License"/>
        <w:spacing w:after="240"/>
      </w:pPr>
      <w:r w:rsidRPr="00E7680C">
        <w:t xml:space="preserve">The parties agree to attempt to settle amicably any controversy or claim arising under this </w:t>
      </w:r>
      <w:r w:rsidRPr="00E7680C">
        <w:rPr>
          <w:b/>
        </w:rPr>
        <w:t>Agreement</w:t>
      </w:r>
      <w:r w:rsidRPr="00E7680C">
        <w:t xml:space="preserve"> or a breach of this </w:t>
      </w:r>
      <w:r w:rsidRPr="00E7680C">
        <w:rPr>
          <w:b/>
        </w:rPr>
        <w:t>Agreement</w:t>
      </w:r>
      <w:r w:rsidRPr="00E7680C">
        <w:t xml:space="preserve">, except for appeals of modification or termination decisions provided for in Article 7.  The </w:t>
      </w:r>
      <w:r w:rsidRPr="00E7680C">
        <w:rPr>
          <w:b/>
        </w:rPr>
        <w:t>Licensee</w:t>
      </w:r>
      <w:r w:rsidRPr="00E7680C">
        <w:t xml:space="preserve"> agrees first to appeal any such unsettled claims or controversies to the designated </w:t>
      </w:r>
      <w:r>
        <w:rPr>
          <w:b/>
        </w:rPr>
        <w:t>IC</w:t>
      </w:r>
      <w:r w:rsidRPr="00E7680C">
        <w:t xml:space="preserve"> official</w:t>
      </w:r>
      <w:r>
        <w:t>,</w:t>
      </w:r>
      <w:r w:rsidRPr="00E7680C">
        <w:t xml:space="preserve"> or designee, whose decision shall be considered the final agency decision.  Thereafter, the </w:t>
      </w:r>
      <w:r w:rsidRPr="00E7680C">
        <w:rPr>
          <w:b/>
        </w:rPr>
        <w:t>Licensee</w:t>
      </w:r>
      <w:r w:rsidRPr="00E7680C">
        <w:t xml:space="preserve"> may exercise any administrative or judicial remedies that may be available.</w:t>
      </w:r>
    </w:p>
    <w:p w14:paraId="7FC63100" w14:textId="77777777" w:rsidR="00BE7A5B" w:rsidRPr="00EB14CE" w:rsidRDefault="00BE7A5B" w:rsidP="00475FFB">
      <w:pPr>
        <w:pStyle w:val="Level2License"/>
        <w:spacing w:after="240"/>
      </w:pPr>
      <w:r w:rsidRPr="00EB14CE">
        <w:t xml:space="preserve">The terms and conditions of this </w:t>
      </w:r>
      <w:r w:rsidRPr="00EB14CE">
        <w:rPr>
          <w:b/>
        </w:rPr>
        <w:t>Agreement</w:t>
      </w:r>
      <w:r w:rsidRPr="00EB14CE">
        <w:t xml:space="preserve"> shall, at</w:t>
      </w:r>
      <w:r>
        <w:t xml:space="preserve"> the</w:t>
      </w:r>
      <w:r w:rsidRPr="00EB14CE">
        <w:t xml:space="preserve"> </w:t>
      </w:r>
      <w:r w:rsidRPr="0036666C">
        <w:rPr>
          <w:b/>
        </w:rPr>
        <w:t>IC</w:t>
      </w:r>
      <w:r>
        <w:rPr>
          <w:b/>
        </w:rPr>
        <w:t>’s</w:t>
      </w:r>
      <w:r w:rsidRPr="00EB14CE">
        <w:t xml:space="preserve"> sole option, be considered by </w:t>
      </w:r>
      <w:r>
        <w:t>the</w:t>
      </w:r>
      <w:r w:rsidRPr="00EB14CE">
        <w:t xml:space="preserve"> </w:t>
      </w:r>
      <w:r w:rsidRPr="0036666C">
        <w:rPr>
          <w:b/>
        </w:rPr>
        <w:t>IC</w:t>
      </w:r>
      <w:r w:rsidRPr="00EB14CE">
        <w:t xml:space="preserve"> to be withdrawn</w:t>
      </w:r>
      <w:r w:rsidRPr="00EB14CE">
        <w:rPr>
          <w:b/>
        </w:rPr>
        <w:t xml:space="preserve"> </w:t>
      </w:r>
      <w:r w:rsidRPr="00EB14CE">
        <w:t>from</w:t>
      </w:r>
      <w:r>
        <w:t xml:space="preserve"> the</w:t>
      </w:r>
      <w:r w:rsidRPr="00EB14CE">
        <w:t xml:space="preserve"> </w:t>
      </w:r>
      <w:r w:rsidRPr="00EB14CE">
        <w:rPr>
          <w:b/>
        </w:rPr>
        <w:t>Licensee’s</w:t>
      </w:r>
      <w:r w:rsidRPr="00EB14CE">
        <w:t xml:space="preserve"> consideration and the terms and conditions of this </w:t>
      </w:r>
      <w:r w:rsidRPr="00EB14CE">
        <w:rPr>
          <w:b/>
        </w:rPr>
        <w:t>Agreement</w:t>
      </w:r>
      <w:r w:rsidRPr="00EB14CE">
        <w:t>,</w:t>
      </w:r>
      <w:r w:rsidRPr="00EB14CE">
        <w:rPr>
          <w:b/>
        </w:rPr>
        <w:t xml:space="preserve"> </w:t>
      </w:r>
      <w:r w:rsidRPr="00EB14CE">
        <w:t xml:space="preserve">and the </w:t>
      </w:r>
      <w:r w:rsidRPr="00EB14CE">
        <w:rPr>
          <w:b/>
        </w:rPr>
        <w:t xml:space="preserve">Agreement </w:t>
      </w:r>
      <w:r w:rsidRPr="00EB14CE">
        <w:t>itself to be null and void,</w:t>
      </w:r>
      <w:r w:rsidRPr="00EB14CE">
        <w:rPr>
          <w:b/>
        </w:rPr>
        <w:t xml:space="preserve"> </w:t>
      </w:r>
      <w:r w:rsidRPr="00EB14CE">
        <w:t xml:space="preserve">unless this </w:t>
      </w:r>
      <w:r w:rsidRPr="00EB14CE">
        <w:rPr>
          <w:b/>
        </w:rPr>
        <w:t>Agreement</w:t>
      </w:r>
      <w:r w:rsidRPr="00EB14CE">
        <w:t xml:space="preserve"> is executed</w:t>
      </w:r>
      <w:r w:rsidRPr="00EB14CE">
        <w:rPr>
          <w:b/>
        </w:rPr>
        <w:t xml:space="preserve"> </w:t>
      </w:r>
      <w:r w:rsidRPr="00EB14CE">
        <w:t xml:space="preserve">by the </w:t>
      </w:r>
      <w:r w:rsidRPr="00EB14CE">
        <w:rPr>
          <w:b/>
        </w:rPr>
        <w:t>Licensee</w:t>
      </w:r>
      <w:r w:rsidRPr="00EB14CE">
        <w:t xml:space="preserve"> and a fully executed original is received by</w:t>
      </w:r>
      <w:r>
        <w:t xml:space="preserve"> the</w:t>
      </w:r>
      <w:r w:rsidRPr="00EB14CE">
        <w:t xml:space="preserve"> </w:t>
      </w:r>
      <w:r w:rsidRPr="0036666C">
        <w:rPr>
          <w:b/>
        </w:rPr>
        <w:t>IC</w:t>
      </w:r>
      <w:r w:rsidRPr="00EB14CE">
        <w:t xml:space="preserve"> within sixty (60) days from the date of</w:t>
      </w:r>
      <w:r>
        <w:t xml:space="preserve"> the</w:t>
      </w:r>
      <w:r w:rsidRPr="00EB14CE">
        <w:t xml:space="preserve"> </w:t>
      </w:r>
      <w:r w:rsidRPr="0036666C">
        <w:rPr>
          <w:b/>
        </w:rPr>
        <w:t>IC</w:t>
      </w:r>
      <w:r w:rsidRPr="00EB14CE">
        <w:t xml:space="preserve"> signature found at the Signature Page.</w:t>
      </w:r>
    </w:p>
    <w:p w14:paraId="7152CCD3" w14:textId="77777777" w:rsidR="00BE7A5B" w:rsidRPr="00EB14CE" w:rsidRDefault="00BE7A5B" w:rsidP="00475FFB">
      <w:pPr>
        <w:spacing w:before="240" w:after="240"/>
        <w:ind w:left="1440" w:hanging="1440"/>
        <w:jc w:val="center"/>
      </w:pPr>
      <w:r w:rsidRPr="00EB14CE">
        <w:rPr>
          <w:b/>
        </w:rPr>
        <w:t>SIGNATURES BEGIN ON NEXT PAGE</w:t>
      </w:r>
    </w:p>
    <w:p w14:paraId="1088B65D" w14:textId="77777777" w:rsidR="00BE7A5B" w:rsidRPr="00EB14CE" w:rsidRDefault="00BE7A5B" w:rsidP="00475FFB">
      <w:pPr>
        <w:keepNext/>
        <w:pageBreakBefore/>
        <w:ind w:left="1440" w:hanging="1440"/>
        <w:jc w:val="center"/>
        <w:rPr>
          <w:b/>
        </w:rPr>
      </w:pPr>
      <w:r>
        <w:rPr>
          <w:b/>
        </w:rPr>
        <w:t>NIH</w:t>
      </w:r>
      <w:r w:rsidRPr="00EB14CE">
        <w:t xml:space="preserve"> </w:t>
      </w:r>
      <w:r w:rsidRPr="00EB14CE">
        <w:rPr>
          <w:b/>
        </w:rPr>
        <w:t>NON-EXCLUSIVE PATENT</w:t>
      </w:r>
      <w:r w:rsidRPr="00EB14CE">
        <w:t xml:space="preserve"> </w:t>
      </w:r>
      <w:r w:rsidRPr="00EB14CE">
        <w:rPr>
          <w:b/>
        </w:rPr>
        <w:t>LICENSE AGREEMENT</w:t>
      </w:r>
    </w:p>
    <w:p w14:paraId="67C8BD10" w14:textId="77777777" w:rsidR="00BE7A5B" w:rsidRPr="00EB14CE" w:rsidRDefault="00BE7A5B" w:rsidP="001E0A5E">
      <w:pPr>
        <w:spacing w:after="480"/>
        <w:ind w:left="1440" w:hanging="1440"/>
        <w:jc w:val="center"/>
      </w:pPr>
      <w:r w:rsidRPr="00EB14CE">
        <w:rPr>
          <w:b/>
        </w:rPr>
        <w:t xml:space="preserve">FOR INTERNAL </w:t>
      </w:r>
      <w:r>
        <w:rPr>
          <w:b/>
        </w:rPr>
        <w:t>RESEARCH</w:t>
      </w:r>
      <w:r w:rsidRPr="00EB14CE">
        <w:rPr>
          <w:b/>
        </w:rPr>
        <w:t xml:space="preserve"> USE</w:t>
      </w:r>
    </w:p>
    <w:p w14:paraId="1B0A0042" w14:textId="77777777" w:rsidR="00BE7A5B" w:rsidRPr="00EB14CE" w:rsidRDefault="00BE7A5B" w:rsidP="001E0A5E">
      <w:pPr>
        <w:keepNext/>
        <w:spacing w:after="480"/>
        <w:ind w:left="1440" w:hanging="1440"/>
      </w:pPr>
      <w:r w:rsidRPr="00EB14CE">
        <w:t xml:space="preserve">FOR </w:t>
      </w:r>
      <w:r w:rsidRPr="0036666C">
        <w:rPr>
          <w:b/>
        </w:rPr>
        <w:t>IC</w:t>
      </w:r>
      <w:r w:rsidRPr="00EB14CE">
        <w:t>:</w:t>
      </w:r>
    </w:p>
    <w:p w14:paraId="69B8979A" w14:textId="77777777" w:rsidR="00BE7A5B" w:rsidRPr="00EB14CE" w:rsidRDefault="00BE7A5B" w:rsidP="00AF67D8">
      <w:pPr>
        <w:pStyle w:val="StyleLeft0Hanging1"/>
        <w:tabs>
          <w:tab w:val="left" w:pos="4320"/>
          <w:tab w:val="left" w:pos="5760"/>
          <w:tab w:val="left" w:pos="7920"/>
        </w:tabs>
        <w:ind w:left="0" w:firstLine="0"/>
      </w:pPr>
      <w:r w:rsidRPr="00EB14CE">
        <w:t>by:</w:t>
      </w:r>
      <w:r>
        <w:t xml:space="preserve">  </w:t>
      </w:r>
      <w:r w:rsidRPr="008E5C2E">
        <w:t>_________________________________</w:t>
      </w:r>
      <w:r>
        <w:tab/>
      </w:r>
      <w:r w:rsidRPr="00AF67D8">
        <w:rPr>
          <w:u w:val="single"/>
        </w:rPr>
        <w:tab/>
      </w:r>
    </w:p>
    <w:p w14:paraId="699CCE8D" w14:textId="77777777" w:rsidR="00BE7A5B" w:rsidRPr="00F026B4" w:rsidRDefault="00BE7A5B" w:rsidP="000005FC">
      <w:pPr>
        <w:ind w:left="5760" w:hanging="5760"/>
      </w:pPr>
      <w:r>
        <w:t xml:space="preserve">Michael </w:t>
      </w:r>
      <w:proofErr w:type="spellStart"/>
      <w:r>
        <w:t>Mowatt</w:t>
      </w:r>
      <w:proofErr w:type="spellEnd"/>
      <w:r>
        <w:t>, Ph.D.</w:t>
      </w:r>
      <w:r>
        <w:tab/>
      </w:r>
      <w:r w:rsidRPr="00F026B4">
        <w:t>Date</w:t>
      </w:r>
    </w:p>
    <w:p w14:paraId="3FACEEBC" w14:textId="77777777" w:rsidR="00BE7A5B" w:rsidRDefault="00BE7A5B" w:rsidP="003F3D86">
      <w:pPr>
        <w:tabs>
          <w:tab w:val="left" w:pos="-1440"/>
        </w:tabs>
      </w:pPr>
      <w:r>
        <w:t xml:space="preserve">Director, Technology </w:t>
      </w:r>
      <w:proofErr w:type="gramStart"/>
      <w:r>
        <w:t>Transfer</w:t>
      </w:r>
      <w:proofErr w:type="gramEnd"/>
      <w:r>
        <w:t xml:space="preserve"> and Intellectual Property Office</w:t>
      </w:r>
    </w:p>
    <w:p w14:paraId="684F7145" w14:textId="77777777" w:rsidR="00BE7A5B" w:rsidRPr="00EB14CE" w:rsidRDefault="00BE7A5B" w:rsidP="00816200">
      <w:pPr>
        <w:pStyle w:val="StyleLeft0Hanging1"/>
        <w:spacing w:after="240"/>
        <w:ind w:left="0" w:firstLine="0"/>
      </w:pPr>
      <w:r>
        <w:t>National Institute of Allergy and Infectious Diseases;</w:t>
      </w:r>
      <w:r w:rsidDel="003F3D86">
        <w:t xml:space="preserve"> </w:t>
      </w:r>
      <w:r w:rsidRPr="00EB14CE">
        <w:t>National Institutes of Health</w:t>
      </w:r>
    </w:p>
    <w:p w14:paraId="4AB94F23" w14:textId="77777777" w:rsidR="00BE7A5B" w:rsidRPr="006D1842" w:rsidRDefault="00BE7A5B" w:rsidP="00E42DD0">
      <w:pPr>
        <w:spacing w:afterLines="100" w:after="240"/>
      </w:pPr>
      <w:r w:rsidRPr="006D1842">
        <w:t>Mailing Address or E-mail Address</w:t>
      </w:r>
      <w:r>
        <w:t xml:space="preserve"> </w:t>
      </w:r>
      <w:r w:rsidRPr="006D1842">
        <w:t xml:space="preserve">for </w:t>
      </w:r>
      <w:r w:rsidRPr="006D1842">
        <w:rPr>
          <w:b/>
          <w:bCs/>
        </w:rPr>
        <w:t>Agreement</w:t>
      </w:r>
      <w:r w:rsidRPr="006D1842">
        <w:t xml:space="preserve"> notices and reports:</w:t>
      </w:r>
    </w:p>
    <w:p w14:paraId="421DE135" w14:textId="77777777" w:rsidR="00BE7A5B" w:rsidRPr="002719A2" w:rsidRDefault="00BE7A5B" w:rsidP="0036666C">
      <w:pPr>
        <w:overflowPunct w:val="0"/>
        <w:autoSpaceDE w:val="0"/>
        <w:autoSpaceDN w:val="0"/>
        <w:adjustRightInd w:val="0"/>
        <w:textAlignment w:val="baseline"/>
        <w:rPr>
          <w:iCs/>
        </w:rPr>
      </w:pPr>
      <w:r w:rsidRPr="00C56372">
        <w:rPr>
          <w:bCs/>
          <w:iCs/>
        </w:rPr>
        <w:t>License Compliance and Administration</w:t>
      </w:r>
    </w:p>
    <w:p w14:paraId="0F5592E3" w14:textId="77777777" w:rsidR="00BE7A5B" w:rsidRPr="006D1842" w:rsidRDefault="00BE7A5B" w:rsidP="00205DEA">
      <w:r>
        <w:t>Monitoring &amp; Enforcement</w:t>
      </w:r>
    </w:p>
    <w:p w14:paraId="60F0BFC4" w14:textId="77777777" w:rsidR="00BE7A5B" w:rsidRPr="006D1842" w:rsidRDefault="00BE7A5B" w:rsidP="00205DEA">
      <w:r w:rsidRPr="006D1842">
        <w:t>Office of Technology Transfer</w:t>
      </w:r>
    </w:p>
    <w:p w14:paraId="0EF9AFFA" w14:textId="77777777" w:rsidR="00BE7A5B" w:rsidRPr="006D1842" w:rsidRDefault="00BE7A5B" w:rsidP="00205DEA">
      <w:r w:rsidRPr="006D1842">
        <w:t>National Institutes of Health</w:t>
      </w:r>
    </w:p>
    <w:p w14:paraId="1BE0C145" w14:textId="77777777" w:rsidR="00BE7A5B" w:rsidRPr="006D1842" w:rsidRDefault="00BE7A5B" w:rsidP="00205DEA">
      <w:r w:rsidRPr="006D1842">
        <w:t>6011 Executive Boulevard, Suite 325</w:t>
      </w:r>
    </w:p>
    <w:p w14:paraId="1863376E" w14:textId="77777777" w:rsidR="00BE7A5B" w:rsidRPr="006D1842" w:rsidRDefault="00BE7A5B" w:rsidP="00E42DD0">
      <w:pPr>
        <w:spacing w:afterLines="200" w:after="480"/>
      </w:pPr>
      <w:r w:rsidRPr="006D1842">
        <w:t xml:space="preserve">Rockville, </w:t>
      </w:r>
      <w:proofErr w:type="gramStart"/>
      <w:r w:rsidRPr="006D1842">
        <w:t>Maryland  20852</w:t>
      </w:r>
      <w:proofErr w:type="gramEnd"/>
      <w:r w:rsidRPr="006D1842">
        <w:t>-3804 U.S.A.</w:t>
      </w:r>
    </w:p>
    <w:p w14:paraId="315235C1" w14:textId="77777777" w:rsidR="00BE7A5B" w:rsidRPr="00924687" w:rsidRDefault="00BE7A5B" w:rsidP="00E42DD0">
      <w:pPr>
        <w:spacing w:afterLines="200" w:after="480"/>
      </w:pPr>
      <w:r w:rsidRPr="006D1842">
        <w:t>E-mail:</w:t>
      </w:r>
      <w:r>
        <w:t xml:space="preserve"> </w:t>
      </w:r>
      <w:hyperlink r:id="rId19" w:history="1">
        <w:r w:rsidRPr="00924687">
          <w:rPr>
            <w:rStyle w:val="Hyperlink"/>
          </w:rPr>
          <w:t>LicenseNotices_Reports@mail.nih.gov</w:t>
        </w:r>
      </w:hyperlink>
    </w:p>
    <w:p w14:paraId="39E4E8D5" w14:textId="77777777" w:rsidR="00BE7A5B" w:rsidRPr="00EB14CE" w:rsidRDefault="00BE7A5B" w:rsidP="00985D29">
      <w:pPr>
        <w:spacing w:after="240"/>
      </w:pPr>
      <w:r>
        <w:t>For the</w:t>
      </w:r>
      <w:r w:rsidRPr="00EB14CE">
        <w:t xml:space="preserve"> </w:t>
      </w:r>
      <w:r w:rsidRPr="00EB14CE">
        <w:rPr>
          <w:b/>
        </w:rPr>
        <w:t>Licensee</w:t>
      </w:r>
      <w:r w:rsidRPr="00EB14CE">
        <w:t xml:space="preserve"> (Upon information and belief, the undersigned expressly certifies or affirms that the contents of any statements of</w:t>
      </w:r>
      <w:r>
        <w:t xml:space="preserve"> the</w:t>
      </w:r>
      <w:r w:rsidRPr="00EB14CE">
        <w:t xml:space="preserve"> </w:t>
      </w:r>
      <w:r w:rsidRPr="00EB14CE">
        <w:rPr>
          <w:b/>
        </w:rPr>
        <w:t>Licensee</w:t>
      </w:r>
      <w:r w:rsidRPr="00EB14CE">
        <w:t xml:space="preserve"> made or referred to in this document are truthful and accurate.):</w:t>
      </w:r>
    </w:p>
    <w:p w14:paraId="1DC5044E" w14:textId="77777777" w:rsidR="00BE7A5B" w:rsidRPr="00EB14CE" w:rsidRDefault="00BE7A5B" w:rsidP="00985D29">
      <w:pPr>
        <w:pStyle w:val="Heading1"/>
        <w:spacing w:after="240"/>
      </w:pPr>
      <w:r w:rsidRPr="00EB14CE">
        <w:t>Licensee</w:t>
      </w:r>
    </w:p>
    <w:p w14:paraId="2A42DE68" w14:textId="77777777" w:rsidR="00BE7A5B" w:rsidRPr="008379FA" w:rsidRDefault="00BE7A5B" w:rsidP="008379FA">
      <w:pPr>
        <w:pStyle w:val="StyleLeft0Hanging1"/>
        <w:tabs>
          <w:tab w:val="left" w:pos="4320"/>
          <w:tab w:val="left" w:pos="5760"/>
          <w:tab w:val="left" w:pos="7560"/>
        </w:tabs>
        <w:rPr>
          <w:u w:val="single"/>
        </w:rPr>
      </w:pPr>
      <w:r w:rsidRPr="00EB14CE">
        <w:t>by:</w:t>
      </w:r>
      <w:r>
        <w:t xml:space="preserve">  </w:t>
      </w:r>
      <w:r w:rsidRPr="008E5C2E">
        <w:t>__________________________________</w:t>
      </w:r>
      <w:r w:rsidRPr="00EB14CE">
        <w:tab/>
      </w:r>
      <w:r>
        <w:tab/>
      </w:r>
      <w:r w:rsidRPr="00AF67D8">
        <w:rPr>
          <w:u w:val="single"/>
        </w:rPr>
        <w:tab/>
      </w:r>
    </w:p>
    <w:p w14:paraId="625B0CDA" w14:textId="77777777" w:rsidR="00BE7A5B" w:rsidRPr="00EB14CE" w:rsidRDefault="00BE7A5B" w:rsidP="008379FA">
      <w:pPr>
        <w:pStyle w:val="StyleLeft0Hanging1"/>
        <w:tabs>
          <w:tab w:val="left" w:pos="5760"/>
        </w:tabs>
        <w:spacing w:after="240"/>
        <w:ind w:left="0" w:firstLine="0"/>
      </w:pPr>
      <w:r w:rsidRPr="00EB14CE">
        <w:t>Signature of Authorized Official</w:t>
      </w:r>
      <w:r w:rsidRPr="00EB14CE">
        <w:tab/>
        <w:t>Date</w:t>
      </w:r>
    </w:p>
    <w:p w14:paraId="5A08F590" w14:textId="77777777" w:rsidR="00BE7A5B" w:rsidRPr="008379FA" w:rsidRDefault="00BE7A5B" w:rsidP="008379FA">
      <w:pPr>
        <w:pStyle w:val="StyleLeft0Hanging1"/>
        <w:tabs>
          <w:tab w:val="left" w:pos="4320"/>
        </w:tabs>
        <w:rPr>
          <w:u w:val="single"/>
        </w:rPr>
      </w:pPr>
      <w:r>
        <w:rPr>
          <w:u w:val="single"/>
        </w:rPr>
        <w:t>David A. Dodd</w:t>
      </w:r>
      <w:r>
        <w:rPr>
          <w:u w:val="single"/>
        </w:rPr>
        <w:tab/>
      </w:r>
    </w:p>
    <w:p w14:paraId="24C18482" w14:textId="77777777" w:rsidR="00BE7A5B" w:rsidRPr="00EB14CE" w:rsidRDefault="00BE7A5B" w:rsidP="00985D29">
      <w:pPr>
        <w:pStyle w:val="StyleLeft0Hanging1"/>
        <w:spacing w:after="240"/>
        <w:ind w:left="0" w:firstLine="0"/>
      </w:pPr>
      <w:r w:rsidRPr="00EB14CE">
        <w:t>Printed Name</w:t>
      </w:r>
    </w:p>
    <w:p w14:paraId="2F0537FC" w14:textId="77777777" w:rsidR="00BE7A5B" w:rsidRPr="008379FA" w:rsidRDefault="00BE7A5B" w:rsidP="008379FA">
      <w:pPr>
        <w:pStyle w:val="StyleLeft0Hanging1"/>
        <w:tabs>
          <w:tab w:val="left" w:pos="4320"/>
        </w:tabs>
        <w:rPr>
          <w:u w:val="single"/>
        </w:rPr>
      </w:pPr>
      <w:proofErr w:type="spellStart"/>
      <w:r>
        <w:rPr>
          <w:u w:val="single"/>
        </w:rPr>
        <w:t>Chairmand</w:t>
      </w:r>
      <w:proofErr w:type="spellEnd"/>
      <w:r>
        <w:rPr>
          <w:u w:val="single"/>
        </w:rPr>
        <w:t xml:space="preserve"> and CEO</w:t>
      </w:r>
    </w:p>
    <w:p w14:paraId="76418055" w14:textId="77777777" w:rsidR="00BE7A5B" w:rsidRPr="00EB14CE" w:rsidRDefault="00BE7A5B" w:rsidP="00A41AE7">
      <w:pPr>
        <w:pStyle w:val="StyleLeft0Hanging1"/>
        <w:spacing w:after="480"/>
      </w:pPr>
      <w:r w:rsidRPr="00EB14CE">
        <w:t>Title</w:t>
      </w:r>
    </w:p>
    <w:p w14:paraId="49E52926" w14:textId="77777777" w:rsidR="00BE7A5B" w:rsidRPr="00084174" w:rsidRDefault="00BE7A5B" w:rsidP="00BE7A5B">
      <w:pPr>
        <w:keepNext/>
        <w:keepLines/>
        <w:numPr>
          <w:ilvl w:val="0"/>
          <w:numId w:val="16"/>
        </w:numPr>
        <w:suppressAutoHyphens/>
        <w:overflowPunct w:val="0"/>
        <w:autoSpaceDE w:val="0"/>
        <w:autoSpaceDN w:val="0"/>
        <w:adjustRightInd w:val="0"/>
        <w:spacing w:after="240"/>
        <w:ind w:left="734" w:hanging="187"/>
        <w:textAlignment w:val="baseline"/>
      </w:pPr>
      <w:r w:rsidRPr="00EB14CE">
        <w:t xml:space="preserve">Official and Mailing Address for </w:t>
      </w:r>
      <w:r w:rsidRPr="00EB14CE">
        <w:rPr>
          <w:b/>
        </w:rPr>
        <w:t>Agreement</w:t>
      </w:r>
      <w:r>
        <w:t xml:space="preserve"> n</w:t>
      </w:r>
      <w:r w:rsidRPr="00EB14CE">
        <w:t>otices:</w:t>
      </w:r>
    </w:p>
    <w:p w14:paraId="776882C6" w14:textId="77777777" w:rsidR="00BE7A5B" w:rsidRDefault="00BE7A5B" w:rsidP="00213D0E">
      <w:pPr>
        <w:widowControl w:val="0"/>
        <w:suppressAutoHyphens/>
        <w:jc w:val="both"/>
      </w:pPr>
      <w:bookmarkStart w:id="2" w:name="_Hlk47617051"/>
      <w:r>
        <w:t>Mr. David A. Dodd</w:t>
      </w:r>
    </w:p>
    <w:p w14:paraId="7F6DDC50" w14:textId="77777777" w:rsidR="00BE7A5B" w:rsidRPr="00213D0E" w:rsidRDefault="00BE7A5B" w:rsidP="00213D0E">
      <w:pPr>
        <w:widowControl w:val="0"/>
        <w:suppressAutoHyphens/>
        <w:jc w:val="both"/>
      </w:pPr>
      <w:r w:rsidRPr="00213D0E">
        <w:t>Chairman and CEO</w:t>
      </w:r>
    </w:p>
    <w:p w14:paraId="34A9E8F7" w14:textId="77777777" w:rsidR="00BE7A5B" w:rsidRPr="00213D0E" w:rsidRDefault="00BE7A5B" w:rsidP="00213D0E">
      <w:pPr>
        <w:widowControl w:val="0"/>
        <w:suppressAutoHyphens/>
        <w:jc w:val="both"/>
      </w:pPr>
      <w:r w:rsidRPr="00213D0E">
        <w:t>GeoVax, Inc.</w:t>
      </w:r>
    </w:p>
    <w:p w14:paraId="755B27F7" w14:textId="77777777" w:rsidR="00BE7A5B" w:rsidRPr="00213D0E" w:rsidRDefault="00BE7A5B" w:rsidP="00213D0E">
      <w:pPr>
        <w:widowControl w:val="0"/>
        <w:suppressAutoHyphens/>
        <w:jc w:val="both"/>
      </w:pPr>
      <w:r w:rsidRPr="00213D0E">
        <w:t>1900 Lake Park Drive</w:t>
      </w:r>
    </w:p>
    <w:p w14:paraId="45191F93" w14:textId="77777777" w:rsidR="00BE7A5B" w:rsidRPr="00213D0E" w:rsidRDefault="00BE7A5B" w:rsidP="00213D0E">
      <w:pPr>
        <w:widowControl w:val="0"/>
        <w:suppressAutoHyphens/>
        <w:jc w:val="both"/>
      </w:pPr>
      <w:r w:rsidRPr="00213D0E">
        <w:t>Suite 380</w:t>
      </w:r>
    </w:p>
    <w:p w14:paraId="6FDD1328" w14:textId="77777777" w:rsidR="00BE7A5B" w:rsidRDefault="00BE7A5B" w:rsidP="00213D0E">
      <w:pPr>
        <w:widowControl w:val="0"/>
        <w:suppressAutoHyphens/>
        <w:jc w:val="both"/>
      </w:pPr>
      <w:r w:rsidRPr="00213D0E">
        <w:t>Smyrna, GA 30080</w:t>
      </w:r>
    </w:p>
    <w:p w14:paraId="0F34CDAF" w14:textId="77777777" w:rsidR="00BE7A5B" w:rsidRPr="00213D0E" w:rsidRDefault="00BE7A5B" w:rsidP="00213D0E">
      <w:pPr>
        <w:widowControl w:val="0"/>
        <w:suppressAutoHyphens/>
        <w:jc w:val="both"/>
      </w:pPr>
      <w:r>
        <w:t>678-384-7222</w:t>
      </w:r>
    </w:p>
    <w:p w14:paraId="77C378A1" w14:textId="77777777" w:rsidR="00BE7A5B" w:rsidRPr="00C56000" w:rsidRDefault="00BE7A5B" w:rsidP="00084174">
      <w:pPr>
        <w:widowControl w:val="0"/>
        <w:suppressAutoHyphens/>
        <w:jc w:val="both"/>
        <w:rPr>
          <w:color w:val="0563C1"/>
          <w:u w:val="single"/>
        </w:rPr>
      </w:pPr>
      <w:hyperlink r:id="rId20" w:history="1">
        <w:r w:rsidRPr="00213D0E">
          <w:rPr>
            <w:color w:val="0563C1"/>
            <w:u w:val="single"/>
          </w:rPr>
          <w:t>ddodd@geovax.com</w:t>
        </w:r>
      </w:hyperlink>
      <w:bookmarkEnd w:id="2"/>
    </w:p>
    <w:p w14:paraId="20F7B253" w14:textId="77777777" w:rsidR="00BE7A5B" w:rsidRPr="00C56000" w:rsidRDefault="00BE7A5B" w:rsidP="00084174">
      <w:pPr>
        <w:widowControl w:val="0"/>
        <w:suppressAutoHyphens/>
        <w:jc w:val="both"/>
        <w:rPr>
          <w:color w:val="0563C1"/>
          <w:u w:val="single"/>
        </w:rPr>
      </w:pPr>
    </w:p>
    <w:p w14:paraId="5980DB1D" w14:textId="77777777" w:rsidR="00BE7A5B" w:rsidRDefault="00BE7A5B" w:rsidP="00084174">
      <w:pPr>
        <w:widowControl w:val="0"/>
        <w:suppressAutoHyphens/>
        <w:jc w:val="both"/>
      </w:pPr>
      <w:r w:rsidRPr="003A424A">
        <w:t>E-mail</w:t>
      </w:r>
      <w:r>
        <w:t xml:space="preserve"> address:  </w:t>
      </w:r>
      <w:hyperlink r:id="rId21" w:history="1">
        <w:r w:rsidRPr="00A34D12">
          <w:rPr>
            <w:rStyle w:val="Hyperlink"/>
          </w:rPr>
          <w:t>ddodd@geovax.com</w:t>
        </w:r>
      </w:hyperlink>
    </w:p>
    <w:p w14:paraId="3F62D3E2" w14:textId="77777777" w:rsidR="00BE7A5B" w:rsidRPr="000005FC" w:rsidRDefault="00BE7A5B" w:rsidP="000005FC">
      <w:pPr>
        <w:widowControl w:val="0"/>
        <w:suppressAutoHyphens/>
        <w:jc w:val="both"/>
      </w:pPr>
    </w:p>
    <w:p w14:paraId="4D67519A" w14:textId="77777777" w:rsidR="00BE7A5B" w:rsidRPr="00EB14CE" w:rsidRDefault="00BE7A5B" w:rsidP="00BE7A5B">
      <w:pPr>
        <w:keepNext/>
        <w:keepLines/>
        <w:numPr>
          <w:ilvl w:val="0"/>
          <w:numId w:val="16"/>
        </w:numPr>
        <w:tabs>
          <w:tab w:val="left" w:pos="-1440"/>
          <w:tab w:val="left" w:pos="-720"/>
        </w:tabs>
        <w:suppressAutoHyphens/>
        <w:overflowPunct w:val="0"/>
        <w:autoSpaceDE w:val="0"/>
        <w:autoSpaceDN w:val="0"/>
        <w:adjustRightInd w:val="0"/>
        <w:spacing w:after="240"/>
        <w:ind w:left="734" w:hanging="187"/>
        <w:textAlignment w:val="baseline"/>
      </w:pPr>
      <w:r w:rsidRPr="00EB14CE">
        <w:t>Official and Mail</w:t>
      </w:r>
      <w:r>
        <w:t>ing Address for Financial n</w:t>
      </w:r>
      <w:r w:rsidRPr="00EB14CE">
        <w:t>otices (</w:t>
      </w:r>
      <w:r w:rsidRPr="00EB14CE">
        <w:rPr>
          <w:b/>
        </w:rPr>
        <w:t>Licensee’s</w:t>
      </w:r>
      <w:r w:rsidRPr="00EB14CE">
        <w:t xml:space="preserve"> contact person for royalty payments)</w:t>
      </w:r>
    </w:p>
    <w:p w14:paraId="0FB26C3F" w14:textId="77777777" w:rsidR="00BE7A5B" w:rsidRDefault="00BE7A5B" w:rsidP="00213D0E">
      <w:pPr>
        <w:widowControl w:val="0"/>
        <w:suppressAutoHyphens/>
        <w:jc w:val="both"/>
      </w:pPr>
      <w:r>
        <w:t>Mr. Mark W. Reynolds</w:t>
      </w:r>
    </w:p>
    <w:p w14:paraId="4AEF648F" w14:textId="77777777" w:rsidR="00BE7A5B" w:rsidRPr="00213D0E" w:rsidRDefault="00BE7A5B" w:rsidP="00213D0E">
      <w:pPr>
        <w:widowControl w:val="0"/>
        <w:suppressAutoHyphens/>
        <w:jc w:val="both"/>
      </w:pPr>
      <w:r>
        <w:t>Chief Financial Officer</w:t>
      </w:r>
    </w:p>
    <w:p w14:paraId="5CF19A37" w14:textId="77777777" w:rsidR="00BE7A5B" w:rsidRPr="00213D0E" w:rsidRDefault="00BE7A5B" w:rsidP="00213D0E">
      <w:pPr>
        <w:widowControl w:val="0"/>
        <w:suppressAutoHyphens/>
        <w:jc w:val="both"/>
      </w:pPr>
      <w:r w:rsidRPr="00213D0E">
        <w:t>GeoVax, Inc.</w:t>
      </w:r>
    </w:p>
    <w:p w14:paraId="3BB608C5" w14:textId="77777777" w:rsidR="00BE7A5B" w:rsidRPr="00213D0E" w:rsidRDefault="00BE7A5B" w:rsidP="00213D0E">
      <w:pPr>
        <w:widowControl w:val="0"/>
        <w:suppressAutoHyphens/>
        <w:jc w:val="both"/>
      </w:pPr>
      <w:r w:rsidRPr="00213D0E">
        <w:t>1900 Lake Park Drive</w:t>
      </w:r>
    </w:p>
    <w:p w14:paraId="517B50C5" w14:textId="77777777" w:rsidR="00BE7A5B" w:rsidRPr="00213D0E" w:rsidRDefault="00BE7A5B" w:rsidP="00213D0E">
      <w:pPr>
        <w:widowControl w:val="0"/>
        <w:suppressAutoHyphens/>
        <w:jc w:val="both"/>
      </w:pPr>
      <w:r w:rsidRPr="00213D0E">
        <w:t>Suite 380</w:t>
      </w:r>
    </w:p>
    <w:p w14:paraId="02D6824B" w14:textId="77777777" w:rsidR="00BE7A5B" w:rsidRDefault="00BE7A5B" w:rsidP="00213D0E">
      <w:pPr>
        <w:widowControl w:val="0"/>
        <w:suppressAutoHyphens/>
        <w:jc w:val="both"/>
      </w:pPr>
      <w:r w:rsidRPr="00213D0E">
        <w:t>Smyrna, GA 30080</w:t>
      </w:r>
    </w:p>
    <w:p w14:paraId="7A5119DC" w14:textId="77777777" w:rsidR="00BE7A5B" w:rsidRPr="00213D0E" w:rsidRDefault="00BE7A5B" w:rsidP="00213D0E">
      <w:pPr>
        <w:widowControl w:val="0"/>
        <w:suppressAutoHyphens/>
        <w:jc w:val="both"/>
      </w:pPr>
      <w:r w:rsidRPr="00213D0E">
        <w:t>678-384-7224</w:t>
      </w:r>
    </w:p>
    <w:p w14:paraId="145A09FC" w14:textId="77777777" w:rsidR="00BE7A5B" w:rsidRPr="00213D0E" w:rsidRDefault="00BE7A5B" w:rsidP="00213D0E">
      <w:pPr>
        <w:widowControl w:val="0"/>
        <w:suppressAutoHyphens/>
        <w:jc w:val="both"/>
      </w:pPr>
      <w:hyperlink r:id="rId22" w:history="1">
        <w:r w:rsidRPr="0001554F">
          <w:rPr>
            <w:rStyle w:val="Hyperlink"/>
          </w:rPr>
          <w:t>mreynolds</w:t>
        </w:r>
        <w:r w:rsidRPr="00213D0E">
          <w:rPr>
            <w:rStyle w:val="Hyperlink"/>
          </w:rPr>
          <w:t>@geovax.com</w:t>
        </w:r>
      </w:hyperlink>
    </w:p>
    <w:p w14:paraId="5D3DB2BB" w14:textId="77777777" w:rsidR="00BE7A5B" w:rsidRDefault="00BE7A5B" w:rsidP="00C56000">
      <w:pPr>
        <w:keepLines/>
        <w:tabs>
          <w:tab w:val="left" w:pos="2160"/>
          <w:tab w:val="left" w:pos="6480"/>
        </w:tabs>
        <w:spacing w:line="480" w:lineRule="auto"/>
        <w:rPr>
          <w:u w:val="single"/>
        </w:rPr>
      </w:pPr>
    </w:p>
    <w:p w14:paraId="22FE93E4" w14:textId="77777777" w:rsidR="00BE7A5B" w:rsidRDefault="00BE7A5B" w:rsidP="003A424A">
      <w:pPr>
        <w:keepLines/>
        <w:tabs>
          <w:tab w:val="left" w:pos="2160"/>
          <w:tab w:val="left" w:pos="6480"/>
        </w:tabs>
        <w:spacing w:line="480" w:lineRule="auto"/>
      </w:pPr>
      <w:r w:rsidRPr="00B76CF3">
        <w:t xml:space="preserve">E-mail address:  </w:t>
      </w:r>
      <w:hyperlink r:id="rId23" w:history="1">
        <w:r w:rsidRPr="00B76CF3">
          <w:rPr>
            <w:rStyle w:val="Hyperlink"/>
          </w:rPr>
          <w:t>mreynolds@geovax.com</w:t>
        </w:r>
      </w:hyperlink>
    </w:p>
    <w:p w14:paraId="1B7C5125" w14:textId="77777777" w:rsidR="00BE7A5B" w:rsidRPr="00746F8A" w:rsidRDefault="00BE7A5B" w:rsidP="001C2FE9">
      <w:pPr>
        <w:keepLines/>
        <w:tabs>
          <w:tab w:val="left" w:pos="-1440"/>
        </w:tabs>
      </w:pPr>
      <w:r w:rsidRPr="00EB14CE">
        <w:t xml:space="preserve">Any false or misleading statements made, presented, or submitted to the </w:t>
      </w:r>
      <w:r w:rsidRPr="00EB14CE">
        <w:rPr>
          <w:b/>
        </w:rPr>
        <w:t>Government</w:t>
      </w:r>
      <w:r w:rsidRPr="00EB14CE">
        <w:t xml:space="preserve">, including any relevant omissions, under this </w:t>
      </w:r>
      <w:r w:rsidRPr="00EB14CE">
        <w:rPr>
          <w:b/>
        </w:rPr>
        <w:t>Agreement</w:t>
      </w:r>
      <w:r w:rsidRPr="00EB14CE">
        <w:t xml:space="preserve"> and during the course of negotiation of this </w:t>
      </w:r>
      <w:r w:rsidRPr="00EB14CE">
        <w:rPr>
          <w:b/>
        </w:rPr>
        <w:t>Agreement</w:t>
      </w:r>
      <w:r w:rsidRPr="00EB14CE">
        <w:t xml:space="preserve"> are subject to all applicable civil a</w:t>
      </w:r>
      <w:r w:rsidRPr="00746F8A">
        <w:t xml:space="preserve">nd criminal statutes including Federal statutes </w:t>
      </w:r>
      <w:hyperlink r:id="rId24" w:history="1">
        <w:r w:rsidRPr="00673635">
          <w:rPr>
            <w:rStyle w:val="Hyperlink"/>
          </w:rPr>
          <w:t>31 U.S.C. §§3801</w:t>
        </w:r>
        <w:r w:rsidRPr="00673635">
          <w:rPr>
            <w:rStyle w:val="Hyperlink"/>
          </w:rPr>
          <w:noBreakHyphen/>
          <w:t>3812</w:t>
        </w:r>
      </w:hyperlink>
      <w:r w:rsidRPr="00746F8A">
        <w:t xml:space="preserve"> (civil lia</w:t>
      </w:r>
      <w:r>
        <w:t xml:space="preserve">bility) and </w:t>
      </w:r>
      <w:hyperlink r:id="rId25" w:history="1">
        <w:r w:rsidRPr="00337EBC">
          <w:rPr>
            <w:rStyle w:val="Hyperlink"/>
          </w:rPr>
          <w:t>18 U.S.C. §1001</w:t>
        </w:r>
      </w:hyperlink>
      <w:r w:rsidRPr="00746F8A">
        <w:t xml:space="preserve"> (criminal liability including fine(s) or imprisonment).</w:t>
      </w:r>
    </w:p>
    <w:p w14:paraId="0B41BE94" w14:textId="77777777" w:rsidR="00BE7A5B" w:rsidRPr="00957E56" w:rsidRDefault="00BE7A5B" w:rsidP="00AB7079">
      <w:pPr>
        <w:pStyle w:val="AppendixTitle"/>
        <w:spacing w:after="480"/>
      </w:pPr>
      <w:r>
        <w:t>APPENDIX A –</w:t>
      </w:r>
      <w:r w:rsidRPr="00EB14CE">
        <w:t xml:space="preserve"> Patent(s) or Patent Application(s)</w:t>
      </w:r>
    </w:p>
    <w:p w14:paraId="7438E7D7" w14:textId="77777777" w:rsidR="00BE7A5B" w:rsidRPr="00EB14CE" w:rsidRDefault="00BE7A5B" w:rsidP="00306CFA">
      <w:pPr>
        <w:tabs>
          <w:tab w:val="left" w:pos="-720"/>
        </w:tabs>
        <w:spacing w:after="240"/>
        <w:rPr>
          <w:b/>
        </w:rPr>
      </w:pPr>
      <w:r w:rsidRPr="00EB14CE">
        <w:rPr>
          <w:b/>
        </w:rPr>
        <w:t>Patent(s) or Patent Application(s):</w:t>
      </w:r>
    </w:p>
    <w:p w14:paraId="46230629" w14:textId="77777777" w:rsidR="00BE7A5B" w:rsidRPr="002F4B1E" w:rsidRDefault="00BE7A5B" w:rsidP="002F4B1E">
      <w:pPr>
        <w:keepLines/>
        <w:tabs>
          <w:tab w:val="left" w:pos="-1440"/>
          <w:tab w:val="num" w:pos="720"/>
        </w:tabs>
        <w:suppressAutoHyphens/>
        <w:overflowPunct w:val="0"/>
        <w:autoSpaceDE w:val="0"/>
        <w:autoSpaceDN w:val="0"/>
        <w:adjustRightInd w:val="0"/>
        <w:spacing w:afterLines="100" w:after="240"/>
        <w:ind w:left="720" w:hanging="720"/>
        <w:textAlignment w:val="baseline"/>
      </w:pPr>
      <w:bookmarkStart w:id="3" w:name="_Hlk520454520"/>
      <w:r w:rsidRPr="002F4B1E">
        <w:t>E-552-1982 technology</w:t>
      </w:r>
      <w:bookmarkEnd w:id="3"/>
      <w:r w:rsidRPr="002F4B1E">
        <w:t>:</w:t>
      </w:r>
    </w:p>
    <w:tbl>
      <w:tblPr>
        <w:tblStyle w:val="TableGrid"/>
        <w:tblW w:w="0" w:type="auto"/>
        <w:tblInd w:w="720" w:type="dxa"/>
        <w:tblLook w:val="04A0" w:firstRow="1" w:lastRow="0" w:firstColumn="1" w:lastColumn="0" w:noHBand="0" w:noVBand="1"/>
      </w:tblPr>
      <w:tblGrid>
        <w:gridCol w:w="2157"/>
        <w:gridCol w:w="2157"/>
        <w:gridCol w:w="2158"/>
        <w:gridCol w:w="2158"/>
      </w:tblGrid>
      <w:tr w:rsidR="00BE7A5B" w:rsidRPr="002F4B1E" w14:paraId="3261AD46" w14:textId="77777777" w:rsidTr="00A204A4">
        <w:trPr>
          <w:trHeight w:val="300"/>
        </w:trPr>
        <w:tc>
          <w:tcPr>
            <w:tcW w:w="2157" w:type="dxa"/>
            <w:noWrap/>
            <w:hideMark/>
          </w:tcPr>
          <w:p w14:paraId="48B031D4" w14:textId="77777777" w:rsidR="00BE7A5B" w:rsidRPr="002F4B1E" w:rsidRDefault="00BE7A5B" w:rsidP="002F4B1E">
            <w:pPr>
              <w:spacing w:after="240"/>
              <w:jc w:val="center"/>
              <w:rPr>
                <w:rFonts w:ascii="Calibri" w:hAnsi="Calibri" w:cs="Calibri"/>
                <w:b/>
                <w:bCs/>
                <w:color w:val="000000"/>
              </w:rPr>
            </w:pPr>
            <w:r w:rsidRPr="002F4B1E">
              <w:rPr>
                <w:rFonts w:ascii="Calibri" w:hAnsi="Calibri" w:cs="Calibri"/>
                <w:b/>
                <w:bCs/>
                <w:color w:val="000000"/>
              </w:rPr>
              <w:t>HHS Ref. No.</w:t>
            </w:r>
          </w:p>
        </w:tc>
        <w:tc>
          <w:tcPr>
            <w:tcW w:w="2157" w:type="dxa"/>
            <w:noWrap/>
            <w:hideMark/>
          </w:tcPr>
          <w:p w14:paraId="2A74712D" w14:textId="77777777" w:rsidR="00BE7A5B" w:rsidRPr="002F4B1E" w:rsidRDefault="00BE7A5B" w:rsidP="002F4B1E">
            <w:pPr>
              <w:spacing w:after="240"/>
              <w:jc w:val="center"/>
              <w:rPr>
                <w:rFonts w:ascii="Calibri" w:hAnsi="Calibri" w:cs="Calibri"/>
                <w:b/>
                <w:bCs/>
                <w:color w:val="000000"/>
              </w:rPr>
            </w:pPr>
            <w:r w:rsidRPr="002F4B1E">
              <w:rPr>
                <w:rFonts w:ascii="Calibri" w:hAnsi="Calibri" w:cs="Calibri"/>
                <w:b/>
                <w:bCs/>
                <w:color w:val="000000"/>
              </w:rPr>
              <w:t>Territory</w:t>
            </w:r>
          </w:p>
        </w:tc>
        <w:tc>
          <w:tcPr>
            <w:tcW w:w="2158" w:type="dxa"/>
            <w:noWrap/>
            <w:hideMark/>
          </w:tcPr>
          <w:p w14:paraId="5026990C" w14:textId="77777777" w:rsidR="00BE7A5B" w:rsidRPr="002F4B1E" w:rsidRDefault="00BE7A5B" w:rsidP="002F4B1E">
            <w:pPr>
              <w:spacing w:after="240"/>
              <w:jc w:val="center"/>
              <w:rPr>
                <w:rFonts w:ascii="Calibri" w:hAnsi="Calibri" w:cs="Calibri"/>
                <w:b/>
                <w:bCs/>
                <w:color w:val="000000"/>
              </w:rPr>
            </w:pPr>
            <w:r w:rsidRPr="002F4B1E">
              <w:rPr>
                <w:rFonts w:ascii="Calibri" w:hAnsi="Calibri" w:cs="Calibri"/>
                <w:b/>
                <w:bCs/>
                <w:color w:val="000000"/>
              </w:rPr>
              <w:t>Application No.</w:t>
            </w:r>
          </w:p>
        </w:tc>
        <w:tc>
          <w:tcPr>
            <w:tcW w:w="2158" w:type="dxa"/>
            <w:noWrap/>
            <w:hideMark/>
          </w:tcPr>
          <w:p w14:paraId="73CA490F" w14:textId="77777777" w:rsidR="00BE7A5B" w:rsidRPr="002F4B1E" w:rsidRDefault="00BE7A5B" w:rsidP="002F4B1E">
            <w:pPr>
              <w:spacing w:after="240"/>
              <w:jc w:val="center"/>
              <w:rPr>
                <w:rFonts w:ascii="Calibri" w:hAnsi="Calibri" w:cs="Calibri"/>
                <w:b/>
                <w:bCs/>
                <w:color w:val="000000"/>
              </w:rPr>
            </w:pPr>
            <w:r w:rsidRPr="002F4B1E">
              <w:rPr>
                <w:rFonts w:ascii="Calibri" w:hAnsi="Calibri" w:cs="Calibri"/>
                <w:b/>
                <w:bCs/>
                <w:color w:val="000000"/>
              </w:rPr>
              <w:t>Patent No.</w:t>
            </w:r>
          </w:p>
        </w:tc>
      </w:tr>
      <w:tr w:rsidR="00BE7A5B" w:rsidRPr="002F4B1E" w14:paraId="28CAF42C" w14:textId="77777777" w:rsidTr="00A204A4">
        <w:trPr>
          <w:trHeight w:val="300"/>
        </w:trPr>
        <w:tc>
          <w:tcPr>
            <w:tcW w:w="2157" w:type="dxa"/>
            <w:noWrap/>
            <w:hideMark/>
          </w:tcPr>
          <w:p w14:paraId="684134C3" w14:textId="77777777" w:rsidR="00BE7A5B" w:rsidRPr="002F4B1E" w:rsidRDefault="00BE7A5B" w:rsidP="002F4B1E">
            <w:pPr>
              <w:spacing w:after="240"/>
              <w:rPr>
                <w:rFonts w:ascii="Calibri" w:hAnsi="Calibri" w:cs="Calibri"/>
                <w:color w:val="000000"/>
              </w:rPr>
            </w:pPr>
            <w:r w:rsidRPr="002F4B1E">
              <w:rPr>
                <w:rFonts w:ascii="Calibri" w:hAnsi="Calibri" w:cs="Calibri"/>
                <w:color w:val="000000"/>
              </w:rPr>
              <w:t>E-552-1982-2-US-03</w:t>
            </w:r>
          </w:p>
        </w:tc>
        <w:tc>
          <w:tcPr>
            <w:tcW w:w="2157" w:type="dxa"/>
            <w:noWrap/>
            <w:hideMark/>
          </w:tcPr>
          <w:p w14:paraId="289210FB" w14:textId="77777777" w:rsidR="00BE7A5B" w:rsidRPr="002F4B1E" w:rsidRDefault="00BE7A5B" w:rsidP="002F4B1E">
            <w:pPr>
              <w:rPr>
                <w:rFonts w:ascii="Calibri" w:hAnsi="Calibri" w:cs="Calibri"/>
                <w:color w:val="000000"/>
              </w:rPr>
            </w:pPr>
            <w:r w:rsidRPr="002F4B1E">
              <w:rPr>
                <w:rFonts w:ascii="Calibri" w:hAnsi="Calibri" w:cs="Calibri"/>
                <w:color w:val="000000"/>
              </w:rPr>
              <w:t>United States</w:t>
            </w:r>
          </w:p>
        </w:tc>
        <w:tc>
          <w:tcPr>
            <w:tcW w:w="2158" w:type="dxa"/>
            <w:noWrap/>
            <w:hideMark/>
          </w:tcPr>
          <w:p w14:paraId="06A2357E"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07/987,546</w:t>
            </w:r>
          </w:p>
        </w:tc>
        <w:tc>
          <w:tcPr>
            <w:tcW w:w="2158" w:type="dxa"/>
            <w:noWrap/>
            <w:hideMark/>
          </w:tcPr>
          <w:p w14:paraId="17EAE11E"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7045313</w:t>
            </w:r>
          </w:p>
        </w:tc>
      </w:tr>
      <w:tr w:rsidR="00BE7A5B" w:rsidRPr="002F4B1E" w14:paraId="55D6CAE4" w14:textId="77777777" w:rsidTr="00A204A4">
        <w:trPr>
          <w:trHeight w:val="300"/>
        </w:trPr>
        <w:tc>
          <w:tcPr>
            <w:tcW w:w="2157" w:type="dxa"/>
            <w:noWrap/>
            <w:hideMark/>
          </w:tcPr>
          <w:p w14:paraId="0D05FF46" w14:textId="77777777" w:rsidR="00BE7A5B" w:rsidRPr="002F4B1E" w:rsidRDefault="00BE7A5B" w:rsidP="002F4B1E">
            <w:pPr>
              <w:spacing w:after="240"/>
              <w:rPr>
                <w:rFonts w:ascii="Calibri" w:hAnsi="Calibri" w:cs="Calibri"/>
                <w:color w:val="000000"/>
              </w:rPr>
            </w:pPr>
            <w:r w:rsidRPr="002F4B1E">
              <w:rPr>
                <w:rFonts w:ascii="Calibri" w:hAnsi="Calibri" w:cs="Calibri"/>
                <w:color w:val="000000"/>
              </w:rPr>
              <w:t>E-552-1982-2-US-04</w:t>
            </w:r>
          </w:p>
        </w:tc>
        <w:tc>
          <w:tcPr>
            <w:tcW w:w="2157" w:type="dxa"/>
            <w:noWrap/>
            <w:hideMark/>
          </w:tcPr>
          <w:p w14:paraId="3A1ED841" w14:textId="77777777" w:rsidR="00BE7A5B" w:rsidRPr="002F4B1E" w:rsidRDefault="00BE7A5B" w:rsidP="002F4B1E">
            <w:pPr>
              <w:rPr>
                <w:rFonts w:ascii="Calibri" w:hAnsi="Calibri" w:cs="Calibri"/>
                <w:color w:val="000000"/>
              </w:rPr>
            </w:pPr>
            <w:r w:rsidRPr="002F4B1E">
              <w:rPr>
                <w:rFonts w:ascii="Calibri" w:hAnsi="Calibri" w:cs="Calibri"/>
                <w:color w:val="000000"/>
              </w:rPr>
              <w:t xml:space="preserve">United States </w:t>
            </w:r>
          </w:p>
        </w:tc>
        <w:tc>
          <w:tcPr>
            <w:tcW w:w="2158" w:type="dxa"/>
            <w:noWrap/>
            <w:hideMark/>
          </w:tcPr>
          <w:p w14:paraId="4C5AF574"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08/470,357</w:t>
            </w:r>
          </w:p>
        </w:tc>
        <w:tc>
          <w:tcPr>
            <w:tcW w:w="2158" w:type="dxa"/>
            <w:noWrap/>
            <w:hideMark/>
          </w:tcPr>
          <w:p w14:paraId="588733B0"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7015024</w:t>
            </w:r>
          </w:p>
        </w:tc>
      </w:tr>
      <w:tr w:rsidR="00BE7A5B" w:rsidRPr="002F4B1E" w14:paraId="46EDD99B" w14:textId="77777777" w:rsidTr="00A204A4">
        <w:trPr>
          <w:trHeight w:val="300"/>
        </w:trPr>
        <w:tc>
          <w:tcPr>
            <w:tcW w:w="2157" w:type="dxa"/>
            <w:noWrap/>
            <w:hideMark/>
          </w:tcPr>
          <w:p w14:paraId="2C327282" w14:textId="77777777" w:rsidR="00BE7A5B" w:rsidRPr="002F4B1E" w:rsidRDefault="00BE7A5B" w:rsidP="002F4B1E">
            <w:pPr>
              <w:spacing w:after="240"/>
              <w:rPr>
                <w:rFonts w:ascii="Calibri" w:hAnsi="Calibri" w:cs="Calibri"/>
                <w:color w:val="000000"/>
              </w:rPr>
            </w:pPr>
            <w:r w:rsidRPr="002F4B1E">
              <w:rPr>
                <w:rFonts w:ascii="Calibri" w:hAnsi="Calibri" w:cs="Calibri"/>
                <w:color w:val="000000"/>
              </w:rPr>
              <w:t>E-552-1982-2-US-06</w:t>
            </w:r>
          </w:p>
        </w:tc>
        <w:tc>
          <w:tcPr>
            <w:tcW w:w="2157" w:type="dxa"/>
            <w:noWrap/>
            <w:hideMark/>
          </w:tcPr>
          <w:p w14:paraId="265FAB5D" w14:textId="77777777" w:rsidR="00BE7A5B" w:rsidRPr="002F4B1E" w:rsidRDefault="00BE7A5B" w:rsidP="002F4B1E">
            <w:pPr>
              <w:rPr>
                <w:rFonts w:ascii="Calibri" w:hAnsi="Calibri" w:cs="Calibri"/>
                <w:color w:val="000000"/>
              </w:rPr>
            </w:pPr>
            <w:r w:rsidRPr="002F4B1E">
              <w:rPr>
                <w:rFonts w:ascii="Calibri" w:hAnsi="Calibri" w:cs="Calibri"/>
                <w:color w:val="000000"/>
              </w:rPr>
              <w:t xml:space="preserve">United States </w:t>
            </w:r>
          </w:p>
        </w:tc>
        <w:tc>
          <w:tcPr>
            <w:tcW w:w="2158" w:type="dxa"/>
            <w:noWrap/>
            <w:hideMark/>
          </w:tcPr>
          <w:p w14:paraId="3F3DC2DC"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08/470,360</w:t>
            </w:r>
          </w:p>
        </w:tc>
        <w:tc>
          <w:tcPr>
            <w:tcW w:w="2158" w:type="dxa"/>
            <w:noWrap/>
            <w:hideMark/>
          </w:tcPr>
          <w:p w14:paraId="3F6954FA"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6998252</w:t>
            </w:r>
          </w:p>
        </w:tc>
      </w:tr>
      <w:tr w:rsidR="00BE7A5B" w:rsidRPr="002F4B1E" w14:paraId="4DF1484A" w14:textId="77777777" w:rsidTr="00A204A4">
        <w:trPr>
          <w:trHeight w:val="300"/>
        </w:trPr>
        <w:tc>
          <w:tcPr>
            <w:tcW w:w="2157" w:type="dxa"/>
            <w:noWrap/>
            <w:hideMark/>
          </w:tcPr>
          <w:p w14:paraId="2DC1E088" w14:textId="77777777" w:rsidR="00BE7A5B" w:rsidRPr="002F4B1E" w:rsidRDefault="00BE7A5B" w:rsidP="002F4B1E">
            <w:pPr>
              <w:spacing w:after="240"/>
              <w:rPr>
                <w:rFonts w:ascii="Calibri" w:hAnsi="Calibri" w:cs="Calibri"/>
                <w:color w:val="000000"/>
              </w:rPr>
            </w:pPr>
            <w:r w:rsidRPr="002F4B1E">
              <w:rPr>
                <w:rFonts w:ascii="Calibri" w:hAnsi="Calibri" w:cs="Calibri"/>
                <w:color w:val="000000"/>
              </w:rPr>
              <w:t>E-552-1982-2-US-05</w:t>
            </w:r>
          </w:p>
        </w:tc>
        <w:tc>
          <w:tcPr>
            <w:tcW w:w="2157" w:type="dxa"/>
            <w:noWrap/>
            <w:hideMark/>
          </w:tcPr>
          <w:p w14:paraId="01CF975A" w14:textId="77777777" w:rsidR="00BE7A5B" w:rsidRPr="002F4B1E" w:rsidRDefault="00BE7A5B" w:rsidP="002F4B1E">
            <w:pPr>
              <w:rPr>
                <w:rFonts w:ascii="Calibri" w:hAnsi="Calibri" w:cs="Calibri"/>
                <w:color w:val="000000"/>
              </w:rPr>
            </w:pPr>
            <w:r w:rsidRPr="002F4B1E">
              <w:rPr>
                <w:rFonts w:ascii="Calibri" w:hAnsi="Calibri" w:cs="Calibri"/>
                <w:color w:val="000000"/>
              </w:rPr>
              <w:t xml:space="preserve">United States </w:t>
            </w:r>
          </w:p>
        </w:tc>
        <w:tc>
          <w:tcPr>
            <w:tcW w:w="2158" w:type="dxa"/>
            <w:noWrap/>
            <w:hideMark/>
          </w:tcPr>
          <w:p w14:paraId="13EE1849"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08/470,359</w:t>
            </w:r>
          </w:p>
        </w:tc>
        <w:tc>
          <w:tcPr>
            <w:tcW w:w="2158" w:type="dxa"/>
            <w:noWrap/>
            <w:hideMark/>
          </w:tcPr>
          <w:p w14:paraId="30267207"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7045136</w:t>
            </w:r>
          </w:p>
        </w:tc>
      </w:tr>
    </w:tbl>
    <w:p w14:paraId="3C6F1F3E" w14:textId="77777777" w:rsidR="00BE7A5B" w:rsidRPr="002F4B1E" w:rsidRDefault="00BE7A5B" w:rsidP="002F4B1E">
      <w:pPr>
        <w:widowControl w:val="0"/>
        <w:suppressAutoHyphens/>
        <w:spacing w:afterLines="100" w:after="240"/>
      </w:pPr>
    </w:p>
    <w:p w14:paraId="0E0E57A2" w14:textId="77777777" w:rsidR="00BE7A5B" w:rsidRPr="002F4B1E" w:rsidRDefault="00BE7A5B" w:rsidP="002F4B1E">
      <w:pPr>
        <w:keepLines/>
        <w:tabs>
          <w:tab w:val="left" w:pos="-1440"/>
          <w:tab w:val="num" w:pos="720"/>
        </w:tabs>
        <w:suppressAutoHyphens/>
        <w:overflowPunct w:val="0"/>
        <w:autoSpaceDE w:val="0"/>
        <w:autoSpaceDN w:val="0"/>
        <w:adjustRightInd w:val="0"/>
        <w:spacing w:afterLines="100" w:after="240"/>
        <w:ind w:left="720" w:hanging="720"/>
        <w:textAlignment w:val="baseline"/>
      </w:pPr>
      <w:r w:rsidRPr="002F4B1E">
        <w:t>E-018-2010 technology:</w:t>
      </w:r>
    </w:p>
    <w:tbl>
      <w:tblPr>
        <w:tblStyle w:val="TableGrid"/>
        <w:tblW w:w="0" w:type="auto"/>
        <w:tblInd w:w="720" w:type="dxa"/>
        <w:tblLook w:val="04A0" w:firstRow="1" w:lastRow="0" w:firstColumn="1" w:lastColumn="0" w:noHBand="0" w:noVBand="1"/>
      </w:tblPr>
      <w:tblGrid>
        <w:gridCol w:w="2157"/>
        <w:gridCol w:w="2157"/>
        <w:gridCol w:w="2158"/>
        <w:gridCol w:w="2158"/>
      </w:tblGrid>
      <w:tr w:rsidR="00BE7A5B" w:rsidRPr="002F4B1E" w14:paraId="6EF2CF7D" w14:textId="77777777" w:rsidTr="00A204A4">
        <w:trPr>
          <w:trHeight w:val="300"/>
        </w:trPr>
        <w:tc>
          <w:tcPr>
            <w:tcW w:w="2157" w:type="dxa"/>
            <w:noWrap/>
            <w:hideMark/>
          </w:tcPr>
          <w:p w14:paraId="5744879D" w14:textId="77777777" w:rsidR="00BE7A5B" w:rsidRPr="002F4B1E" w:rsidRDefault="00BE7A5B" w:rsidP="002F4B1E">
            <w:pPr>
              <w:spacing w:after="240"/>
              <w:jc w:val="center"/>
              <w:rPr>
                <w:rFonts w:ascii="Calibri" w:hAnsi="Calibri" w:cs="Calibri"/>
                <w:color w:val="000000"/>
              </w:rPr>
            </w:pPr>
            <w:r w:rsidRPr="002F4B1E">
              <w:rPr>
                <w:rFonts w:ascii="Calibri" w:hAnsi="Calibri" w:cs="Calibri"/>
                <w:b/>
                <w:bCs/>
                <w:color w:val="000000"/>
              </w:rPr>
              <w:t>HHS Ref. No.</w:t>
            </w:r>
          </w:p>
        </w:tc>
        <w:tc>
          <w:tcPr>
            <w:tcW w:w="2157" w:type="dxa"/>
            <w:noWrap/>
            <w:hideMark/>
          </w:tcPr>
          <w:p w14:paraId="7B1380DA" w14:textId="77777777" w:rsidR="00BE7A5B" w:rsidRPr="002F4B1E" w:rsidRDefault="00BE7A5B" w:rsidP="002F4B1E">
            <w:pPr>
              <w:spacing w:after="240"/>
              <w:jc w:val="center"/>
              <w:rPr>
                <w:rFonts w:ascii="Calibri" w:hAnsi="Calibri" w:cs="Calibri"/>
                <w:color w:val="000000"/>
              </w:rPr>
            </w:pPr>
            <w:r w:rsidRPr="002F4B1E">
              <w:rPr>
                <w:rFonts w:ascii="Calibri" w:hAnsi="Calibri" w:cs="Calibri"/>
                <w:b/>
                <w:bCs/>
                <w:color w:val="000000"/>
              </w:rPr>
              <w:t>Territory</w:t>
            </w:r>
          </w:p>
        </w:tc>
        <w:tc>
          <w:tcPr>
            <w:tcW w:w="2158" w:type="dxa"/>
            <w:noWrap/>
            <w:hideMark/>
          </w:tcPr>
          <w:p w14:paraId="36431DD6" w14:textId="77777777" w:rsidR="00BE7A5B" w:rsidRPr="002F4B1E" w:rsidRDefault="00BE7A5B" w:rsidP="002F4B1E">
            <w:pPr>
              <w:spacing w:after="240"/>
              <w:jc w:val="center"/>
              <w:rPr>
                <w:rFonts w:ascii="Calibri" w:hAnsi="Calibri" w:cs="Calibri"/>
                <w:color w:val="000000"/>
              </w:rPr>
            </w:pPr>
            <w:r w:rsidRPr="002F4B1E">
              <w:rPr>
                <w:rFonts w:ascii="Calibri" w:hAnsi="Calibri" w:cs="Calibri"/>
                <w:b/>
                <w:bCs/>
                <w:color w:val="000000"/>
              </w:rPr>
              <w:t>Application No.</w:t>
            </w:r>
          </w:p>
        </w:tc>
        <w:tc>
          <w:tcPr>
            <w:tcW w:w="2158" w:type="dxa"/>
            <w:noWrap/>
            <w:hideMark/>
          </w:tcPr>
          <w:p w14:paraId="47DC7149" w14:textId="77777777" w:rsidR="00BE7A5B" w:rsidRPr="002F4B1E" w:rsidRDefault="00BE7A5B" w:rsidP="002F4B1E">
            <w:pPr>
              <w:spacing w:after="240"/>
              <w:jc w:val="center"/>
              <w:rPr>
                <w:rFonts w:ascii="Calibri" w:hAnsi="Calibri" w:cs="Calibri"/>
                <w:color w:val="000000"/>
              </w:rPr>
            </w:pPr>
            <w:r w:rsidRPr="002F4B1E">
              <w:rPr>
                <w:rFonts w:ascii="Calibri" w:hAnsi="Calibri" w:cs="Calibri"/>
                <w:b/>
                <w:bCs/>
                <w:color w:val="000000"/>
              </w:rPr>
              <w:t>Patent No.</w:t>
            </w:r>
          </w:p>
        </w:tc>
      </w:tr>
      <w:tr w:rsidR="00BE7A5B" w:rsidRPr="002F4B1E" w14:paraId="66810DF6" w14:textId="77777777" w:rsidTr="00A204A4">
        <w:trPr>
          <w:trHeight w:val="300"/>
        </w:trPr>
        <w:tc>
          <w:tcPr>
            <w:tcW w:w="2157" w:type="dxa"/>
            <w:noWrap/>
            <w:hideMark/>
          </w:tcPr>
          <w:p w14:paraId="740EE3AC" w14:textId="77777777" w:rsidR="00BE7A5B" w:rsidRPr="002F4B1E" w:rsidRDefault="00BE7A5B" w:rsidP="002F4B1E">
            <w:pPr>
              <w:spacing w:after="240"/>
              <w:rPr>
                <w:rFonts w:ascii="Calibri" w:hAnsi="Calibri" w:cs="Calibri"/>
                <w:color w:val="000000"/>
              </w:rPr>
            </w:pPr>
            <w:r w:rsidRPr="002F4B1E">
              <w:rPr>
                <w:rFonts w:ascii="Calibri" w:hAnsi="Calibri" w:cs="Calibri"/>
                <w:color w:val="000000"/>
              </w:rPr>
              <w:t>E-018-2010-0-US-08</w:t>
            </w:r>
          </w:p>
        </w:tc>
        <w:tc>
          <w:tcPr>
            <w:tcW w:w="2157" w:type="dxa"/>
            <w:noWrap/>
            <w:hideMark/>
          </w:tcPr>
          <w:p w14:paraId="7A4121A9" w14:textId="77777777" w:rsidR="00BE7A5B" w:rsidRPr="002F4B1E" w:rsidRDefault="00BE7A5B" w:rsidP="002F4B1E">
            <w:pPr>
              <w:rPr>
                <w:rFonts w:ascii="Calibri" w:hAnsi="Calibri" w:cs="Calibri"/>
                <w:color w:val="000000"/>
              </w:rPr>
            </w:pPr>
            <w:r w:rsidRPr="002F4B1E">
              <w:rPr>
                <w:rFonts w:ascii="Calibri" w:hAnsi="Calibri" w:cs="Calibri"/>
                <w:color w:val="000000"/>
              </w:rPr>
              <w:t xml:space="preserve">United States </w:t>
            </w:r>
          </w:p>
        </w:tc>
        <w:tc>
          <w:tcPr>
            <w:tcW w:w="2158" w:type="dxa"/>
            <w:noWrap/>
            <w:hideMark/>
          </w:tcPr>
          <w:p w14:paraId="2FB54B0E"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13/502,205</w:t>
            </w:r>
          </w:p>
        </w:tc>
        <w:tc>
          <w:tcPr>
            <w:tcW w:w="2158" w:type="dxa"/>
            <w:noWrap/>
            <w:hideMark/>
          </w:tcPr>
          <w:p w14:paraId="590D18E6"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9,133,480</w:t>
            </w:r>
          </w:p>
        </w:tc>
      </w:tr>
      <w:tr w:rsidR="00BE7A5B" w:rsidRPr="002F4B1E" w14:paraId="4FCF8CE0" w14:textId="77777777" w:rsidTr="00A204A4">
        <w:trPr>
          <w:trHeight w:val="300"/>
        </w:trPr>
        <w:tc>
          <w:tcPr>
            <w:tcW w:w="2157" w:type="dxa"/>
            <w:noWrap/>
            <w:hideMark/>
          </w:tcPr>
          <w:p w14:paraId="0001917B" w14:textId="77777777" w:rsidR="00BE7A5B" w:rsidRPr="002F4B1E" w:rsidRDefault="00BE7A5B" w:rsidP="002F4B1E">
            <w:pPr>
              <w:spacing w:after="240"/>
              <w:rPr>
                <w:rFonts w:ascii="Calibri" w:hAnsi="Calibri" w:cs="Calibri"/>
                <w:color w:val="000000"/>
              </w:rPr>
            </w:pPr>
            <w:r w:rsidRPr="002F4B1E">
              <w:rPr>
                <w:rFonts w:ascii="Calibri" w:hAnsi="Calibri" w:cs="Calibri"/>
                <w:color w:val="000000"/>
              </w:rPr>
              <w:t>E-018-2010-0-US-10</w:t>
            </w:r>
          </w:p>
        </w:tc>
        <w:tc>
          <w:tcPr>
            <w:tcW w:w="2157" w:type="dxa"/>
            <w:noWrap/>
            <w:hideMark/>
          </w:tcPr>
          <w:p w14:paraId="5736B981" w14:textId="77777777" w:rsidR="00BE7A5B" w:rsidRPr="002F4B1E" w:rsidRDefault="00BE7A5B" w:rsidP="002F4B1E">
            <w:pPr>
              <w:rPr>
                <w:rFonts w:ascii="Calibri" w:hAnsi="Calibri" w:cs="Calibri"/>
                <w:color w:val="000000"/>
              </w:rPr>
            </w:pPr>
            <w:r w:rsidRPr="002F4B1E">
              <w:rPr>
                <w:rFonts w:ascii="Calibri" w:hAnsi="Calibri" w:cs="Calibri"/>
                <w:color w:val="000000"/>
              </w:rPr>
              <w:t xml:space="preserve">United States </w:t>
            </w:r>
          </w:p>
        </w:tc>
        <w:tc>
          <w:tcPr>
            <w:tcW w:w="2158" w:type="dxa"/>
            <w:noWrap/>
            <w:hideMark/>
          </w:tcPr>
          <w:p w14:paraId="69776EF1"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14/837,382</w:t>
            </w:r>
          </w:p>
        </w:tc>
        <w:tc>
          <w:tcPr>
            <w:tcW w:w="2158" w:type="dxa"/>
            <w:noWrap/>
            <w:hideMark/>
          </w:tcPr>
          <w:p w14:paraId="25E7FC87" w14:textId="77777777" w:rsidR="00BE7A5B" w:rsidRPr="002F4B1E" w:rsidRDefault="00BE7A5B" w:rsidP="002F4B1E">
            <w:pPr>
              <w:jc w:val="right"/>
              <w:rPr>
                <w:rFonts w:ascii="Calibri" w:hAnsi="Calibri" w:cs="Calibri"/>
                <w:color w:val="000000"/>
              </w:rPr>
            </w:pPr>
            <w:r w:rsidRPr="002F4B1E">
              <w:rPr>
                <w:rFonts w:ascii="Calibri" w:hAnsi="Calibri" w:cs="Calibri"/>
                <w:color w:val="000000"/>
              </w:rPr>
              <w:t>9,879,231</w:t>
            </w:r>
          </w:p>
        </w:tc>
      </w:tr>
    </w:tbl>
    <w:p w14:paraId="685C524D" w14:textId="77777777" w:rsidR="00BE7A5B" w:rsidRPr="002F4B1E" w:rsidRDefault="00BE7A5B" w:rsidP="002F4B1E">
      <w:pPr>
        <w:keepLines/>
        <w:tabs>
          <w:tab w:val="left" w:pos="-1440"/>
        </w:tabs>
        <w:suppressAutoHyphens/>
        <w:overflowPunct w:val="0"/>
        <w:autoSpaceDE w:val="0"/>
        <w:autoSpaceDN w:val="0"/>
        <w:adjustRightInd w:val="0"/>
        <w:spacing w:afterLines="100" w:after="240"/>
        <w:ind w:left="720"/>
        <w:textAlignment w:val="baseline"/>
      </w:pPr>
    </w:p>
    <w:p w14:paraId="38CE4783" w14:textId="77777777" w:rsidR="00BE7A5B" w:rsidRPr="002F4B1E" w:rsidRDefault="00BE7A5B" w:rsidP="002F4B1E">
      <w:pPr>
        <w:keepLines/>
        <w:tabs>
          <w:tab w:val="left" w:pos="-1440"/>
          <w:tab w:val="num" w:pos="720"/>
        </w:tabs>
        <w:suppressAutoHyphens/>
        <w:overflowPunct w:val="0"/>
        <w:autoSpaceDE w:val="0"/>
        <w:autoSpaceDN w:val="0"/>
        <w:adjustRightInd w:val="0"/>
        <w:spacing w:afterLines="100" w:after="240"/>
        <w:ind w:left="720" w:hanging="720"/>
        <w:textAlignment w:val="baseline"/>
      </w:pPr>
      <w:r w:rsidRPr="002F4B1E">
        <w:t>E-248-2006 technology:</w:t>
      </w:r>
    </w:p>
    <w:tbl>
      <w:tblPr>
        <w:tblStyle w:val="TableGrid"/>
        <w:tblW w:w="0" w:type="auto"/>
        <w:tblInd w:w="720" w:type="dxa"/>
        <w:tblLook w:val="04A0" w:firstRow="1" w:lastRow="0" w:firstColumn="1" w:lastColumn="0" w:noHBand="0" w:noVBand="1"/>
      </w:tblPr>
      <w:tblGrid>
        <w:gridCol w:w="2157"/>
        <w:gridCol w:w="2157"/>
        <w:gridCol w:w="2158"/>
        <w:gridCol w:w="2158"/>
      </w:tblGrid>
      <w:tr w:rsidR="00BE7A5B" w:rsidRPr="002F4B1E" w14:paraId="5244C3A0" w14:textId="77777777" w:rsidTr="00A204A4">
        <w:trPr>
          <w:trHeight w:val="300"/>
        </w:trPr>
        <w:tc>
          <w:tcPr>
            <w:tcW w:w="2157" w:type="dxa"/>
            <w:noWrap/>
            <w:hideMark/>
          </w:tcPr>
          <w:p w14:paraId="5C9A49E0" w14:textId="77777777" w:rsidR="00BE7A5B" w:rsidRPr="002F4B1E" w:rsidRDefault="00BE7A5B" w:rsidP="002F4B1E">
            <w:pPr>
              <w:spacing w:after="240"/>
              <w:jc w:val="center"/>
              <w:rPr>
                <w:rFonts w:ascii="Calibri" w:hAnsi="Calibri" w:cs="Calibri"/>
                <w:color w:val="000000"/>
              </w:rPr>
            </w:pPr>
            <w:r w:rsidRPr="002F4B1E">
              <w:rPr>
                <w:rFonts w:ascii="Calibri" w:hAnsi="Calibri" w:cs="Calibri"/>
                <w:b/>
                <w:bCs/>
                <w:color w:val="000000"/>
              </w:rPr>
              <w:t>HHS Ref. No.</w:t>
            </w:r>
          </w:p>
        </w:tc>
        <w:tc>
          <w:tcPr>
            <w:tcW w:w="2157" w:type="dxa"/>
            <w:noWrap/>
            <w:hideMark/>
          </w:tcPr>
          <w:p w14:paraId="2610F5B0" w14:textId="77777777" w:rsidR="00BE7A5B" w:rsidRPr="002F4B1E" w:rsidRDefault="00BE7A5B" w:rsidP="002F4B1E">
            <w:pPr>
              <w:spacing w:after="240"/>
              <w:jc w:val="center"/>
              <w:rPr>
                <w:rFonts w:ascii="Calibri" w:hAnsi="Calibri" w:cs="Calibri"/>
                <w:color w:val="000000"/>
              </w:rPr>
            </w:pPr>
            <w:r w:rsidRPr="002F4B1E">
              <w:rPr>
                <w:rFonts w:ascii="Calibri" w:hAnsi="Calibri" w:cs="Calibri"/>
                <w:b/>
                <w:bCs/>
                <w:color w:val="000000"/>
              </w:rPr>
              <w:t>Territory</w:t>
            </w:r>
          </w:p>
        </w:tc>
        <w:tc>
          <w:tcPr>
            <w:tcW w:w="2158" w:type="dxa"/>
            <w:noWrap/>
            <w:hideMark/>
          </w:tcPr>
          <w:p w14:paraId="73AE1635" w14:textId="77777777" w:rsidR="00BE7A5B" w:rsidRPr="002F4B1E" w:rsidRDefault="00BE7A5B" w:rsidP="002F4B1E">
            <w:pPr>
              <w:spacing w:after="240"/>
              <w:jc w:val="center"/>
              <w:rPr>
                <w:rFonts w:ascii="Calibri" w:hAnsi="Calibri" w:cs="Calibri"/>
                <w:color w:val="000000"/>
              </w:rPr>
            </w:pPr>
            <w:r w:rsidRPr="002F4B1E">
              <w:rPr>
                <w:rFonts w:ascii="Calibri" w:hAnsi="Calibri" w:cs="Calibri"/>
                <w:b/>
                <w:bCs/>
                <w:color w:val="000000"/>
              </w:rPr>
              <w:t>Application No.</w:t>
            </w:r>
          </w:p>
        </w:tc>
        <w:tc>
          <w:tcPr>
            <w:tcW w:w="2158" w:type="dxa"/>
            <w:noWrap/>
            <w:hideMark/>
          </w:tcPr>
          <w:p w14:paraId="7896F513" w14:textId="77777777" w:rsidR="00BE7A5B" w:rsidRPr="002F4B1E" w:rsidRDefault="00BE7A5B" w:rsidP="002F4B1E">
            <w:pPr>
              <w:spacing w:after="240"/>
              <w:jc w:val="center"/>
              <w:rPr>
                <w:rFonts w:ascii="Calibri" w:hAnsi="Calibri" w:cs="Calibri"/>
                <w:color w:val="000000"/>
              </w:rPr>
            </w:pPr>
            <w:r w:rsidRPr="002F4B1E">
              <w:rPr>
                <w:rFonts w:ascii="Calibri" w:hAnsi="Calibri" w:cs="Calibri"/>
                <w:b/>
                <w:bCs/>
                <w:color w:val="000000"/>
              </w:rPr>
              <w:t>Patent No.</w:t>
            </w:r>
          </w:p>
        </w:tc>
      </w:tr>
      <w:tr w:rsidR="00BE7A5B" w:rsidRPr="002F4B1E" w14:paraId="5F6A2370" w14:textId="77777777" w:rsidTr="00A204A4">
        <w:trPr>
          <w:trHeight w:val="300"/>
        </w:trPr>
        <w:tc>
          <w:tcPr>
            <w:tcW w:w="2157" w:type="dxa"/>
            <w:noWrap/>
          </w:tcPr>
          <w:p w14:paraId="3311B65B" w14:textId="77777777" w:rsidR="00BE7A5B" w:rsidRPr="002F4B1E" w:rsidRDefault="00BE7A5B" w:rsidP="002F4B1E">
            <w:pPr>
              <w:spacing w:after="240"/>
              <w:jc w:val="center"/>
              <w:rPr>
                <w:rFonts w:cstheme="minorHAnsi"/>
                <w:color w:val="000000"/>
              </w:rPr>
            </w:pPr>
            <w:r w:rsidRPr="002F4B1E">
              <w:rPr>
                <w:rFonts w:cstheme="minorHAnsi"/>
              </w:rPr>
              <w:t>E-248-2006-0-US-05</w:t>
            </w:r>
          </w:p>
        </w:tc>
        <w:tc>
          <w:tcPr>
            <w:tcW w:w="2157" w:type="dxa"/>
            <w:noWrap/>
          </w:tcPr>
          <w:p w14:paraId="498D83BF" w14:textId="77777777" w:rsidR="00BE7A5B" w:rsidRPr="002F4B1E" w:rsidRDefault="00BE7A5B" w:rsidP="002F7DDC">
            <w:pPr>
              <w:rPr>
                <w:rFonts w:cstheme="minorHAnsi"/>
                <w:color w:val="000000"/>
              </w:rPr>
            </w:pPr>
            <w:r w:rsidRPr="002F4B1E">
              <w:rPr>
                <w:rFonts w:cstheme="minorHAnsi"/>
                <w:color w:val="000000"/>
              </w:rPr>
              <w:t>United States</w:t>
            </w:r>
          </w:p>
        </w:tc>
        <w:tc>
          <w:tcPr>
            <w:tcW w:w="2158" w:type="dxa"/>
            <w:noWrap/>
          </w:tcPr>
          <w:p w14:paraId="55040330" w14:textId="77777777" w:rsidR="00BE7A5B" w:rsidRPr="002F4B1E" w:rsidRDefault="00BE7A5B" w:rsidP="002F7DDC">
            <w:pPr>
              <w:jc w:val="right"/>
              <w:rPr>
                <w:rFonts w:cstheme="minorHAnsi"/>
              </w:rPr>
            </w:pPr>
            <w:r w:rsidRPr="002F4B1E">
              <w:rPr>
                <w:rFonts w:cstheme="minorHAnsi"/>
              </w:rPr>
              <w:t>12/377,847</w:t>
            </w:r>
          </w:p>
        </w:tc>
        <w:tc>
          <w:tcPr>
            <w:tcW w:w="2158" w:type="dxa"/>
            <w:noWrap/>
          </w:tcPr>
          <w:p w14:paraId="15FB293F" w14:textId="77777777" w:rsidR="00BE7A5B" w:rsidRPr="002F4B1E" w:rsidRDefault="00BE7A5B" w:rsidP="002F7DDC">
            <w:pPr>
              <w:jc w:val="right"/>
              <w:rPr>
                <w:rFonts w:cstheme="minorHAnsi"/>
                <w:color w:val="000000"/>
              </w:rPr>
            </w:pPr>
            <w:r w:rsidRPr="002F4B1E">
              <w:rPr>
                <w:rFonts w:cstheme="minorHAnsi"/>
                <w:color w:val="000000"/>
              </w:rPr>
              <w:t>9,133,478</w:t>
            </w:r>
          </w:p>
        </w:tc>
      </w:tr>
      <w:tr w:rsidR="00BE7A5B" w:rsidRPr="002F4B1E" w14:paraId="769FDF8A" w14:textId="77777777" w:rsidTr="00A204A4">
        <w:trPr>
          <w:trHeight w:val="300"/>
        </w:trPr>
        <w:tc>
          <w:tcPr>
            <w:tcW w:w="2157" w:type="dxa"/>
            <w:noWrap/>
          </w:tcPr>
          <w:p w14:paraId="05DE5975" w14:textId="77777777" w:rsidR="00BE7A5B" w:rsidRPr="002F4B1E" w:rsidRDefault="00BE7A5B" w:rsidP="002F4B1E">
            <w:pPr>
              <w:spacing w:after="240"/>
              <w:jc w:val="center"/>
              <w:rPr>
                <w:rFonts w:cstheme="minorHAnsi"/>
                <w:color w:val="000000"/>
              </w:rPr>
            </w:pPr>
            <w:r w:rsidRPr="002F4B1E">
              <w:rPr>
                <w:rFonts w:cstheme="minorHAnsi"/>
              </w:rPr>
              <w:t>E-248-2006-0-US-19</w:t>
            </w:r>
          </w:p>
        </w:tc>
        <w:tc>
          <w:tcPr>
            <w:tcW w:w="2157" w:type="dxa"/>
            <w:noWrap/>
          </w:tcPr>
          <w:p w14:paraId="3E1A81D8" w14:textId="77777777" w:rsidR="00BE7A5B" w:rsidRPr="002F4B1E" w:rsidRDefault="00BE7A5B" w:rsidP="002F7DDC">
            <w:pPr>
              <w:rPr>
                <w:rFonts w:cstheme="minorHAnsi"/>
                <w:color w:val="000000"/>
              </w:rPr>
            </w:pPr>
            <w:r w:rsidRPr="002F4B1E">
              <w:rPr>
                <w:rFonts w:cstheme="minorHAnsi"/>
                <w:color w:val="000000"/>
              </w:rPr>
              <w:t>United States</w:t>
            </w:r>
          </w:p>
        </w:tc>
        <w:tc>
          <w:tcPr>
            <w:tcW w:w="2158" w:type="dxa"/>
            <w:noWrap/>
          </w:tcPr>
          <w:p w14:paraId="19F418FB" w14:textId="77777777" w:rsidR="00BE7A5B" w:rsidRPr="002F4B1E" w:rsidRDefault="00BE7A5B" w:rsidP="002F7DDC">
            <w:pPr>
              <w:jc w:val="right"/>
              <w:rPr>
                <w:rFonts w:cstheme="minorHAnsi"/>
              </w:rPr>
            </w:pPr>
            <w:r w:rsidRPr="002F4B1E">
              <w:rPr>
                <w:rFonts w:cstheme="minorHAnsi"/>
              </w:rPr>
              <w:t>14/833,913</w:t>
            </w:r>
          </w:p>
        </w:tc>
        <w:tc>
          <w:tcPr>
            <w:tcW w:w="2158" w:type="dxa"/>
            <w:noWrap/>
          </w:tcPr>
          <w:p w14:paraId="446F2309" w14:textId="77777777" w:rsidR="00BE7A5B" w:rsidRPr="002F4B1E" w:rsidRDefault="00BE7A5B" w:rsidP="002F7DDC">
            <w:pPr>
              <w:jc w:val="right"/>
              <w:rPr>
                <w:rFonts w:cstheme="minorHAnsi"/>
                <w:color w:val="000000"/>
              </w:rPr>
            </w:pPr>
            <w:r w:rsidRPr="002F4B1E">
              <w:rPr>
                <w:rFonts w:cstheme="minorHAnsi"/>
                <w:color w:val="000000"/>
              </w:rPr>
              <w:t>10,421,978</w:t>
            </w:r>
          </w:p>
        </w:tc>
      </w:tr>
      <w:tr w:rsidR="00BE7A5B" w:rsidRPr="002F4B1E" w14:paraId="6B9C2136" w14:textId="77777777" w:rsidTr="00A204A4">
        <w:trPr>
          <w:trHeight w:val="300"/>
        </w:trPr>
        <w:tc>
          <w:tcPr>
            <w:tcW w:w="2157" w:type="dxa"/>
            <w:noWrap/>
          </w:tcPr>
          <w:p w14:paraId="6E4FB813" w14:textId="77777777" w:rsidR="00BE7A5B" w:rsidRPr="002F4B1E" w:rsidRDefault="00BE7A5B" w:rsidP="002F4B1E">
            <w:pPr>
              <w:spacing w:after="240"/>
              <w:jc w:val="center"/>
              <w:rPr>
                <w:rFonts w:cstheme="minorHAnsi"/>
                <w:color w:val="000000"/>
              </w:rPr>
            </w:pPr>
            <w:r w:rsidRPr="002F4B1E">
              <w:rPr>
                <w:rFonts w:cstheme="minorHAnsi"/>
              </w:rPr>
              <w:t>E-248-2006-0-US-26</w:t>
            </w:r>
          </w:p>
        </w:tc>
        <w:tc>
          <w:tcPr>
            <w:tcW w:w="2157" w:type="dxa"/>
            <w:noWrap/>
          </w:tcPr>
          <w:p w14:paraId="0355B65B" w14:textId="77777777" w:rsidR="00BE7A5B" w:rsidRPr="002F4B1E" w:rsidRDefault="00BE7A5B" w:rsidP="002F7DDC">
            <w:pPr>
              <w:rPr>
                <w:rFonts w:cstheme="minorHAnsi"/>
                <w:color w:val="000000"/>
              </w:rPr>
            </w:pPr>
            <w:r w:rsidRPr="002F4B1E">
              <w:rPr>
                <w:rFonts w:cstheme="minorHAnsi"/>
                <w:color w:val="000000"/>
              </w:rPr>
              <w:t>United States</w:t>
            </w:r>
          </w:p>
        </w:tc>
        <w:tc>
          <w:tcPr>
            <w:tcW w:w="2158" w:type="dxa"/>
            <w:noWrap/>
          </w:tcPr>
          <w:p w14:paraId="0A416182" w14:textId="77777777" w:rsidR="00BE7A5B" w:rsidRPr="002F4B1E" w:rsidRDefault="00BE7A5B" w:rsidP="002F7DDC">
            <w:pPr>
              <w:jc w:val="right"/>
              <w:rPr>
                <w:rFonts w:cstheme="minorHAnsi"/>
              </w:rPr>
            </w:pPr>
            <w:r w:rsidRPr="002F4B1E">
              <w:rPr>
                <w:rFonts w:cstheme="minorHAnsi"/>
              </w:rPr>
              <w:t>16/579,276</w:t>
            </w:r>
          </w:p>
        </w:tc>
        <w:tc>
          <w:tcPr>
            <w:tcW w:w="2158" w:type="dxa"/>
            <w:noWrap/>
          </w:tcPr>
          <w:p w14:paraId="09465E4B" w14:textId="77777777" w:rsidR="00BE7A5B" w:rsidRPr="002F4B1E" w:rsidRDefault="00BE7A5B" w:rsidP="002F7DDC">
            <w:pPr>
              <w:jc w:val="right"/>
              <w:rPr>
                <w:rFonts w:cstheme="minorHAnsi"/>
                <w:b/>
                <w:bCs/>
                <w:color w:val="000000"/>
              </w:rPr>
            </w:pPr>
            <w:r w:rsidRPr="002F4B1E">
              <w:rPr>
                <w:rFonts w:ascii="Calibri" w:hAnsi="Calibri" w:cs="Calibri"/>
                <w:i/>
                <w:color w:val="000000"/>
              </w:rPr>
              <w:t>*presently pending</w:t>
            </w:r>
          </w:p>
        </w:tc>
      </w:tr>
    </w:tbl>
    <w:p w14:paraId="5FB2F6C6" w14:textId="77777777" w:rsidR="00BE7A5B" w:rsidRPr="00957E56" w:rsidRDefault="00BE7A5B" w:rsidP="00AB7079">
      <w:pPr>
        <w:pStyle w:val="AppendixTitle"/>
        <w:spacing w:after="480"/>
      </w:pPr>
      <w:r>
        <w:t>APPENDIX B –</w:t>
      </w:r>
      <w:r w:rsidRPr="00EB14CE">
        <w:t xml:space="preserve"> Licensed Products, Processes, Territory, Field of Use and Termination</w:t>
      </w:r>
    </w:p>
    <w:p w14:paraId="6FB1E1F8" w14:textId="77777777" w:rsidR="00BE7A5B" w:rsidRPr="00A40684" w:rsidRDefault="00BE7A5B" w:rsidP="00BE7A5B">
      <w:pPr>
        <w:pStyle w:val="Level1Appendix"/>
        <w:numPr>
          <w:ilvl w:val="0"/>
          <w:numId w:val="27"/>
        </w:numPr>
        <w:tabs>
          <w:tab w:val="clear" w:pos="-1440"/>
        </w:tabs>
        <w:spacing w:after="240"/>
      </w:pPr>
      <w:r w:rsidRPr="007A6500">
        <w:rPr>
          <w:b/>
        </w:rPr>
        <w:t>Licensed Territory</w:t>
      </w:r>
      <w:r w:rsidRPr="00A40684">
        <w:t>:</w:t>
      </w:r>
    </w:p>
    <w:p w14:paraId="1636D158" w14:textId="77777777" w:rsidR="00BE7A5B" w:rsidRPr="00A40684" w:rsidRDefault="00BE7A5B" w:rsidP="00C56000">
      <w:pPr>
        <w:pStyle w:val="Level1Appendix"/>
        <w:numPr>
          <w:ilvl w:val="0"/>
          <w:numId w:val="0"/>
        </w:numPr>
        <w:tabs>
          <w:tab w:val="clear" w:pos="-1440"/>
        </w:tabs>
        <w:spacing w:after="240"/>
        <w:ind w:left="900"/>
      </w:pPr>
      <w:r>
        <w:t xml:space="preserve">Facilities of </w:t>
      </w:r>
      <w:r w:rsidRPr="002F7DDC">
        <w:rPr>
          <w:b/>
          <w:bCs/>
        </w:rPr>
        <w:t>Licensee</w:t>
      </w:r>
      <w:r>
        <w:t xml:space="preserve"> and </w:t>
      </w:r>
      <w:r w:rsidRPr="008B4AF2">
        <w:rPr>
          <w:b/>
          <w:bCs/>
        </w:rPr>
        <w:t>Licensee’s</w:t>
      </w:r>
      <w:r>
        <w:t xml:space="preserve"> contractors within the United States.</w:t>
      </w:r>
    </w:p>
    <w:p w14:paraId="5009E653" w14:textId="77777777" w:rsidR="00BE7A5B" w:rsidRPr="00A40684" w:rsidRDefault="00BE7A5B" w:rsidP="00BE7A5B">
      <w:pPr>
        <w:pStyle w:val="Level1Appendix"/>
        <w:numPr>
          <w:ilvl w:val="0"/>
          <w:numId w:val="27"/>
        </w:numPr>
        <w:tabs>
          <w:tab w:val="clear" w:pos="-1440"/>
        </w:tabs>
        <w:spacing w:after="240"/>
      </w:pPr>
      <w:r w:rsidRPr="007A6500">
        <w:rPr>
          <w:b/>
        </w:rPr>
        <w:t>Licensed Fields of Use</w:t>
      </w:r>
      <w:r w:rsidRPr="00A40684">
        <w:t>:</w:t>
      </w:r>
    </w:p>
    <w:p w14:paraId="26D5D153" w14:textId="77777777" w:rsidR="00BE7A5B" w:rsidRDefault="00BE7A5B" w:rsidP="00BE7A5B">
      <w:pPr>
        <w:pStyle w:val="Level3License"/>
        <w:widowControl w:val="0"/>
        <w:numPr>
          <w:ilvl w:val="1"/>
          <w:numId w:val="27"/>
        </w:numPr>
        <w:spacing w:after="240"/>
      </w:pPr>
      <w:r w:rsidRPr="004B17FC">
        <w:t>Non-clinical development and non-clinical</w:t>
      </w:r>
      <w:r>
        <w:t xml:space="preserve"> use</w:t>
      </w:r>
      <w:r w:rsidRPr="0064639A">
        <w:t xml:space="preserve"> of </w:t>
      </w:r>
      <w:r w:rsidRPr="004B17FC">
        <w:rPr>
          <w:b/>
        </w:rPr>
        <w:t>Licensed Patent Rights</w:t>
      </w:r>
      <w:r w:rsidRPr="004B17FC">
        <w:t xml:space="preserve"> in combination with </w:t>
      </w:r>
      <w:r w:rsidRPr="004B17FC">
        <w:rPr>
          <w:b/>
        </w:rPr>
        <w:t>Licensee’s</w:t>
      </w:r>
      <w:r w:rsidRPr="004B17FC">
        <w:t xml:space="preserve"> proprietary technology for the creation of a therapeutic </w:t>
      </w:r>
      <w:r>
        <w:t>Ebola-Zaire</w:t>
      </w:r>
      <w:r w:rsidRPr="004B17FC">
        <w:t xml:space="preserve"> vaccine or booster that expresses </w:t>
      </w:r>
      <w:r>
        <w:t>Ebola-Zaire surface glycoprotein (GP)</w:t>
      </w:r>
      <w:r w:rsidRPr="0064639A">
        <w:t xml:space="preserve"> antigen </w:t>
      </w:r>
      <w:r>
        <w:t>cloned into a first insertion site and Ebola-Zaire VP40 matrix protein antigen cloned into a second insertion site</w:t>
      </w:r>
      <w:r w:rsidRPr="004B17FC">
        <w:t>;</w:t>
      </w:r>
    </w:p>
    <w:p w14:paraId="73CC2874" w14:textId="77777777" w:rsidR="00BE7A5B" w:rsidRDefault="00BE7A5B" w:rsidP="00BE7A5B">
      <w:pPr>
        <w:pStyle w:val="Level3License"/>
        <w:widowControl w:val="0"/>
        <w:numPr>
          <w:ilvl w:val="1"/>
          <w:numId w:val="27"/>
        </w:numPr>
        <w:spacing w:after="240"/>
      </w:pPr>
      <w:r w:rsidRPr="004B17FC">
        <w:t>Non-clinical development and non-clinical</w:t>
      </w:r>
      <w:r>
        <w:t xml:space="preserve"> use</w:t>
      </w:r>
      <w:r w:rsidRPr="0064639A">
        <w:t xml:space="preserve"> of </w:t>
      </w:r>
      <w:r w:rsidRPr="004B17FC">
        <w:rPr>
          <w:b/>
        </w:rPr>
        <w:t>Licensed Patent Rights</w:t>
      </w:r>
      <w:r w:rsidRPr="004B17FC">
        <w:t xml:space="preserve"> in combination with </w:t>
      </w:r>
      <w:r w:rsidRPr="004B17FC">
        <w:rPr>
          <w:b/>
        </w:rPr>
        <w:t>Licensee’s</w:t>
      </w:r>
      <w:r w:rsidRPr="004B17FC">
        <w:t xml:space="preserve"> proprietary technology for the creation of a therapeutic </w:t>
      </w:r>
      <w:r>
        <w:t>Ebola-Sudan</w:t>
      </w:r>
      <w:r w:rsidRPr="004B17FC">
        <w:t xml:space="preserve"> vaccine or booster that expresses </w:t>
      </w:r>
      <w:r>
        <w:t xml:space="preserve">Ebola-Sudan surface glycoprotein (GP) antigen cloned into a first insertion site and </w:t>
      </w:r>
      <w:r w:rsidRPr="00602722">
        <w:t>Ebola-Zaire VP40 matrix protein antigen</w:t>
      </w:r>
      <w:r>
        <w:t xml:space="preserve"> cloned into a second insertion site</w:t>
      </w:r>
      <w:r w:rsidRPr="004B17FC">
        <w:t>;</w:t>
      </w:r>
    </w:p>
    <w:p w14:paraId="7A38D908" w14:textId="77777777" w:rsidR="00BE7A5B" w:rsidRDefault="00BE7A5B" w:rsidP="00BE7A5B">
      <w:pPr>
        <w:pStyle w:val="Level3License"/>
        <w:widowControl w:val="0"/>
        <w:numPr>
          <w:ilvl w:val="1"/>
          <w:numId w:val="27"/>
        </w:numPr>
        <w:spacing w:after="240"/>
      </w:pPr>
      <w:r w:rsidRPr="004B17FC">
        <w:t>Non-clinical development and non-clinical</w:t>
      </w:r>
      <w:r w:rsidRPr="0064639A">
        <w:t xml:space="preserve"> </w:t>
      </w:r>
      <w:r>
        <w:t xml:space="preserve">use </w:t>
      </w:r>
      <w:r w:rsidRPr="0064639A">
        <w:t xml:space="preserve">of </w:t>
      </w:r>
      <w:r w:rsidRPr="004B17FC">
        <w:rPr>
          <w:b/>
        </w:rPr>
        <w:t>Licensed Patent Rights</w:t>
      </w:r>
      <w:r w:rsidRPr="004B17FC">
        <w:t xml:space="preserve"> in combination with </w:t>
      </w:r>
      <w:r w:rsidRPr="004B17FC">
        <w:rPr>
          <w:b/>
        </w:rPr>
        <w:t>Licensee’s</w:t>
      </w:r>
      <w:r w:rsidRPr="004B17FC">
        <w:t xml:space="preserve"> proprietary technology for the creation of a therapeutic </w:t>
      </w:r>
      <w:r>
        <w:t>Lassa virus</w:t>
      </w:r>
      <w:r w:rsidRPr="004B17FC">
        <w:t xml:space="preserve"> vaccine or booster that expresses </w:t>
      </w:r>
      <w:r>
        <w:t>Lassa surface glycoprotein (GP) antigen cloned into a first insertion site and Lassa Z matrix protein antigen cloned into a second insertion site</w:t>
      </w:r>
      <w:r w:rsidRPr="004B17FC">
        <w:t>;</w:t>
      </w:r>
    </w:p>
    <w:p w14:paraId="71EB0183" w14:textId="77777777" w:rsidR="00BE7A5B" w:rsidRPr="002E4908" w:rsidRDefault="00BE7A5B" w:rsidP="00BE7A5B">
      <w:pPr>
        <w:pStyle w:val="Level3License"/>
        <w:widowControl w:val="0"/>
        <w:numPr>
          <w:ilvl w:val="1"/>
          <w:numId w:val="27"/>
        </w:numPr>
        <w:spacing w:after="240"/>
      </w:pPr>
      <w:r w:rsidRPr="004B17FC">
        <w:t>Non-clinical development and non-clinical</w:t>
      </w:r>
      <w:r w:rsidRPr="0064639A">
        <w:t xml:space="preserve"> </w:t>
      </w:r>
      <w:r>
        <w:t xml:space="preserve">use </w:t>
      </w:r>
      <w:r w:rsidRPr="0064639A">
        <w:t xml:space="preserve">of </w:t>
      </w:r>
      <w:r w:rsidRPr="004B17FC">
        <w:rPr>
          <w:b/>
        </w:rPr>
        <w:t>Licensed Patent Rights</w:t>
      </w:r>
      <w:r w:rsidRPr="004B17FC">
        <w:t xml:space="preserve"> in combination with </w:t>
      </w:r>
      <w:r w:rsidRPr="004B17FC">
        <w:rPr>
          <w:b/>
        </w:rPr>
        <w:t>Licensee’s</w:t>
      </w:r>
      <w:r w:rsidRPr="004B17FC">
        <w:t xml:space="preserve"> proprietary technology for the creation of a therapeutic </w:t>
      </w:r>
      <w:r>
        <w:t>Marburg virus</w:t>
      </w:r>
      <w:r w:rsidRPr="004B17FC">
        <w:t xml:space="preserve"> vaccine or booster that expresses </w:t>
      </w:r>
      <w:r>
        <w:t>Marburg surface glycoprotein (GP) antigen cloned into a first insertion site and Marburg VP 40 matrix protein antigen cloned into a second insertion site of MVA</w:t>
      </w:r>
      <w:r w:rsidRPr="004B17FC">
        <w:t>;</w:t>
      </w:r>
    </w:p>
    <w:p w14:paraId="5FA5F74C" w14:textId="77777777" w:rsidR="00BE7A5B" w:rsidRDefault="00BE7A5B" w:rsidP="00BE7A5B">
      <w:pPr>
        <w:pStyle w:val="Level3License"/>
        <w:widowControl w:val="0"/>
        <w:numPr>
          <w:ilvl w:val="1"/>
          <w:numId w:val="27"/>
        </w:numPr>
        <w:spacing w:after="240"/>
      </w:pPr>
      <w:r w:rsidRPr="002F7DDC">
        <w:t>Non-clinical development and non-clinical</w:t>
      </w:r>
      <w:r w:rsidRPr="0064639A">
        <w:t xml:space="preserve"> </w:t>
      </w:r>
      <w:r>
        <w:t xml:space="preserve">use </w:t>
      </w:r>
      <w:r w:rsidRPr="0064639A">
        <w:t xml:space="preserve">of </w:t>
      </w:r>
      <w:r w:rsidRPr="002F7DDC">
        <w:rPr>
          <w:b/>
        </w:rPr>
        <w:t>Licensed Patent Rights</w:t>
      </w:r>
      <w:r w:rsidRPr="002F7DDC">
        <w:t xml:space="preserve"> in combination with </w:t>
      </w:r>
      <w:r w:rsidRPr="002F7DDC">
        <w:rPr>
          <w:b/>
        </w:rPr>
        <w:t>Licensee’s</w:t>
      </w:r>
      <w:r w:rsidRPr="002F7DDC">
        <w:t xml:space="preserve"> proprietary technology for the creation of a therapeutic oncology MVA-VLP vaccine or booster that expresses </w:t>
      </w:r>
      <w:r w:rsidRPr="0064639A">
        <w:t>tumor associated antigen MUC1 in a highly immunogenic format</w:t>
      </w:r>
      <w:r w:rsidRPr="002F7DDC">
        <w:t xml:space="preserve"> </w:t>
      </w:r>
      <w:r>
        <w:t>and</w:t>
      </w:r>
      <w:r w:rsidRPr="002F7DDC">
        <w:t xml:space="preserve"> which also expresses at least one (1) viral matrix protein (Vp40 of Marburg virus);</w:t>
      </w:r>
    </w:p>
    <w:p w14:paraId="7D0D106C" w14:textId="77777777" w:rsidR="00BE7A5B" w:rsidRDefault="00BE7A5B" w:rsidP="00BE7A5B">
      <w:pPr>
        <w:pStyle w:val="Level3License"/>
        <w:widowControl w:val="0"/>
        <w:numPr>
          <w:ilvl w:val="1"/>
          <w:numId w:val="27"/>
        </w:numPr>
        <w:spacing w:after="240"/>
      </w:pPr>
      <w:r w:rsidRPr="004B17FC">
        <w:t>Non-clinical development and non-clinical</w:t>
      </w:r>
      <w:r w:rsidRPr="0064639A">
        <w:t xml:space="preserve"> </w:t>
      </w:r>
      <w:r>
        <w:t xml:space="preserve">use </w:t>
      </w:r>
      <w:r w:rsidRPr="0064639A">
        <w:t xml:space="preserve">of </w:t>
      </w:r>
      <w:r w:rsidRPr="004B17FC">
        <w:rPr>
          <w:b/>
        </w:rPr>
        <w:t>Licensed Patent Rights</w:t>
      </w:r>
      <w:r w:rsidRPr="004B17FC">
        <w:t xml:space="preserve"> in combination with </w:t>
      </w:r>
      <w:r w:rsidRPr="004B17FC">
        <w:rPr>
          <w:b/>
        </w:rPr>
        <w:t>Licensee’s</w:t>
      </w:r>
      <w:r w:rsidRPr="004B17FC">
        <w:t xml:space="preserve"> proprietary technology for the creation of a therapeutic oncology MVA-VLP vaccine or booster that expresses </w:t>
      </w:r>
      <w:r>
        <w:t>CyclinB1 and</w:t>
      </w:r>
      <w:r w:rsidRPr="004B17FC">
        <w:t xml:space="preserve"> which also expresses at least one (1) viral matrix protein (Vp40 of Marburg virus);</w:t>
      </w:r>
    </w:p>
    <w:p w14:paraId="793BFC10" w14:textId="77777777" w:rsidR="00BE7A5B" w:rsidRPr="002E4908" w:rsidRDefault="00BE7A5B" w:rsidP="00BE7A5B">
      <w:pPr>
        <w:pStyle w:val="Level3License"/>
        <w:widowControl w:val="0"/>
        <w:numPr>
          <w:ilvl w:val="1"/>
          <w:numId w:val="27"/>
        </w:numPr>
        <w:tabs>
          <w:tab w:val="left" w:pos="7920"/>
        </w:tabs>
        <w:spacing w:after="240"/>
      </w:pPr>
      <w:r w:rsidRPr="004B17FC">
        <w:t xml:space="preserve">Non-clinical </w:t>
      </w:r>
      <w:r w:rsidRPr="002E4908">
        <w:t xml:space="preserve">development and </w:t>
      </w:r>
      <w:r w:rsidRPr="004B17FC">
        <w:t xml:space="preserve">non-clinical </w:t>
      </w:r>
      <w:r w:rsidRPr="002E4908">
        <w:t xml:space="preserve">use of </w:t>
      </w:r>
      <w:r w:rsidRPr="002E4908">
        <w:rPr>
          <w:b/>
        </w:rPr>
        <w:t>Licensed Patent Rights</w:t>
      </w:r>
      <w:r w:rsidRPr="002E4908">
        <w:t xml:space="preserve"> in combination with </w:t>
      </w:r>
      <w:r w:rsidRPr="002E4908">
        <w:rPr>
          <w:b/>
        </w:rPr>
        <w:t>Licensee’s</w:t>
      </w:r>
      <w:r w:rsidRPr="002E4908">
        <w:t xml:space="preserve"> proprietary technology for the creation of a preventive </w:t>
      </w:r>
      <w:r w:rsidRPr="004B17FC">
        <w:t>Modified Vaccinia Ankara vaccine or booster against Zika virus that expresses NS1 antigen</w:t>
      </w:r>
      <w:r w:rsidRPr="002E4908">
        <w:t xml:space="preserve"> from Zika </w:t>
      </w:r>
      <w:proofErr w:type="gramStart"/>
      <w:r w:rsidRPr="002E4908">
        <w:t>virus;</w:t>
      </w:r>
      <w:proofErr w:type="gramEnd"/>
    </w:p>
    <w:p w14:paraId="0D41E355" w14:textId="77777777" w:rsidR="00BE7A5B" w:rsidRDefault="00BE7A5B" w:rsidP="00BE7A5B">
      <w:pPr>
        <w:pStyle w:val="Level3License"/>
        <w:widowControl w:val="0"/>
        <w:numPr>
          <w:ilvl w:val="1"/>
          <w:numId w:val="27"/>
        </w:numPr>
        <w:tabs>
          <w:tab w:val="left" w:pos="7920"/>
        </w:tabs>
        <w:spacing w:after="240"/>
      </w:pPr>
      <w:r w:rsidRPr="004B17FC">
        <w:t>Non-clinical development and non-clinical</w:t>
      </w:r>
      <w:r w:rsidRPr="002E4908">
        <w:t xml:space="preserve"> use of </w:t>
      </w:r>
      <w:r w:rsidRPr="00C31933">
        <w:rPr>
          <w:b/>
        </w:rPr>
        <w:t>Licensed Patent Rights</w:t>
      </w:r>
      <w:r w:rsidRPr="002E4908">
        <w:t xml:space="preserve"> in combination with </w:t>
      </w:r>
      <w:r w:rsidRPr="00C31933">
        <w:rPr>
          <w:b/>
        </w:rPr>
        <w:t>Licensee’s</w:t>
      </w:r>
      <w:r w:rsidRPr="004B17FC">
        <w:t xml:space="preserve"> proprietary technology for the creation of a preventive MVA “malaria” vaccine or booster expressing one (1) </w:t>
      </w:r>
      <w:r w:rsidRPr="002E4908">
        <w:t>Pfs230</w:t>
      </w:r>
      <w:r w:rsidRPr="004B17FC">
        <w:t xml:space="preserve"> </w:t>
      </w:r>
      <w:r w:rsidRPr="002E4908">
        <w:t>antigen of Plasmodium (parasite)</w:t>
      </w:r>
      <w:r w:rsidRPr="00C31933">
        <w:t xml:space="preserve"> </w:t>
      </w:r>
      <w:r>
        <w:t>(</w:t>
      </w:r>
      <w:r w:rsidRPr="00B76CF3">
        <w:rPr>
          <w:i/>
          <w:iCs/>
        </w:rPr>
        <w:t>falciparum</w:t>
      </w:r>
      <w:r>
        <w:t xml:space="preserve">) </w:t>
      </w:r>
      <w:r w:rsidRPr="003E7ED7">
        <w:t xml:space="preserve">and one (1) </w:t>
      </w:r>
      <w:proofErr w:type="spellStart"/>
      <w:r w:rsidRPr="003E7ED7">
        <w:t>circumsporozoite</w:t>
      </w:r>
      <w:proofErr w:type="spellEnd"/>
      <w:r w:rsidRPr="003E7ED7">
        <w:t xml:space="preserve"> protein (CSP) antigen of Plasmodium (parasite) (</w:t>
      </w:r>
      <w:r w:rsidRPr="00B76CF3">
        <w:rPr>
          <w:i/>
          <w:iCs/>
        </w:rPr>
        <w:t>falciparum</w:t>
      </w:r>
      <w:r w:rsidRPr="003E7ED7">
        <w:t xml:space="preserve">) </w:t>
      </w:r>
      <w:r w:rsidRPr="00C31933">
        <w:t>and which also expresses at least one (1) viral matrix protein (Vp40 of Marburg virus);</w:t>
      </w:r>
    </w:p>
    <w:p w14:paraId="33BAEE8D" w14:textId="77777777" w:rsidR="00BE7A5B" w:rsidRPr="00875733" w:rsidRDefault="00BE7A5B" w:rsidP="00BE7A5B">
      <w:pPr>
        <w:pStyle w:val="Level3License"/>
        <w:widowControl w:val="0"/>
        <w:numPr>
          <w:ilvl w:val="1"/>
          <w:numId w:val="27"/>
        </w:numPr>
        <w:tabs>
          <w:tab w:val="left" w:pos="7920"/>
        </w:tabs>
        <w:spacing w:after="240"/>
      </w:pPr>
      <w:r w:rsidRPr="00875733">
        <w:t xml:space="preserve">Non-clinical development and non-clinical use of </w:t>
      </w:r>
      <w:r w:rsidRPr="00B76CF3">
        <w:rPr>
          <w:b/>
          <w:bCs/>
        </w:rPr>
        <w:t>Licensed Patent Rights</w:t>
      </w:r>
      <w:r w:rsidRPr="00875733">
        <w:t xml:space="preserve"> in combination with </w:t>
      </w:r>
      <w:r w:rsidRPr="00B76CF3">
        <w:rPr>
          <w:b/>
          <w:bCs/>
        </w:rPr>
        <w:t>Licensee’s</w:t>
      </w:r>
      <w:r w:rsidRPr="00875733">
        <w:t xml:space="preserve"> proprietary technology for the creation of a preventive MVA “malaria” vaccine or booster expressing one (1) </w:t>
      </w:r>
      <w:proofErr w:type="spellStart"/>
      <w:r w:rsidRPr="00875733">
        <w:t>circumsporozoite</w:t>
      </w:r>
      <w:proofErr w:type="spellEnd"/>
      <w:r w:rsidRPr="00875733">
        <w:t xml:space="preserve"> protein (CSP) antigen of Plasmodium (parasite)</w:t>
      </w:r>
      <w:r>
        <w:t xml:space="preserve"> (</w:t>
      </w:r>
      <w:proofErr w:type="spellStart"/>
      <w:r w:rsidRPr="00B76CF3">
        <w:rPr>
          <w:i/>
          <w:iCs/>
        </w:rPr>
        <w:t>yoelli</w:t>
      </w:r>
      <w:proofErr w:type="spellEnd"/>
      <w:r>
        <w:t>)</w:t>
      </w:r>
      <w:r w:rsidRPr="00875733">
        <w:t xml:space="preserve"> and which also expresses at least one (1) viral matrix protein (Vp40 of Marburg virus);</w:t>
      </w:r>
    </w:p>
    <w:p w14:paraId="255E5351" w14:textId="77777777" w:rsidR="00BE7A5B" w:rsidRDefault="00BE7A5B" w:rsidP="00BE7A5B">
      <w:pPr>
        <w:pStyle w:val="Level3License"/>
        <w:widowControl w:val="0"/>
        <w:numPr>
          <w:ilvl w:val="1"/>
          <w:numId w:val="27"/>
        </w:numPr>
        <w:tabs>
          <w:tab w:val="left" w:pos="7920"/>
        </w:tabs>
        <w:spacing w:after="240"/>
      </w:pPr>
      <w:r w:rsidRPr="004B17FC">
        <w:t>Non-clinical development and non-clinical</w:t>
      </w:r>
      <w:r w:rsidRPr="002E4908">
        <w:t xml:space="preserve"> use of </w:t>
      </w:r>
      <w:r w:rsidRPr="002E4908">
        <w:rPr>
          <w:b/>
        </w:rPr>
        <w:t>Licensed Patent Rights</w:t>
      </w:r>
      <w:r w:rsidRPr="002E4908">
        <w:t xml:space="preserve"> in combination with </w:t>
      </w:r>
      <w:r w:rsidRPr="002E4908">
        <w:rPr>
          <w:b/>
        </w:rPr>
        <w:t>Licensee’s</w:t>
      </w:r>
      <w:r w:rsidRPr="002E4908">
        <w:t xml:space="preserve"> proprietary technology for the creation of a preventive MVA-VLP</w:t>
      </w:r>
      <w:r w:rsidRPr="004B17FC">
        <w:t xml:space="preserve"> “malaria” vaccine or booster expressing one (1) </w:t>
      </w:r>
      <w:proofErr w:type="spellStart"/>
      <w:r w:rsidRPr="004B17FC">
        <w:t>circumsporozoite</w:t>
      </w:r>
      <w:proofErr w:type="spellEnd"/>
      <w:r w:rsidRPr="004B17FC">
        <w:t xml:space="preserve"> protein (CSP) </w:t>
      </w:r>
      <w:r w:rsidRPr="002E4908">
        <w:t xml:space="preserve">antigen of Plasmodium (parasite) </w:t>
      </w:r>
      <w:r w:rsidRPr="003E7ED7">
        <w:t>(</w:t>
      </w:r>
      <w:r w:rsidRPr="00B76CF3">
        <w:rPr>
          <w:i/>
          <w:iCs/>
        </w:rPr>
        <w:t>falciparum</w:t>
      </w:r>
      <w:r w:rsidRPr="003E7ED7">
        <w:t xml:space="preserve">) </w:t>
      </w:r>
      <w:r w:rsidRPr="002E4908">
        <w:t>and which also expresses at least one (1) viral matrix protein (Vp40 of Marburg</w:t>
      </w:r>
      <w:r w:rsidRPr="004B17FC">
        <w:t xml:space="preserve"> virus</w:t>
      </w:r>
      <w:r w:rsidRPr="002E4908">
        <w:t xml:space="preserve">); </w:t>
      </w:r>
    </w:p>
    <w:p w14:paraId="2EAF17D4" w14:textId="77777777" w:rsidR="00BE7A5B" w:rsidRPr="00D55224" w:rsidRDefault="00BE7A5B" w:rsidP="00BE7A5B">
      <w:pPr>
        <w:pStyle w:val="Level3License"/>
        <w:widowControl w:val="0"/>
        <w:numPr>
          <w:ilvl w:val="1"/>
          <w:numId w:val="27"/>
        </w:numPr>
        <w:tabs>
          <w:tab w:val="left" w:pos="7920"/>
        </w:tabs>
        <w:spacing w:after="240"/>
      </w:pPr>
      <w:r w:rsidRPr="00D55224">
        <w:t xml:space="preserve">Non-clinical development and non-clinical use of </w:t>
      </w:r>
      <w:r w:rsidRPr="00935FA0">
        <w:rPr>
          <w:b/>
          <w:bCs/>
        </w:rPr>
        <w:t>Licensed Patent Rights</w:t>
      </w:r>
      <w:r w:rsidRPr="00D55224">
        <w:t xml:space="preserve"> in combination with </w:t>
      </w:r>
      <w:r w:rsidRPr="00935FA0">
        <w:rPr>
          <w:b/>
          <w:bCs/>
        </w:rPr>
        <w:t>Licensee’s</w:t>
      </w:r>
      <w:r w:rsidRPr="00D55224">
        <w:t xml:space="preserve"> proprietary technology for the creation of a preventive MVA-VLP “malaria” vaccine or booster expressing one (1) sporozoite </w:t>
      </w:r>
      <w:proofErr w:type="spellStart"/>
      <w:r w:rsidRPr="00D55224">
        <w:t>micronemal</w:t>
      </w:r>
      <w:proofErr w:type="spellEnd"/>
      <w:r w:rsidRPr="00D55224">
        <w:t xml:space="preserve"> protein essential for cell traversal (SPECT2) antigen of Plasmodium (parasite) </w:t>
      </w:r>
      <w:r w:rsidRPr="003E7ED7">
        <w:t>(</w:t>
      </w:r>
      <w:r w:rsidRPr="0050687C">
        <w:rPr>
          <w:i/>
          <w:iCs/>
        </w:rPr>
        <w:t>falciparum</w:t>
      </w:r>
      <w:r w:rsidRPr="003E7ED7">
        <w:t xml:space="preserve">) </w:t>
      </w:r>
      <w:r w:rsidRPr="00D55224">
        <w:t xml:space="preserve">and which also expresses at least one (1) viral matrix protein (Vp40 of Marburg virus); </w:t>
      </w:r>
    </w:p>
    <w:p w14:paraId="0E31EBD9" w14:textId="77777777" w:rsidR="00BE7A5B" w:rsidRDefault="00BE7A5B" w:rsidP="00BE7A5B">
      <w:pPr>
        <w:pStyle w:val="Level3License"/>
        <w:widowControl w:val="0"/>
        <w:numPr>
          <w:ilvl w:val="1"/>
          <w:numId w:val="27"/>
        </w:numPr>
        <w:tabs>
          <w:tab w:val="left" w:pos="7920"/>
        </w:tabs>
        <w:spacing w:after="240"/>
        <w:ind w:right="1530"/>
      </w:pPr>
      <w:r>
        <w:t xml:space="preserve">Non-clinical development and non-clinical use of </w:t>
      </w:r>
      <w:r w:rsidRPr="00B76CF3">
        <w:rPr>
          <w:b/>
          <w:bCs/>
        </w:rPr>
        <w:t>Licensed Patent Rights</w:t>
      </w:r>
      <w:r>
        <w:t xml:space="preserve"> in combination with </w:t>
      </w:r>
      <w:r w:rsidRPr="00B76CF3">
        <w:rPr>
          <w:b/>
          <w:bCs/>
        </w:rPr>
        <w:t>Licensee’s</w:t>
      </w:r>
      <w:r>
        <w:t xml:space="preserve"> proprietary technology for the creation of a preventive MVA-VLP “malaria” vaccine or booster expressing one (1) </w:t>
      </w:r>
      <w:r w:rsidRPr="00D55224">
        <w:t>GTP-binding protein, putative</w:t>
      </w:r>
      <w:r>
        <w:t xml:space="preserve"> (</w:t>
      </w:r>
      <w:r w:rsidRPr="00D55224">
        <w:t>PF3D7_1462300</w:t>
      </w:r>
      <w:r>
        <w:t xml:space="preserve">) antigen of Plasmodium (parasite) </w:t>
      </w:r>
      <w:r w:rsidRPr="003E7ED7">
        <w:t>(</w:t>
      </w:r>
      <w:r w:rsidRPr="0050687C">
        <w:rPr>
          <w:i/>
          <w:iCs/>
        </w:rPr>
        <w:t>falciparum</w:t>
      </w:r>
      <w:r w:rsidRPr="003E7ED7">
        <w:t xml:space="preserve">) </w:t>
      </w:r>
      <w:r>
        <w:t xml:space="preserve">and which also expresses at least one (1) viral matrix protein (Vp40 of Marburg virus); </w:t>
      </w:r>
    </w:p>
    <w:p w14:paraId="2C31906A" w14:textId="77777777" w:rsidR="00BE7A5B" w:rsidRDefault="00BE7A5B" w:rsidP="00BE7A5B">
      <w:pPr>
        <w:pStyle w:val="Level3License"/>
        <w:widowControl w:val="0"/>
        <w:numPr>
          <w:ilvl w:val="1"/>
          <w:numId w:val="27"/>
        </w:numPr>
        <w:tabs>
          <w:tab w:val="left" w:pos="7920"/>
        </w:tabs>
        <w:spacing w:after="240"/>
        <w:ind w:right="1530"/>
      </w:pPr>
      <w:r w:rsidRPr="00D55224">
        <w:t xml:space="preserve">Non-clinical development and non-clinical use of </w:t>
      </w:r>
      <w:r w:rsidRPr="00B76CF3">
        <w:rPr>
          <w:b/>
          <w:bCs/>
        </w:rPr>
        <w:t>Licensed Patent Rights</w:t>
      </w:r>
      <w:r w:rsidRPr="00D55224">
        <w:t xml:space="preserve"> in combination with </w:t>
      </w:r>
      <w:r w:rsidRPr="00B76CF3">
        <w:rPr>
          <w:b/>
          <w:bCs/>
        </w:rPr>
        <w:t>Licensee’s</w:t>
      </w:r>
      <w:r w:rsidRPr="00D55224">
        <w:t xml:space="preserve"> proprietary technology for the creation of a preventive MVA-VLP “malaria” vaccine or booster expressing one (1) </w:t>
      </w:r>
      <w:r>
        <w:t xml:space="preserve">antigen encoded by the </w:t>
      </w:r>
      <w:r w:rsidRPr="00D55224">
        <w:t xml:space="preserve">PF3D7_0813400 </w:t>
      </w:r>
      <w:r>
        <w:t>gene</w:t>
      </w:r>
      <w:r w:rsidRPr="00D55224">
        <w:t xml:space="preserve"> of Plasmodium (parasite) </w:t>
      </w:r>
      <w:r w:rsidRPr="003E7ED7">
        <w:t>(</w:t>
      </w:r>
      <w:r w:rsidRPr="0050687C">
        <w:rPr>
          <w:i/>
          <w:iCs/>
        </w:rPr>
        <w:t>falciparum</w:t>
      </w:r>
      <w:r w:rsidRPr="003E7ED7">
        <w:t xml:space="preserve">) </w:t>
      </w:r>
      <w:r w:rsidRPr="00D55224">
        <w:t xml:space="preserve">and which also expresses at least one (1) viral matrix protein (Vp40 of Marburg virus); </w:t>
      </w:r>
      <w:r>
        <w:t xml:space="preserve">and, </w:t>
      </w:r>
    </w:p>
    <w:p w14:paraId="047E0F46" w14:textId="77777777" w:rsidR="00BE7A5B" w:rsidRDefault="00BE7A5B" w:rsidP="00BE7A5B">
      <w:pPr>
        <w:pStyle w:val="Level3License"/>
        <w:widowControl w:val="0"/>
        <w:numPr>
          <w:ilvl w:val="1"/>
          <w:numId w:val="27"/>
        </w:numPr>
        <w:tabs>
          <w:tab w:val="left" w:pos="7920"/>
        </w:tabs>
        <w:spacing w:after="240"/>
        <w:ind w:right="1530"/>
      </w:pPr>
      <w:r w:rsidRPr="000B7A93">
        <w:t xml:space="preserve">Non-clinical development and non-clinical use of </w:t>
      </w:r>
      <w:r w:rsidRPr="00B76CF3">
        <w:rPr>
          <w:b/>
          <w:bCs/>
        </w:rPr>
        <w:t>Licensed Patent Rights</w:t>
      </w:r>
      <w:r w:rsidRPr="000B7A93">
        <w:t xml:space="preserve"> in combination with combination with </w:t>
      </w:r>
      <w:r w:rsidRPr="00B76CF3">
        <w:rPr>
          <w:b/>
          <w:bCs/>
        </w:rPr>
        <w:t>Licensee’s</w:t>
      </w:r>
      <w:r w:rsidRPr="000B7A93">
        <w:t xml:space="preserve"> proprietary technology for the creation of a MVA expressing </w:t>
      </w:r>
      <w:r>
        <w:t xml:space="preserve">at least </w:t>
      </w:r>
      <w:r w:rsidRPr="000B7A93">
        <w:t xml:space="preserve">one (1) </w:t>
      </w:r>
      <w:r>
        <w:t xml:space="preserve">“L-01 </w:t>
      </w:r>
      <w:proofErr w:type="spellStart"/>
      <w:r>
        <w:t>microtide</w:t>
      </w:r>
      <w:proofErr w:type="spellEnd"/>
      <w:r>
        <w:t>” peptide capable of acting as a checkpoint inhibitor for use as an adjuvant in a vaccine strategy; and,</w:t>
      </w:r>
    </w:p>
    <w:p w14:paraId="731C9EF5" w14:textId="77777777" w:rsidR="00BE7A5B" w:rsidRDefault="00BE7A5B" w:rsidP="00BE7A5B">
      <w:pPr>
        <w:pStyle w:val="Level3License"/>
        <w:widowControl w:val="0"/>
        <w:numPr>
          <w:ilvl w:val="1"/>
          <w:numId w:val="27"/>
        </w:numPr>
        <w:tabs>
          <w:tab w:val="left" w:pos="7920"/>
        </w:tabs>
        <w:spacing w:after="240"/>
        <w:ind w:right="1530"/>
      </w:pPr>
      <w:r w:rsidRPr="00924E57">
        <w:t xml:space="preserve">Non-clinical development and non-clinical use of </w:t>
      </w:r>
      <w:r w:rsidRPr="00B76CF3">
        <w:rPr>
          <w:b/>
          <w:bCs/>
        </w:rPr>
        <w:t>Licensed Patent Rights</w:t>
      </w:r>
      <w:r w:rsidRPr="00924E57">
        <w:t xml:space="preserve"> in combination with combination with </w:t>
      </w:r>
      <w:r w:rsidRPr="00B76CF3">
        <w:rPr>
          <w:b/>
          <w:bCs/>
        </w:rPr>
        <w:t>Licensee’s</w:t>
      </w:r>
      <w:r w:rsidRPr="00924E57">
        <w:t xml:space="preserve"> proprietary technology for the creation of a MVA expressing at least one (1) “L-10 </w:t>
      </w:r>
      <w:proofErr w:type="spellStart"/>
      <w:r w:rsidRPr="00924E57">
        <w:t>microtide</w:t>
      </w:r>
      <w:proofErr w:type="spellEnd"/>
      <w:r w:rsidRPr="00924E57">
        <w:t xml:space="preserve">” peptide capable of acting as a checkpoint inhibitor for use as an adjuvant in a vaccine strategy.  </w:t>
      </w:r>
    </w:p>
    <w:p w14:paraId="2C0B157D" w14:textId="77777777" w:rsidR="00BE7A5B" w:rsidRPr="006E18CA" w:rsidRDefault="00BE7A5B" w:rsidP="00BE7A5B">
      <w:pPr>
        <w:pStyle w:val="Level1Appendix"/>
        <w:numPr>
          <w:ilvl w:val="0"/>
          <w:numId w:val="27"/>
        </w:numPr>
        <w:tabs>
          <w:tab w:val="clear" w:pos="-1440"/>
        </w:tabs>
        <w:spacing w:after="240"/>
        <w:rPr>
          <w:b/>
        </w:rPr>
      </w:pPr>
      <w:r w:rsidRPr="006E18CA">
        <w:rPr>
          <w:b/>
        </w:rPr>
        <w:t>Termination:</w:t>
      </w:r>
    </w:p>
    <w:p w14:paraId="4044393F" w14:textId="77777777" w:rsidR="00BE7A5B" w:rsidRPr="00EB14CE" w:rsidRDefault="00BE7A5B" w:rsidP="00BE7A5B">
      <w:pPr>
        <w:pStyle w:val="Level1Appendix"/>
        <w:numPr>
          <w:ilvl w:val="1"/>
          <w:numId w:val="27"/>
        </w:numPr>
        <w:tabs>
          <w:tab w:val="clear" w:pos="-1440"/>
        </w:tabs>
        <w:spacing w:after="240"/>
      </w:pPr>
      <w:r w:rsidRPr="00EB14CE">
        <w:t xml:space="preserve">This </w:t>
      </w:r>
      <w:r w:rsidRPr="00EB14CE">
        <w:rPr>
          <w:b/>
        </w:rPr>
        <w:t>Agreement</w:t>
      </w:r>
      <w:r w:rsidRPr="00EB14CE">
        <w:t xml:space="preserve"> shall </w:t>
      </w:r>
      <w:r>
        <w:t>expire</w:t>
      </w:r>
      <w:r w:rsidRPr="00EB14CE">
        <w:t xml:space="preserve"> </w:t>
      </w:r>
      <w:r>
        <w:t>ten</w:t>
      </w:r>
      <w:r w:rsidRPr="00EB14CE">
        <w:t xml:space="preserve"> (</w:t>
      </w:r>
      <w:r>
        <w:t>10</w:t>
      </w:r>
      <w:r w:rsidRPr="00EB14CE">
        <w:t>) years from the effective date as defined in Paragraph</w:t>
      </w:r>
      <w:r>
        <w:t xml:space="preserve"> 7.1 unless previously terminated under Article 7.</w:t>
      </w:r>
    </w:p>
    <w:p w14:paraId="145501C0" w14:textId="77777777" w:rsidR="00BE7A5B" w:rsidRPr="00957E56" w:rsidRDefault="00BE7A5B" w:rsidP="00AB7079">
      <w:pPr>
        <w:pStyle w:val="AppendixTitle"/>
        <w:spacing w:after="480"/>
      </w:pPr>
      <w:r w:rsidRPr="00EB14CE">
        <w:t xml:space="preserve">APPENDIX C </w:t>
      </w:r>
      <w:r>
        <w:t>–</w:t>
      </w:r>
      <w:r w:rsidRPr="00EB14CE">
        <w:t xml:space="preserve"> Royalties</w:t>
      </w:r>
    </w:p>
    <w:p w14:paraId="1C30F0C1" w14:textId="77777777" w:rsidR="00BE7A5B" w:rsidRPr="004D20F1" w:rsidRDefault="00BE7A5B" w:rsidP="004D20F1">
      <w:pPr>
        <w:widowControl w:val="0"/>
        <w:suppressAutoHyphens/>
      </w:pPr>
      <w:r w:rsidRPr="004D20F1">
        <w:t>[This appendix has been redacted in its entirety]</w:t>
      </w:r>
    </w:p>
    <w:p w14:paraId="1C90D2F7" w14:textId="77777777" w:rsidR="00BE7A5B" w:rsidRDefault="00BE7A5B" w:rsidP="00306C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rPr>
          <w:b/>
        </w:rPr>
      </w:pPr>
    </w:p>
    <w:p w14:paraId="7AF9FFB4" w14:textId="77777777" w:rsidR="00BE7A5B" w:rsidRPr="00C37685" w:rsidRDefault="00BE7A5B" w:rsidP="007F153B">
      <w:pPr>
        <w:pStyle w:val="APPENDIXTITLE0"/>
        <w:spacing w:afterLines="0"/>
      </w:pPr>
      <w:r>
        <w:t>Appendix D</w:t>
      </w:r>
      <w:r w:rsidRPr="00C37685">
        <w:t xml:space="preserve"> </w:t>
      </w:r>
      <w:r>
        <w:t>–</w:t>
      </w:r>
      <w:r w:rsidRPr="00C37685">
        <w:t xml:space="preserve"> Royalty Payment Options</w:t>
      </w:r>
    </w:p>
    <w:p w14:paraId="63D3A283" w14:textId="77777777" w:rsidR="00BE7A5B" w:rsidRDefault="00BE7A5B" w:rsidP="007F153B">
      <w:pPr>
        <w:autoSpaceDE w:val="0"/>
        <w:autoSpaceDN w:val="0"/>
        <w:adjustRightInd w:val="0"/>
        <w:jc w:val="center"/>
      </w:pPr>
      <w:r>
        <w:t>New Payment Options Effective March 2018</w:t>
      </w:r>
    </w:p>
    <w:p w14:paraId="490E5AD3" w14:textId="77777777" w:rsidR="00BE7A5B" w:rsidRDefault="00BE7A5B" w:rsidP="00475CB6">
      <w:pPr>
        <w:autoSpaceDE w:val="0"/>
        <w:autoSpaceDN w:val="0"/>
        <w:adjustRightInd w:val="0"/>
      </w:pPr>
    </w:p>
    <w:p w14:paraId="46BF2552" w14:textId="77777777" w:rsidR="00BE7A5B" w:rsidRDefault="00BE7A5B" w:rsidP="00475CB6">
      <w:pPr>
        <w:jc w:val="center"/>
      </w:pPr>
      <w:r>
        <w:rPr>
          <w:b/>
          <w:iCs/>
        </w:rPr>
        <w:t xml:space="preserve">The License Number </w:t>
      </w:r>
      <w:r>
        <w:rPr>
          <w:b/>
          <w:bCs/>
          <w:iCs/>
        </w:rPr>
        <w:t xml:space="preserve">MUST </w:t>
      </w:r>
      <w:r>
        <w:rPr>
          <w:b/>
          <w:iCs/>
        </w:rPr>
        <w:t xml:space="preserve">appear on payments, </w:t>
      </w:r>
      <w:proofErr w:type="gramStart"/>
      <w:r>
        <w:rPr>
          <w:b/>
          <w:iCs/>
        </w:rPr>
        <w:t>reports</w:t>
      </w:r>
      <w:proofErr w:type="gramEnd"/>
      <w:r>
        <w:rPr>
          <w:b/>
          <w:iCs/>
        </w:rPr>
        <w:t xml:space="preserve"> and correspondence</w:t>
      </w:r>
      <w:r>
        <w:rPr>
          <w:iCs/>
        </w:rPr>
        <w:t>.</w:t>
      </w:r>
    </w:p>
    <w:p w14:paraId="2E079E5F" w14:textId="77777777" w:rsidR="00BE7A5B" w:rsidRDefault="00BE7A5B" w:rsidP="00475CB6"/>
    <w:p w14:paraId="75536558" w14:textId="77777777" w:rsidR="00BE7A5B" w:rsidRDefault="00BE7A5B" w:rsidP="00475CB6">
      <w:pPr>
        <w:pStyle w:val="Default"/>
        <w:rPr>
          <w:b/>
          <w:bCs/>
          <w:sz w:val="20"/>
          <w:szCs w:val="20"/>
        </w:rPr>
      </w:pPr>
      <w:r>
        <w:rPr>
          <w:b/>
          <w:bCs/>
          <w:sz w:val="20"/>
          <w:szCs w:val="20"/>
        </w:rPr>
        <w:t xml:space="preserve">Credit and Debit Card Payments:  </w:t>
      </w:r>
      <w:r>
        <w:rPr>
          <w:bCs/>
          <w:sz w:val="20"/>
          <w:szCs w:val="20"/>
        </w:rPr>
        <w:t xml:space="preserve">Credit and debit card payments can be submitted for amounts up to $24,999.  Submit your payment through the U.S. Treasury web site located at:  </w:t>
      </w:r>
      <w:hyperlink r:id="rId26" w:history="1">
        <w:r>
          <w:rPr>
            <w:rStyle w:val="Hyperlink"/>
            <w:b/>
            <w:bCs/>
            <w:sz w:val="20"/>
            <w:szCs w:val="20"/>
          </w:rPr>
          <w:t>https://www.pay.gov/public/form/start/28680443</w:t>
        </w:r>
      </w:hyperlink>
      <w:r>
        <w:rPr>
          <w:b/>
          <w:bCs/>
          <w:sz w:val="20"/>
          <w:szCs w:val="20"/>
        </w:rPr>
        <w:t>.</w:t>
      </w:r>
    </w:p>
    <w:p w14:paraId="1B63E213" w14:textId="77777777" w:rsidR="00BE7A5B" w:rsidRDefault="00BE7A5B" w:rsidP="00475CB6">
      <w:pPr>
        <w:pStyle w:val="Default"/>
        <w:rPr>
          <w:bCs/>
          <w:sz w:val="20"/>
          <w:szCs w:val="20"/>
        </w:rPr>
      </w:pPr>
    </w:p>
    <w:p w14:paraId="61E4A52D" w14:textId="77777777" w:rsidR="00BE7A5B" w:rsidRDefault="00BE7A5B" w:rsidP="00475CB6">
      <w:pPr>
        <w:pStyle w:val="Default"/>
        <w:rPr>
          <w:b/>
          <w:bCs/>
          <w:sz w:val="20"/>
          <w:szCs w:val="20"/>
        </w:rPr>
      </w:pPr>
      <w:r>
        <w:rPr>
          <w:b/>
          <w:bCs/>
          <w:sz w:val="20"/>
          <w:szCs w:val="20"/>
        </w:rPr>
        <w:t>Automated Clearing House (ACH) for payments through U.S. banks only</w:t>
      </w:r>
    </w:p>
    <w:p w14:paraId="1BA1AAFB" w14:textId="77777777" w:rsidR="00BE7A5B" w:rsidRDefault="00BE7A5B" w:rsidP="00475CB6">
      <w:pPr>
        <w:pStyle w:val="Default"/>
        <w:rPr>
          <w:sz w:val="20"/>
          <w:szCs w:val="20"/>
        </w:rPr>
      </w:pPr>
    </w:p>
    <w:p w14:paraId="24292DC9" w14:textId="77777777" w:rsidR="00BE7A5B" w:rsidRDefault="00BE7A5B" w:rsidP="00475CB6">
      <w:pPr>
        <w:autoSpaceDE w:val="0"/>
        <w:autoSpaceDN w:val="0"/>
        <w:adjustRightInd w:val="0"/>
        <w:rPr>
          <w:color w:val="626262"/>
        </w:rPr>
      </w:pPr>
      <w:r>
        <w:rPr>
          <w:color w:val="626262"/>
        </w:rPr>
        <w:t xml:space="preserve">The </w:t>
      </w:r>
      <w:r>
        <w:rPr>
          <w:b/>
          <w:color w:val="626262"/>
        </w:rPr>
        <w:t>IC</w:t>
      </w:r>
      <w:r>
        <w:rPr>
          <w:color w:val="626262"/>
        </w:rPr>
        <w:t xml:space="preserve"> encourages its licensees to submit electronic funds transfer payments through the Automated Clearing House (ACH). Submit your ACH payment through the U.S. Treasury web site located at: </w:t>
      </w:r>
      <w:hyperlink r:id="rId27" w:history="1">
        <w:r w:rsidRPr="00F82BBE">
          <w:rPr>
            <w:rStyle w:val="Hyperlink"/>
          </w:rPr>
          <w:t>https://www.pay.gov/public/form/start/28680443</w:t>
        </w:r>
      </w:hyperlink>
      <w:r>
        <w:rPr>
          <w:color w:val="626262"/>
        </w:rPr>
        <w:t>. Please note that the IC "only" accepts ACH payments through this U.S. Treasury web site.</w:t>
      </w:r>
    </w:p>
    <w:p w14:paraId="5ACE4040" w14:textId="77777777" w:rsidR="00BE7A5B" w:rsidRDefault="00BE7A5B" w:rsidP="00475CB6">
      <w:pPr>
        <w:autoSpaceDE w:val="0"/>
        <w:autoSpaceDN w:val="0"/>
        <w:adjustRightInd w:val="0"/>
        <w:rPr>
          <w:color w:val="626262"/>
        </w:rPr>
      </w:pPr>
    </w:p>
    <w:p w14:paraId="3583B4FC" w14:textId="77777777" w:rsidR="00BE7A5B" w:rsidRDefault="00BE7A5B" w:rsidP="00475CB6">
      <w:pPr>
        <w:pStyle w:val="returnaddress"/>
        <w:ind w:right="806"/>
        <w:rPr>
          <w:rFonts w:ascii="Times New Roman" w:hAnsi="Times New Roman" w:cs="Times New Roman"/>
          <w:b/>
          <w:bCs/>
          <w:iCs/>
          <w:sz w:val="20"/>
          <w:szCs w:val="20"/>
        </w:rPr>
      </w:pPr>
      <w:r>
        <w:rPr>
          <w:rFonts w:ascii="Times New Roman" w:hAnsi="Times New Roman" w:cs="Times New Roman"/>
          <w:b/>
          <w:bCs/>
          <w:iCs/>
          <w:sz w:val="20"/>
          <w:szCs w:val="20"/>
          <w:u w:val="single"/>
        </w:rPr>
        <w:t>Electronic Funds Wire Transfers:</w:t>
      </w:r>
      <w:r>
        <w:rPr>
          <w:rFonts w:ascii="Times New Roman" w:hAnsi="Times New Roman" w:cs="Times New Roman"/>
          <w:b/>
          <w:bCs/>
          <w:iCs/>
          <w:sz w:val="20"/>
          <w:szCs w:val="20"/>
        </w:rPr>
        <w:t xml:space="preserve">  </w:t>
      </w:r>
      <w:r>
        <w:rPr>
          <w:rFonts w:ascii="Times New Roman" w:hAnsi="Times New Roman" w:cs="Times New Roman"/>
          <w:bCs/>
          <w:iCs/>
          <w:sz w:val="20"/>
          <w:szCs w:val="20"/>
        </w:rPr>
        <w:t xml:space="preserve">The following account information is provided for wire payments.  </w:t>
      </w:r>
      <w:proofErr w:type="gramStart"/>
      <w:r>
        <w:rPr>
          <w:rFonts w:ascii="Times New Roman" w:hAnsi="Times New Roman" w:cs="Times New Roman"/>
          <w:bCs/>
          <w:iCs/>
          <w:sz w:val="20"/>
          <w:szCs w:val="20"/>
        </w:rPr>
        <w:t>In order to</w:t>
      </w:r>
      <w:proofErr w:type="gramEnd"/>
      <w:r>
        <w:rPr>
          <w:rFonts w:ascii="Times New Roman" w:hAnsi="Times New Roman" w:cs="Times New Roman"/>
          <w:bCs/>
          <w:iCs/>
          <w:sz w:val="20"/>
          <w:szCs w:val="20"/>
        </w:rPr>
        <w:t xml:space="preserve"> process payment via Electronic Funds Wire Transfer sender MUST supply the following information within the transmission</w:t>
      </w:r>
      <w:r>
        <w:rPr>
          <w:rFonts w:ascii="Times New Roman" w:hAnsi="Times New Roman" w:cs="Times New Roman"/>
          <w:iCs/>
          <w:sz w:val="20"/>
          <w:szCs w:val="20"/>
        </w:rPr>
        <w:t>:</w:t>
      </w:r>
    </w:p>
    <w:p w14:paraId="18C30A4E" w14:textId="77777777" w:rsidR="00BE7A5B" w:rsidRDefault="00BE7A5B" w:rsidP="00475CB6">
      <w:pPr>
        <w:pStyle w:val="returnaddress"/>
        <w:ind w:right="0"/>
        <w:rPr>
          <w:rFonts w:ascii="Times New Roman" w:hAnsi="Times New Roman" w:cs="Times New Roman"/>
          <w:sz w:val="20"/>
          <w:szCs w:val="20"/>
        </w:rPr>
      </w:pPr>
    </w:p>
    <w:p w14:paraId="0D6F1540" w14:textId="77777777" w:rsidR="00BE7A5B" w:rsidRDefault="00BE7A5B" w:rsidP="00475CB6">
      <w:r>
        <w:t xml:space="preserve">Drawn on a </w:t>
      </w:r>
      <w:r>
        <w:rPr>
          <w:b/>
        </w:rPr>
        <w:t>U.S. bank account</w:t>
      </w:r>
      <w:r>
        <w:t xml:space="preserve"> via FEDWIRE: </w:t>
      </w:r>
    </w:p>
    <w:p w14:paraId="798EF397" w14:textId="77777777" w:rsidR="00BE7A5B" w:rsidRDefault="00BE7A5B" w:rsidP="00475CB6"/>
    <w:p w14:paraId="7C23E2A9" w14:textId="77777777" w:rsidR="00BE7A5B" w:rsidRDefault="00BE7A5B" w:rsidP="00475CB6">
      <w:r>
        <w:t xml:space="preserve">Please provide the following instructions to your Financial Institution for the remittance of Fedwire payments to the </w:t>
      </w:r>
      <w:r>
        <w:rPr>
          <w:b/>
          <w:u w:val="single"/>
        </w:rPr>
        <w:t>NIH ROYALTY FUND</w:t>
      </w:r>
      <w:r>
        <w:t>.</w:t>
      </w:r>
    </w:p>
    <w:p w14:paraId="07BB6283" w14:textId="77777777" w:rsidR="00BE7A5B" w:rsidRDefault="00BE7A5B" w:rsidP="00475CB6"/>
    <w:tbl>
      <w:tblPr>
        <w:tblStyle w:val="TableGrid"/>
        <w:tblW w:w="0" w:type="auto"/>
        <w:tblLook w:val="04A0" w:firstRow="1" w:lastRow="0" w:firstColumn="1" w:lastColumn="0" w:noHBand="0" w:noVBand="1"/>
        <w:tblDescription w:val="Table provides instructions for submitting deposits drawn on a U.S. bank account via the Fedwire Network.  Contact the OTT Royalty Administration group at OTT-Royalties@mail.nih.gov if you have any questions."/>
      </w:tblPr>
      <w:tblGrid>
        <w:gridCol w:w="1165"/>
        <w:gridCol w:w="4140"/>
        <w:gridCol w:w="4045"/>
      </w:tblGrid>
      <w:tr w:rsidR="00BE7A5B" w14:paraId="5F612533" w14:textId="77777777" w:rsidTr="00475CB6">
        <w:trPr>
          <w:cantSplit/>
          <w:tblHeader/>
        </w:trPr>
        <w:tc>
          <w:tcPr>
            <w:tcW w:w="1165" w:type="dxa"/>
            <w:tcBorders>
              <w:top w:val="single" w:sz="4" w:space="0" w:color="auto"/>
              <w:left w:val="single" w:sz="4" w:space="0" w:color="auto"/>
              <w:bottom w:val="single" w:sz="4" w:space="0" w:color="auto"/>
              <w:right w:val="single" w:sz="4" w:space="0" w:color="auto"/>
            </w:tcBorders>
            <w:vAlign w:val="center"/>
            <w:hideMark/>
          </w:tcPr>
          <w:p w14:paraId="3ABEEB78" w14:textId="77777777" w:rsidR="00BE7A5B" w:rsidRDefault="00BE7A5B">
            <w:pPr>
              <w:spacing w:after="240"/>
              <w:jc w:val="center"/>
              <w:rPr>
                <w:sz w:val="20"/>
                <w:szCs w:val="20"/>
              </w:rPr>
            </w:pPr>
            <w:r>
              <w:rPr>
                <w:sz w:val="20"/>
                <w:szCs w:val="20"/>
              </w:rPr>
              <w:t>Fedwire Field Tag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495C370E" w14:textId="77777777" w:rsidR="00BE7A5B" w:rsidRDefault="00BE7A5B">
            <w:pPr>
              <w:spacing w:after="240"/>
              <w:jc w:val="center"/>
              <w:rPr>
                <w:sz w:val="20"/>
                <w:szCs w:val="20"/>
              </w:rPr>
            </w:pPr>
            <w:r>
              <w:rPr>
                <w:sz w:val="20"/>
                <w:szCs w:val="20"/>
              </w:rPr>
              <w:t>Fedwire Field Name</w:t>
            </w:r>
          </w:p>
        </w:tc>
        <w:tc>
          <w:tcPr>
            <w:tcW w:w="4045" w:type="dxa"/>
            <w:tcBorders>
              <w:top w:val="single" w:sz="4" w:space="0" w:color="auto"/>
              <w:left w:val="single" w:sz="4" w:space="0" w:color="auto"/>
              <w:bottom w:val="single" w:sz="4" w:space="0" w:color="auto"/>
              <w:right w:val="single" w:sz="4" w:space="0" w:color="auto"/>
            </w:tcBorders>
            <w:vAlign w:val="center"/>
            <w:hideMark/>
          </w:tcPr>
          <w:p w14:paraId="71B8F378" w14:textId="77777777" w:rsidR="00BE7A5B" w:rsidRDefault="00BE7A5B">
            <w:pPr>
              <w:spacing w:after="240"/>
              <w:jc w:val="center"/>
              <w:rPr>
                <w:sz w:val="20"/>
                <w:szCs w:val="20"/>
              </w:rPr>
            </w:pPr>
            <w:r>
              <w:rPr>
                <w:sz w:val="20"/>
                <w:szCs w:val="20"/>
              </w:rPr>
              <w:t>Required Information</w:t>
            </w:r>
          </w:p>
        </w:tc>
      </w:tr>
      <w:tr w:rsidR="00BE7A5B" w14:paraId="3311383C" w14:textId="77777777" w:rsidTr="00475CB6">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CF0DE" w14:textId="77777777" w:rsidR="00BE7A5B" w:rsidRDefault="00BE7A5B">
            <w:pPr>
              <w:spacing w:after="240"/>
              <w:rPr>
                <w:sz w:val="20"/>
                <w:szCs w:val="20"/>
              </w:rPr>
            </w:pPr>
          </w:p>
        </w:tc>
      </w:tr>
      <w:tr w:rsidR="00BE7A5B" w14:paraId="5D8FD128"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36A7297E" w14:textId="77777777" w:rsidR="00BE7A5B" w:rsidRDefault="00BE7A5B">
            <w:pPr>
              <w:spacing w:after="240"/>
              <w:jc w:val="center"/>
              <w:rPr>
                <w:sz w:val="20"/>
                <w:szCs w:val="20"/>
              </w:rPr>
            </w:pPr>
            <w:r>
              <w:rPr>
                <w:sz w:val="20"/>
                <w:szCs w:val="20"/>
              </w:rPr>
              <w:t>{1510}</w:t>
            </w:r>
          </w:p>
        </w:tc>
        <w:tc>
          <w:tcPr>
            <w:tcW w:w="4140" w:type="dxa"/>
            <w:tcBorders>
              <w:top w:val="single" w:sz="4" w:space="0" w:color="auto"/>
              <w:left w:val="single" w:sz="4" w:space="0" w:color="auto"/>
              <w:bottom w:val="single" w:sz="4" w:space="0" w:color="auto"/>
              <w:right w:val="single" w:sz="4" w:space="0" w:color="auto"/>
            </w:tcBorders>
            <w:hideMark/>
          </w:tcPr>
          <w:p w14:paraId="45EF9C7E" w14:textId="77777777" w:rsidR="00BE7A5B" w:rsidRDefault="00BE7A5B">
            <w:pPr>
              <w:rPr>
                <w:sz w:val="20"/>
                <w:szCs w:val="20"/>
              </w:rPr>
            </w:pPr>
            <w:r>
              <w:rPr>
                <w:sz w:val="20"/>
                <w:szCs w:val="20"/>
              </w:rPr>
              <w:t>Type/Subtype</w:t>
            </w:r>
          </w:p>
        </w:tc>
        <w:tc>
          <w:tcPr>
            <w:tcW w:w="4045" w:type="dxa"/>
            <w:tcBorders>
              <w:top w:val="single" w:sz="4" w:space="0" w:color="auto"/>
              <w:left w:val="single" w:sz="4" w:space="0" w:color="auto"/>
              <w:bottom w:val="single" w:sz="4" w:space="0" w:color="auto"/>
              <w:right w:val="single" w:sz="4" w:space="0" w:color="auto"/>
            </w:tcBorders>
            <w:hideMark/>
          </w:tcPr>
          <w:p w14:paraId="14535FD3" w14:textId="77777777" w:rsidR="00BE7A5B" w:rsidRDefault="00BE7A5B">
            <w:pPr>
              <w:rPr>
                <w:b/>
                <w:sz w:val="20"/>
                <w:szCs w:val="20"/>
              </w:rPr>
            </w:pPr>
            <w:r>
              <w:rPr>
                <w:b/>
                <w:sz w:val="20"/>
                <w:szCs w:val="20"/>
              </w:rPr>
              <w:t>1000</w:t>
            </w:r>
          </w:p>
        </w:tc>
      </w:tr>
      <w:tr w:rsidR="00BE7A5B" w14:paraId="4ED4FF15"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7157CB83" w14:textId="77777777" w:rsidR="00BE7A5B" w:rsidRDefault="00BE7A5B">
            <w:pPr>
              <w:spacing w:after="240"/>
              <w:jc w:val="center"/>
              <w:rPr>
                <w:sz w:val="20"/>
                <w:szCs w:val="20"/>
              </w:rPr>
            </w:pPr>
            <w:r>
              <w:rPr>
                <w:sz w:val="20"/>
                <w:szCs w:val="20"/>
              </w:rPr>
              <w:t>{2000}</w:t>
            </w:r>
          </w:p>
        </w:tc>
        <w:tc>
          <w:tcPr>
            <w:tcW w:w="4140" w:type="dxa"/>
            <w:tcBorders>
              <w:top w:val="single" w:sz="4" w:space="0" w:color="auto"/>
              <w:left w:val="single" w:sz="4" w:space="0" w:color="auto"/>
              <w:bottom w:val="single" w:sz="4" w:space="0" w:color="auto"/>
              <w:right w:val="single" w:sz="4" w:space="0" w:color="auto"/>
            </w:tcBorders>
            <w:hideMark/>
          </w:tcPr>
          <w:p w14:paraId="50275494" w14:textId="77777777" w:rsidR="00BE7A5B" w:rsidRDefault="00BE7A5B">
            <w:pPr>
              <w:rPr>
                <w:sz w:val="20"/>
                <w:szCs w:val="20"/>
              </w:rPr>
            </w:pPr>
            <w:r>
              <w:rPr>
                <w:sz w:val="20"/>
                <w:szCs w:val="20"/>
              </w:rPr>
              <w:t>Amount</w:t>
            </w:r>
          </w:p>
        </w:tc>
        <w:tc>
          <w:tcPr>
            <w:tcW w:w="4045" w:type="dxa"/>
            <w:tcBorders>
              <w:top w:val="single" w:sz="4" w:space="0" w:color="auto"/>
              <w:left w:val="single" w:sz="4" w:space="0" w:color="auto"/>
              <w:bottom w:val="single" w:sz="4" w:space="0" w:color="auto"/>
              <w:right w:val="single" w:sz="4" w:space="0" w:color="auto"/>
            </w:tcBorders>
            <w:hideMark/>
          </w:tcPr>
          <w:p w14:paraId="0FE49280" w14:textId="77777777" w:rsidR="00BE7A5B" w:rsidRDefault="00BE7A5B">
            <w:pPr>
              <w:rPr>
                <w:i/>
                <w:sz w:val="20"/>
                <w:szCs w:val="20"/>
              </w:rPr>
            </w:pPr>
            <w:r>
              <w:rPr>
                <w:i/>
                <w:sz w:val="20"/>
                <w:szCs w:val="20"/>
              </w:rPr>
              <w:t>(enter payment amount)</w:t>
            </w:r>
          </w:p>
        </w:tc>
      </w:tr>
      <w:tr w:rsidR="00BE7A5B" w14:paraId="2D9112E5"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5C4AA683" w14:textId="77777777" w:rsidR="00BE7A5B" w:rsidRDefault="00BE7A5B">
            <w:pPr>
              <w:spacing w:after="240"/>
              <w:jc w:val="center"/>
              <w:rPr>
                <w:sz w:val="20"/>
                <w:szCs w:val="20"/>
              </w:rPr>
            </w:pPr>
            <w:r>
              <w:rPr>
                <w:sz w:val="20"/>
                <w:szCs w:val="20"/>
              </w:rPr>
              <w:t>{3400}</w:t>
            </w:r>
          </w:p>
        </w:tc>
        <w:tc>
          <w:tcPr>
            <w:tcW w:w="4140" w:type="dxa"/>
            <w:tcBorders>
              <w:top w:val="single" w:sz="4" w:space="0" w:color="auto"/>
              <w:left w:val="single" w:sz="4" w:space="0" w:color="auto"/>
              <w:bottom w:val="single" w:sz="4" w:space="0" w:color="auto"/>
              <w:right w:val="single" w:sz="4" w:space="0" w:color="auto"/>
            </w:tcBorders>
            <w:hideMark/>
          </w:tcPr>
          <w:p w14:paraId="36E2E048" w14:textId="77777777" w:rsidR="00BE7A5B" w:rsidRDefault="00BE7A5B">
            <w:pPr>
              <w:rPr>
                <w:sz w:val="20"/>
                <w:szCs w:val="20"/>
              </w:rPr>
            </w:pPr>
            <w:r>
              <w:rPr>
                <w:sz w:val="20"/>
                <w:szCs w:val="20"/>
              </w:rPr>
              <w:t>Receiver ABA routing number*</w:t>
            </w:r>
          </w:p>
        </w:tc>
        <w:tc>
          <w:tcPr>
            <w:tcW w:w="4045" w:type="dxa"/>
            <w:tcBorders>
              <w:top w:val="single" w:sz="4" w:space="0" w:color="auto"/>
              <w:left w:val="single" w:sz="4" w:space="0" w:color="auto"/>
              <w:bottom w:val="single" w:sz="4" w:space="0" w:color="auto"/>
              <w:right w:val="single" w:sz="4" w:space="0" w:color="auto"/>
            </w:tcBorders>
            <w:hideMark/>
          </w:tcPr>
          <w:p w14:paraId="38C30B30" w14:textId="77777777" w:rsidR="00BE7A5B" w:rsidRDefault="00BE7A5B">
            <w:pPr>
              <w:rPr>
                <w:b/>
                <w:sz w:val="20"/>
                <w:szCs w:val="20"/>
              </w:rPr>
            </w:pPr>
            <w:r>
              <w:rPr>
                <w:b/>
                <w:sz w:val="20"/>
                <w:szCs w:val="20"/>
              </w:rPr>
              <w:t>021030004</w:t>
            </w:r>
          </w:p>
        </w:tc>
      </w:tr>
      <w:tr w:rsidR="00BE7A5B" w14:paraId="3D810319"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318EA898" w14:textId="77777777" w:rsidR="00BE7A5B" w:rsidRDefault="00BE7A5B">
            <w:pPr>
              <w:spacing w:after="240"/>
              <w:jc w:val="center"/>
              <w:rPr>
                <w:sz w:val="20"/>
                <w:szCs w:val="20"/>
              </w:rPr>
            </w:pPr>
            <w:r>
              <w:rPr>
                <w:sz w:val="20"/>
                <w:szCs w:val="20"/>
              </w:rPr>
              <w:t>{3400}</w:t>
            </w:r>
          </w:p>
        </w:tc>
        <w:tc>
          <w:tcPr>
            <w:tcW w:w="4140" w:type="dxa"/>
            <w:tcBorders>
              <w:top w:val="single" w:sz="4" w:space="0" w:color="auto"/>
              <w:left w:val="single" w:sz="4" w:space="0" w:color="auto"/>
              <w:bottom w:val="single" w:sz="4" w:space="0" w:color="auto"/>
              <w:right w:val="single" w:sz="4" w:space="0" w:color="auto"/>
            </w:tcBorders>
            <w:hideMark/>
          </w:tcPr>
          <w:p w14:paraId="48E69B0C" w14:textId="77777777" w:rsidR="00BE7A5B" w:rsidRDefault="00BE7A5B">
            <w:pPr>
              <w:rPr>
                <w:sz w:val="20"/>
                <w:szCs w:val="20"/>
              </w:rPr>
            </w:pPr>
            <w:r>
              <w:rPr>
                <w:sz w:val="20"/>
                <w:szCs w:val="20"/>
              </w:rPr>
              <w:t>Receiver ABA short name</w:t>
            </w:r>
          </w:p>
        </w:tc>
        <w:tc>
          <w:tcPr>
            <w:tcW w:w="4045" w:type="dxa"/>
            <w:tcBorders>
              <w:top w:val="single" w:sz="4" w:space="0" w:color="auto"/>
              <w:left w:val="single" w:sz="4" w:space="0" w:color="auto"/>
              <w:bottom w:val="single" w:sz="4" w:space="0" w:color="auto"/>
              <w:right w:val="single" w:sz="4" w:space="0" w:color="auto"/>
            </w:tcBorders>
            <w:hideMark/>
          </w:tcPr>
          <w:p w14:paraId="51D6EE4E" w14:textId="77777777" w:rsidR="00BE7A5B" w:rsidRDefault="00BE7A5B">
            <w:pPr>
              <w:rPr>
                <w:b/>
                <w:sz w:val="20"/>
                <w:szCs w:val="20"/>
              </w:rPr>
            </w:pPr>
            <w:r>
              <w:rPr>
                <w:b/>
                <w:sz w:val="20"/>
                <w:szCs w:val="20"/>
              </w:rPr>
              <w:t>TREAS NYC</w:t>
            </w:r>
          </w:p>
        </w:tc>
      </w:tr>
      <w:tr w:rsidR="00BE7A5B" w14:paraId="14585DD4"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1960AAFA" w14:textId="77777777" w:rsidR="00BE7A5B" w:rsidRDefault="00BE7A5B">
            <w:pPr>
              <w:spacing w:after="240"/>
              <w:jc w:val="center"/>
              <w:rPr>
                <w:sz w:val="20"/>
                <w:szCs w:val="20"/>
              </w:rPr>
            </w:pPr>
            <w:r>
              <w:rPr>
                <w:sz w:val="20"/>
                <w:szCs w:val="20"/>
              </w:rPr>
              <w:t>{3600}</w:t>
            </w:r>
          </w:p>
        </w:tc>
        <w:tc>
          <w:tcPr>
            <w:tcW w:w="4140" w:type="dxa"/>
            <w:tcBorders>
              <w:top w:val="single" w:sz="4" w:space="0" w:color="auto"/>
              <w:left w:val="single" w:sz="4" w:space="0" w:color="auto"/>
              <w:bottom w:val="single" w:sz="4" w:space="0" w:color="auto"/>
              <w:right w:val="single" w:sz="4" w:space="0" w:color="auto"/>
            </w:tcBorders>
            <w:hideMark/>
          </w:tcPr>
          <w:p w14:paraId="2C8C0AF1" w14:textId="77777777" w:rsidR="00BE7A5B" w:rsidRDefault="00BE7A5B">
            <w:pPr>
              <w:rPr>
                <w:sz w:val="20"/>
                <w:szCs w:val="20"/>
              </w:rPr>
            </w:pPr>
            <w:r>
              <w:rPr>
                <w:sz w:val="20"/>
                <w:szCs w:val="20"/>
              </w:rPr>
              <w:t>Business Function Code</w:t>
            </w:r>
          </w:p>
        </w:tc>
        <w:tc>
          <w:tcPr>
            <w:tcW w:w="4045" w:type="dxa"/>
            <w:tcBorders>
              <w:top w:val="single" w:sz="4" w:space="0" w:color="auto"/>
              <w:left w:val="single" w:sz="4" w:space="0" w:color="auto"/>
              <w:bottom w:val="single" w:sz="4" w:space="0" w:color="auto"/>
              <w:right w:val="single" w:sz="4" w:space="0" w:color="auto"/>
            </w:tcBorders>
            <w:hideMark/>
          </w:tcPr>
          <w:p w14:paraId="138C9C64" w14:textId="77777777" w:rsidR="00BE7A5B" w:rsidRDefault="00BE7A5B">
            <w:pPr>
              <w:rPr>
                <w:sz w:val="20"/>
                <w:szCs w:val="20"/>
              </w:rPr>
            </w:pPr>
            <w:r>
              <w:rPr>
                <w:b/>
                <w:sz w:val="20"/>
                <w:szCs w:val="20"/>
              </w:rPr>
              <w:t>CTR</w:t>
            </w:r>
            <w:r>
              <w:rPr>
                <w:sz w:val="20"/>
                <w:szCs w:val="20"/>
              </w:rPr>
              <w:t xml:space="preserve"> (</w:t>
            </w:r>
            <w:r>
              <w:rPr>
                <w:i/>
                <w:sz w:val="20"/>
                <w:szCs w:val="20"/>
              </w:rPr>
              <w:t>or CTP</w:t>
            </w:r>
            <w:r>
              <w:rPr>
                <w:sz w:val="20"/>
                <w:szCs w:val="20"/>
              </w:rPr>
              <w:t>)</w:t>
            </w:r>
          </w:p>
        </w:tc>
      </w:tr>
      <w:tr w:rsidR="00BE7A5B" w14:paraId="6D614956"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1D145C05" w14:textId="77777777" w:rsidR="00BE7A5B" w:rsidRDefault="00BE7A5B">
            <w:pPr>
              <w:spacing w:after="240"/>
              <w:jc w:val="center"/>
              <w:rPr>
                <w:sz w:val="20"/>
                <w:szCs w:val="20"/>
              </w:rPr>
            </w:pPr>
            <w:r>
              <w:rPr>
                <w:sz w:val="20"/>
                <w:szCs w:val="20"/>
              </w:rPr>
              <w:t>{4200}</w:t>
            </w:r>
          </w:p>
        </w:tc>
        <w:tc>
          <w:tcPr>
            <w:tcW w:w="4140" w:type="dxa"/>
            <w:tcBorders>
              <w:top w:val="single" w:sz="4" w:space="0" w:color="auto"/>
              <w:left w:val="single" w:sz="4" w:space="0" w:color="auto"/>
              <w:bottom w:val="single" w:sz="4" w:space="0" w:color="auto"/>
              <w:right w:val="single" w:sz="4" w:space="0" w:color="auto"/>
            </w:tcBorders>
            <w:hideMark/>
          </w:tcPr>
          <w:p w14:paraId="311AE2AA" w14:textId="77777777" w:rsidR="00BE7A5B" w:rsidRDefault="00BE7A5B">
            <w:pPr>
              <w:rPr>
                <w:sz w:val="20"/>
                <w:szCs w:val="20"/>
              </w:rPr>
            </w:pPr>
            <w:r>
              <w:rPr>
                <w:sz w:val="20"/>
                <w:szCs w:val="20"/>
              </w:rPr>
              <w:t>Beneficiary Identifier (account number)</w:t>
            </w:r>
          </w:p>
        </w:tc>
        <w:tc>
          <w:tcPr>
            <w:tcW w:w="4045" w:type="dxa"/>
            <w:tcBorders>
              <w:top w:val="single" w:sz="4" w:space="0" w:color="auto"/>
              <w:left w:val="single" w:sz="4" w:space="0" w:color="auto"/>
              <w:bottom w:val="single" w:sz="4" w:space="0" w:color="auto"/>
              <w:right w:val="single" w:sz="4" w:space="0" w:color="auto"/>
            </w:tcBorders>
            <w:hideMark/>
          </w:tcPr>
          <w:p w14:paraId="6F766C18" w14:textId="77777777" w:rsidR="00BE7A5B" w:rsidRDefault="00BE7A5B">
            <w:pPr>
              <w:rPr>
                <w:i/>
                <w:sz w:val="20"/>
                <w:szCs w:val="20"/>
              </w:rPr>
            </w:pPr>
            <w:r>
              <w:rPr>
                <w:i/>
                <w:sz w:val="20"/>
                <w:szCs w:val="20"/>
              </w:rPr>
              <w:t xml:space="preserve">(enter </w:t>
            </w:r>
            <w:proofErr w:type="gramStart"/>
            <w:r>
              <w:rPr>
                <w:i/>
                <w:sz w:val="20"/>
                <w:szCs w:val="20"/>
              </w:rPr>
              <w:t>12 digit</w:t>
            </w:r>
            <w:proofErr w:type="gramEnd"/>
            <w:r>
              <w:rPr>
                <w:i/>
                <w:sz w:val="20"/>
                <w:szCs w:val="20"/>
              </w:rPr>
              <w:t xml:space="preserve"> gateway account #)</w:t>
            </w:r>
          </w:p>
          <w:p w14:paraId="2D1DDAD8" w14:textId="77777777" w:rsidR="00BE7A5B" w:rsidRDefault="00BE7A5B">
            <w:pPr>
              <w:rPr>
                <w:b/>
                <w:sz w:val="20"/>
                <w:szCs w:val="20"/>
              </w:rPr>
            </w:pPr>
            <w:r>
              <w:rPr>
                <w:b/>
                <w:sz w:val="20"/>
                <w:szCs w:val="20"/>
              </w:rPr>
              <w:t>875080031006</w:t>
            </w:r>
          </w:p>
        </w:tc>
      </w:tr>
      <w:tr w:rsidR="00BE7A5B" w14:paraId="122AC575"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48476346" w14:textId="77777777" w:rsidR="00BE7A5B" w:rsidRDefault="00BE7A5B">
            <w:pPr>
              <w:spacing w:after="240"/>
              <w:jc w:val="center"/>
              <w:rPr>
                <w:sz w:val="20"/>
                <w:szCs w:val="20"/>
              </w:rPr>
            </w:pPr>
            <w:r>
              <w:rPr>
                <w:sz w:val="20"/>
                <w:szCs w:val="20"/>
              </w:rPr>
              <w:t>{4200}</w:t>
            </w:r>
          </w:p>
        </w:tc>
        <w:tc>
          <w:tcPr>
            <w:tcW w:w="4140" w:type="dxa"/>
            <w:tcBorders>
              <w:top w:val="single" w:sz="4" w:space="0" w:color="auto"/>
              <w:left w:val="single" w:sz="4" w:space="0" w:color="auto"/>
              <w:bottom w:val="single" w:sz="4" w:space="0" w:color="auto"/>
              <w:right w:val="single" w:sz="4" w:space="0" w:color="auto"/>
            </w:tcBorders>
            <w:hideMark/>
          </w:tcPr>
          <w:p w14:paraId="75B85828" w14:textId="77777777" w:rsidR="00BE7A5B" w:rsidRDefault="00BE7A5B">
            <w:pPr>
              <w:rPr>
                <w:sz w:val="20"/>
                <w:szCs w:val="20"/>
              </w:rPr>
            </w:pPr>
            <w:r>
              <w:rPr>
                <w:sz w:val="20"/>
                <w:szCs w:val="20"/>
              </w:rPr>
              <w:t>Beneficiary Name</w:t>
            </w:r>
          </w:p>
        </w:tc>
        <w:tc>
          <w:tcPr>
            <w:tcW w:w="4045" w:type="dxa"/>
            <w:tcBorders>
              <w:top w:val="single" w:sz="4" w:space="0" w:color="auto"/>
              <w:left w:val="single" w:sz="4" w:space="0" w:color="auto"/>
              <w:bottom w:val="single" w:sz="4" w:space="0" w:color="auto"/>
              <w:right w:val="single" w:sz="4" w:space="0" w:color="auto"/>
            </w:tcBorders>
            <w:hideMark/>
          </w:tcPr>
          <w:p w14:paraId="3C1AEDAB" w14:textId="77777777" w:rsidR="00BE7A5B" w:rsidRDefault="00BE7A5B">
            <w:pPr>
              <w:rPr>
                <w:sz w:val="20"/>
                <w:szCs w:val="20"/>
              </w:rPr>
            </w:pPr>
            <w:r>
              <w:rPr>
                <w:i/>
                <w:sz w:val="20"/>
                <w:szCs w:val="20"/>
              </w:rPr>
              <w:t>(enter agency name associated with the Beneficiary Identifier)</w:t>
            </w:r>
          </w:p>
          <w:p w14:paraId="701C8BC4" w14:textId="77777777" w:rsidR="00BE7A5B" w:rsidRDefault="00BE7A5B">
            <w:pPr>
              <w:rPr>
                <w:b/>
                <w:sz w:val="20"/>
                <w:szCs w:val="20"/>
              </w:rPr>
            </w:pPr>
            <w:r>
              <w:rPr>
                <w:b/>
                <w:sz w:val="20"/>
                <w:szCs w:val="20"/>
              </w:rPr>
              <w:t>DHHS / NIH (75080031)</w:t>
            </w:r>
          </w:p>
        </w:tc>
      </w:tr>
      <w:tr w:rsidR="00BE7A5B" w14:paraId="1D4CE22E"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0DE5D8AC" w14:textId="77777777" w:rsidR="00BE7A5B" w:rsidRDefault="00BE7A5B">
            <w:pPr>
              <w:spacing w:after="240"/>
              <w:jc w:val="center"/>
              <w:rPr>
                <w:sz w:val="20"/>
                <w:szCs w:val="20"/>
              </w:rPr>
            </w:pPr>
            <w:r>
              <w:rPr>
                <w:sz w:val="20"/>
                <w:szCs w:val="20"/>
              </w:rPr>
              <w:t>{5000}</w:t>
            </w:r>
          </w:p>
        </w:tc>
        <w:tc>
          <w:tcPr>
            <w:tcW w:w="4140" w:type="dxa"/>
            <w:tcBorders>
              <w:top w:val="single" w:sz="4" w:space="0" w:color="auto"/>
              <w:left w:val="single" w:sz="4" w:space="0" w:color="auto"/>
              <w:bottom w:val="single" w:sz="4" w:space="0" w:color="auto"/>
              <w:right w:val="single" w:sz="4" w:space="0" w:color="auto"/>
            </w:tcBorders>
            <w:hideMark/>
          </w:tcPr>
          <w:p w14:paraId="45B5F6AE" w14:textId="77777777" w:rsidR="00BE7A5B" w:rsidRDefault="00BE7A5B">
            <w:pPr>
              <w:rPr>
                <w:sz w:val="20"/>
                <w:szCs w:val="20"/>
              </w:rPr>
            </w:pPr>
            <w:r>
              <w:rPr>
                <w:sz w:val="20"/>
                <w:szCs w:val="20"/>
              </w:rPr>
              <w:t>Originator</w:t>
            </w:r>
          </w:p>
        </w:tc>
        <w:tc>
          <w:tcPr>
            <w:tcW w:w="4045" w:type="dxa"/>
            <w:tcBorders>
              <w:top w:val="single" w:sz="4" w:space="0" w:color="auto"/>
              <w:left w:val="single" w:sz="4" w:space="0" w:color="auto"/>
              <w:bottom w:val="single" w:sz="4" w:space="0" w:color="auto"/>
              <w:right w:val="single" w:sz="4" w:space="0" w:color="auto"/>
            </w:tcBorders>
            <w:hideMark/>
          </w:tcPr>
          <w:p w14:paraId="70C553E4" w14:textId="77777777" w:rsidR="00BE7A5B" w:rsidRDefault="00BE7A5B">
            <w:pPr>
              <w:rPr>
                <w:i/>
                <w:sz w:val="20"/>
                <w:szCs w:val="20"/>
              </w:rPr>
            </w:pPr>
            <w:r>
              <w:rPr>
                <w:i/>
                <w:sz w:val="20"/>
                <w:szCs w:val="20"/>
              </w:rPr>
              <w:t>(enter the name of the originator of the payment)</w:t>
            </w:r>
          </w:p>
          <w:p w14:paraId="5D303422" w14:textId="77777777" w:rsidR="00BE7A5B" w:rsidRDefault="00BE7A5B">
            <w:pPr>
              <w:rPr>
                <w:b/>
                <w:sz w:val="20"/>
                <w:szCs w:val="20"/>
              </w:rPr>
            </w:pPr>
            <w:r>
              <w:rPr>
                <w:b/>
                <w:sz w:val="20"/>
                <w:szCs w:val="20"/>
              </w:rPr>
              <w:t>COMPANY NAME</w:t>
            </w:r>
          </w:p>
        </w:tc>
      </w:tr>
      <w:tr w:rsidR="00BE7A5B" w14:paraId="31020D66"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298DD2C8" w14:textId="77777777" w:rsidR="00BE7A5B" w:rsidRDefault="00BE7A5B">
            <w:pPr>
              <w:spacing w:after="240"/>
              <w:jc w:val="center"/>
              <w:rPr>
                <w:sz w:val="20"/>
                <w:szCs w:val="20"/>
              </w:rPr>
            </w:pPr>
            <w:r>
              <w:rPr>
                <w:sz w:val="20"/>
                <w:szCs w:val="20"/>
              </w:rPr>
              <w:t>{6000}</w:t>
            </w:r>
          </w:p>
        </w:tc>
        <w:tc>
          <w:tcPr>
            <w:tcW w:w="4140" w:type="dxa"/>
            <w:tcBorders>
              <w:top w:val="single" w:sz="4" w:space="0" w:color="auto"/>
              <w:left w:val="single" w:sz="4" w:space="0" w:color="auto"/>
              <w:bottom w:val="single" w:sz="4" w:space="0" w:color="auto"/>
              <w:right w:val="single" w:sz="4" w:space="0" w:color="auto"/>
            </w:tcBorders>
            <w:hideMark/>
          </w:tcPr>
          <w:p w14:paraId="40DC14DA" w14:textId="77777777" w:rsidR="00BE7A5B" w:rsidRDefault="00BE7A5B">
            <w:pPr>
              <w:rPr>
                <w:sz w:val="20"/>
                <w:szCs w:val="20"/>
              </w:rPr>
            </w:pPr>
            <w:r>
              <w:rPr>
                <w:sz w:val="20"/>
                <w:szCs w:val="20"/>
              </w:rPr>
              <w:t>Originator to Beneficiary Information – Line 1</w:t>
            </w:r>
          </w:p>
        </w:tc>
        <w:tc>
          <w:tcPr>
            <w:tcW w:w="4045" w:type="dxa"/>
            <w:tcBorders>
              <w:top w:val="single" w:sz="4" w:space="0" w:color="auto"/>
              <w:left w:val="single" w:sz="4" w:space="0" w:color="auto"/>
              <w:bottom w:val="single" w:sz="4" w:space="0" w:color="auto"/>
              <w:right w:val="single" w:sz="4" w:space="0" w:color="auto"/>
            </w:tcBorders>
            <w:hideMark/>
          </w:tcPr>
          <w:p w14:paraId="5618D300" w14:textId="77777777" w:rsidR="00BE7A5B" w:rsidRDefault="00BE7A5B">
            <w:pPr>
              <w:rPr>
                <w:i/>
                <w:sz w:val="20"/>
                <w:szCs w:val="20"/>
              </w:rPr>
            </w:pPr>
            <w:r>
              <w:rPr>
                <w:i/>
                <w:sz w:val="20"/>
                <w:szCs w:val="20"/>
              </w:rPr>
              <w:t>(enter information to identify the purpose of the payment)</w:t>
            </w:r>
          </w:p>
          <w:p w14:paraId="11637EBF" w14:textId="77777777" w:rsidR="00BE7A5B" w:rsidRDefault="00BE7A5B">
            <w:pPr>
              <w:rPr>
                <w:b/>
                <w:sz w:val="20"/>
                <w:szCs w:val="20"/>
              </w:rPr>
            </w:pPr>
            <w:r>
              <w:rPr>
                <w:b/>
                <w:sz w:val="20"/>
                <w:szCs w:val="20"/>
              </w:rPr>
              <w:t>ROYALTY</w:t>
            </w:r>
          </w:p>
        </w:tc>
      </w:tr>
      <w:tr w:rsidR="00BE7A5B" w14:paraId="04A748EC"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36C8DBBF" w14:textId="77777777" w:rsidR="00BE7A5B" w:rsidRDefault="00BE7A5B">
            <w:pPr>
              <w:spacing w:after="240"/>
              <w:jc w:val="center"/>
              <w:rPr>
                <w:sz w:val="20"/>
                <w:szCs w:val="20"/>
              </w:rPr>
            </w:pPr>
            <w:r>
              <w:rPr>
                <w:sz w:val="20"/>
                <w:szCs w:val="20"/>
              </w:rPr>
              <w:t>{6000}</w:t>
            </w:r>
          </w:p>
        </w:tc>
        <w:tc>
          <w:tcPr>
            <w:tcW w:w="4140" w:type="dxa"/>
            <w:tcBorders>
              <w:top w:val="single" w:sz="4" w:space="0" w:color="auto"/>
              <w:left w:val="single" w:sz="4" w:space="0" w:color="auto"/>
              <w:bottom w:val="single" w:sz="4" w:space="0" w:color="auto"/>
              <w:right w:val="single" w:sz="4" w:space="0" w:color="auto"/>
            </w:tcBorders>
            <w:hideMark/>
          </w:tcPr>
          <w:p w14:paraId="52A2F21F" w14:textId="77777777" w:rsidR="00BE7A5B" w:rsidRDefault="00BE7A5B">
            <w:pPr>
              <w:rPr>
                <w:sz w:val="20"/>
                <w:szCs w:val="20"/>
              </w:rPr>
            </w:pPr>
            <w:r>
              <w:rPr>
                <w:sz w:val="20"/>
                <w:szCs w:val="20"/>
              </w:rPr>
              <w:t>Originator to Beneficiary Information – Line 2</w:t>
            </w:r>
          </w:p>
        </w:tc>
        <w:tc>
          <w:tcPr>
            <w:tcW w:w="4045" w:type="dxa"/>
            <w:tcBorders>
              <w:top w:val="single" w:sz="4" w:space="0" w:color="auto"/>
              <w:left w:val="single" w:sz="4" w:space="0" w:color="auto"/>
              <w:bottom w:val="single" w:sz="4" w:space="0" w:color="auto"/>
              <w:right w:val="single" w:sz="4" w:space="0" w:color="auto"/>
            </w:tcBorders>
            <w:hideMark/>
          </w:tcPr>
          <w:p w14:paraId="502F70E5" w14:textId="77777777" w:rsidR="00BE7A5B" w:rsidRDefault="00BE7A5B">
            <w:pPr>
              <w:rPr>
                <w:i/>
                <w:sz w:val="20"/>
                <w:szCs w:val="20"/>
              </w:rPr>
            </w:pPr>
            <w:r>
              <w:rPr>
                <w:i/>
                <w:sz w:val="20"/>
                <w:szCs w:val="20"/>
              </w:rPr>
              <w:t>(enter information to identify the purpose of the payment)</w:t>
            </w:r>
          </w:p>
          <w:p w14:paraId="470ACEAB" w14:textId="77777777" w:rsidR="00BE7A5B" w:rsidRDefault="00BE7A5B">
            <w:pPr>
              <w:rPr>
                <w:b/>
                <w:sz w:val="20"/>
                <w:szCs w:val="20"/>
              </w:rPr>
            </w:pPr>
            <w:r>
              <w:rPr>
                <w:b/>
                <w:sz w:val="20"/>
                <w:szCs w:val="20"/>
              </w:rPr>
              <w:t>LICENSE NUMBER</w:t>
            </w:r>
          </w:p>
        </w:tc>
      </w:tr>
      <w:tr w:rsidR="00BE7A5B" w14:paraId="44A6D248"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20A52E33" w14:textId="77777777" w:rsidR="00BE7A5B" w:rsidRDefault="00BE7A5B">
            <w:pPr>
              <w:spacing w:after="240"/>
              <w:jc w:val="center"/>
              <w:rPr>
                <w:sz w:val="20"/>
                <w:szCs w:val="20"/>
              </w:rPr>
            </w:pPr>
            <w:r>
              <w:rPr>
                <w:sz w:val="20"/>
                <w:szCs w:val="20"/>
              </w:rPr>
              <w:t>{6000}</w:t>
            </w:r>
          </w:p>
        </w:tc>
        <w:tc>
          <w:tcPr>
            <w:tcW w:w="4140" w:type="dxa"/>
            <w:tcBorders>
              <w:top w:val="single" w:sz="4" w:space="0" w:color="auto"/>
              <w:left w:val="single" w:sz="4" w:space="0" w:color="auto"/>
              <w:bottom w:val="single" w:sz="4" w:space="0" w:color="auto"/>
              <w:right w:val="single" w:sz="4" w:space="0" w:color="auto"/>
            </w:tcBorders>
            <w:hideMark/>
          </w:tcPr>
          <w:p w14:paraId="7BEA114C" w14:textId="77777777" w:rsidR="00BE7A5B" w:rsidRDefault="00BE7A5B">
            <w:pPr>
              <w:rPr>
                <w:sz w:val="20"/>
                <w:szCs w:val="20"/>
              </w:rPr>
            </w:pPr>
            <w:r>
              <w:rPr>
                <w:sz w:val="20"/>
                <w:szCs w:val="20"/>
              </w:rPr>
              <w:t>Originator to Beneficiary Information – Line 3</w:t>
            </w:r>
          </w:p>
        </w:tc>
        <w:tc>
          <w:tcPr>
            <w:tcW w:w="4045" w:type="dxa"/>
            <w:tcBorders>
              <w:top w:val="single" w:sz="4" w:space="0" w:color="auto"/>
              <w:left w:val="single" w:sz="4" w:space="0" w:color="auto"/>
              <w:bottom w:val="single" w:sz="4" w:space="0" w:color="auto"/>
              <w:right w:val="single" w:sz="4" w:space="0" w:color="auto"/>
            </w:tcBorders>
            <w:hideMark/>
          </w:tcPr>
          <w:p w14:paraId="5DA68858" w14:textId="77777777" w:rsidR="00BE7A5B" w:rsidRDefault="00BE7A5B">
            <w:pPr>
              <w:rPr>
                <w:i/>
                <w:sz w:val="20"/>
                <w:szCs w:val="20"/>
              </w:rPr>
            </w:pPr>
            <w:r>
              <w:rPr>
                <w:i/>
                <w:sz w:val="20"/>
                <w:szCs w:val="20"/>
              </w:rPr>
              <w:t>(enter information to identify the purpose of the payment)</w:t>
            </w:r>
          </w:p>
          <w:p w14:paraId="58C97BFF" w14:textId="77777777" w:rsidR="00BE7A5B" w:rsidRDefault="00BE7A5B">
            <w:pPr>
              <w:rPr>
                <w:b/>
                <w:sz w:val="20"/>
                <w:szCs w:val="20"/>
              </w:rPr>
            </w:pPr>
            <w:r>
              <w:rPr>
                <w:b/>
                <w:i/>
                <w:sz w:val="20"/>
                <w:szCs w:val="20"/>
              </w:rPr>
              <w:t>INVOICE NUMBER</w:t>
            </w:r>
          </w:p>
        </w:tc>
      </w:tr>
      <w:tr w:rsidR="00BE7A5B" w14:paraId="5F73E0EA"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4EDDFC88" w14:textId="77777777" w:rsidR="00BE7A5B" w:rsidRDefault="00BE7A5B">
            <w:pPr>
              <w:spacing w:after="240"/>
              <w:jc w:val="center"/>
              <w:rPr>
                <w:sz w:val="20"/>
                <w:szCs w:val="20"/>
              </w:rPr>
            </w:pPr>
            <w:r>
              <w:rPr>
                <w:sz w:val="20"/>
                <w:szCs w:val="20"/>
              </w:rPr>
              <w:t>{6000}</w:t>
            </w:r>
          </w:p>
        </w:tc>
        <w:tc>
          <w:tcPr>
            <w:tcW w:w="4140" w:type="dxa"/>
            <w:tcBorders>
              <w:top w:val="single" w:sz="4" w:space="0" w:color="auto"/>
              <w:left w:val="single" w:sz="4" w:space="0" w:color="auto"/>
              <w:bottom w:val="single" w:sz="4" w:space="0" w:color="auto"/>
              <w:right w:val="single" w:sz="4" w:space="0" w:color="auto"/>
            </w:tcBorders>
            <w:hideMark/>
          </w:tcPr>
          <w:p w14:paraId="352DC838" w14:textId="77777777" w:rsidR="00BE7A5B" w:rsidRDefault="00BE7A5B">
            <w:pPr>
              <w:rPr>
                <w:sz w:val="20"/>
                <w:szCs w:val="20"/>
              </w:rPr>
            </w:pPr>
            <w:r>
              <w:rPr>
                <w:sz w:val="20"/>
                <w:szCs w:val="20"/>
              </w:rPr>
              <w:t>Originator to Beneficiary Information – Line 4</w:t>
            </w:r>
          </w:p>
        </w:tc>
        <w:tc>
          <w:tcPr>
            <w:tcW w:w="4045" w:type="dxa"/>
            <w:tcBorders>
              <w:top w:val="single" w:sz="4" w:space="0" w:color="auto"/>
              <w:left w:val="single" w:sz="4" w:space="0" w:color="auto"/>
              <w:bottom w:val="single" w:sz="4" w:space="0" w:color="auto"/>
              <w:right w:val="single" w:sz="4" w:space="0" w:color="auto"/>
            </w:tcBorders>
            <w:hideMark/>
          </w:tcPr>
          <w:p w14:paraId="3866EBE1" w14:textId="77777777" w:rsidR="00BE7A5B" w:rsidRDefault="00BE7A5B">
            <w:pPr>
              <w:rPr>
                <w:sz w:val="20"/>
                <w:szCs w:val="20"/>
              </w:rPr>
            </w:pPr>
            <w:r>
              <w:rPr>
                <w:i/>
                <w:sz w:val="20"/>
                <w:szCs w:val="20"/>
              </w:rPr>
              <w:t>(enter information to identify the purpose of the payment)</w:t>
            </w:r>
          </w:p>
        </w:tc>
      </w:tr>
      <w:tr w:rsidR="00BE7A5B" w14:paraId="3B6941EE" w14:textId="77777777" w:rsidTr="00475CB6">
        <w:tc>
          <w:tcPr>
            <w:tcW w:w="9350" w:type="dxa"/>
            <w:gridSpan w:val="3"/>
            <w:tcBorders>
              <w:top w:val="single" w:sz="4" w:space="0" w:color="auto"/>
              <w:left w:val="single" w:sz="4" w:space="0" w:color="auto"/>
              <w:bottom w:val="single" w:sz="4" w:space="0" w:color="auto"/>
              <w:right w:val="single" w:sz="4" w:space="0" w:color="auto"/>
            </w:tcBorders>
            <w:hideMark/>
          </w:tcPr>
          <w:p w14:paraId="7B886A77" w14:textId="77777777" w:rsidR="00BE7A5B" w:rsidRDefault="00BE7A5B">
            <w:pPr>
              <w:spacing w:after="240"/>
              <w:rPr>
                <w:sz w:val="20"/>
                <w:szCs w:val="20"/>
              </w:rPr>
            </w:pPr>
            <w:r>
              <w:rPr>
                <w:sz w:val="20"/>
                <w:szCs w:val="20"/>
              </w:rPr>
              <w:t xml:space="preserve">Notes: </w:t>
            </w:r>
            <w:r>
              <w:rPr>
                <w:sz w:val="20"/>
                <w:szCs w:val="20"/>
              </w:rPr>
              <w:br/>
              <w:t xml:space="preserve">*The financial institution address for Treasury’s routing number is </w:t>
            </w:r>
            <w:r>
              <w:rPr>
                <w:sz w:val="20"/>
                <w:szCs w:val="20"/>
                <w:u w:val="single"/>
              </w:rPr>
              <w:t>33 Liberty Street, New York, NY 10045</w:t>
            </w:r>
            <w:r>
              <w:rPr>
                <w:sz w:val="20"/>
                <w:szCs w:val="20"/>
              </w:rPr>
              <w:t>.</w:t>
            </w:r>
          </w:p>
        </w:tc>
      </w:tr>
    </w:tbl>
    <w:p w14:paraId="5013141D" w14:textId="77777777" w:rsidR="00BE7A5B" w:rsidRDefault="00BE7A5B" w:rsidP="00475CB6"/>
    <w:p w14:paraId="06F76F69" w14:textId="77777777" w:rsidR="00BE7A5B" w:rsidRDefault="00BE7A5B" w:rsidP="00475CB6">
      <w:pPr>
        <w:tabs>
          <w:tab w:val="left" w:pos="3600"/>
          <w:tab w:val="left" w:pos="5400"/>
        </w:tabs>
      </w:pPr>
      <w:r>
        <w:rPr>
          <w:b/>
          <w:u w:val="single"/>
        </w:rPr>
        <w:t>Agency Contacts</w:t>
      </w:r>
      <w:r>
        <w:t xml:space="preserve">:   Office of Technology Transfer (OTT)    (301) 496-7057    </w:t>
      </w:r>
      <w:hyperlink r:id="rId28" w:history="1">
        <w:r>
          <w:rPr>
            <w:rStyle w:val="Hyperlink"/>
          </w:rPr>
          <w:t>OTT-Royalties@mail.nih.gov</w:t>
        </w:r>
      </w:hyperlink>
    </w:p>
    <w:p w14:paraId="5D79BE93" w14:textId="77777777" w:rsidR="00BE7A5B" w:rsidRDefault="00BE7A5B" w:rsidP="00475CB6"/>
    <w:p w14:paraId="2290E66B" w14:textId="77777777" w:rsidR="00BE7A5B" w:rsidRDefault="00BE7A5B" w:rsidP="00475CB6">
      <w:r>
        <w:t xml:space="preserve">Drawn on a </w:t>
      </w:r>
      <w:r>
        <w:rPr>
          <w:b/>
        </w:rPr>
        <w:t>foreign bank account</w:t>
      </w:r>
      <w:r>
        <w:t xml:space="preserve"> via FEDWIRE: </w:t>
      </w:r>
    </w:p>
    <w:p w14:paraId="2BE4689F" w14:textId="77777777" w:rsidR="00BE7A5B" w:rsidRDefault="00BE7A5B" w:rsidP="00475CB6"/>
    <w:p w14:paraId="748E55C1" w14:textId="77777777" w:rsidR="00BE7A5B" w:rsidRDefault="00BE7A5B" w:rsidP="00475CB6">
      <w:r>
        <w:t xml:space="preserve">The following instructions pertain to the Fedwire Network. Deposits made in </w:t>
      </w:r>
      <w:r>
        <w:rPr>
          <w:u w:val="single"/>
        </w:rPr>
        <w:t>US Dollars (USD)</w:t>
      </w:r>
      <w:r>
        <w:t>.</w:t>
      </w:r>
    </w:p>
    <w:p w14:paraId="137CBD95" w14:textId="77777777" w:rsidR="00BE7A5B" w:rsidRDefault="00BE7A5B" w:rsidP="00475CB6"/>
    <w:p w14:paraId="3381C955" w14:textId="77777777" w:rsidR="00BE7A5B" w:rsidRDefault="00BE7A5B" w:rsidP="00475CB6">
      <w:r>
        <w:t>Should your remitter utilize a correspondent US domestic bank in transferring electronic funds, the following Fedwire instructions are applicable.</w:t>
      </w:r>
    </w:p>
    <w:p w14:paraId="1515914E" w14:textId="77777777" w:rsidR="00BE7A5B" w:rsidRDefault="00BE7A5B" w:rsidP="00475CB6"/>
    <w:tbl>
      <w:tblPr>
        <w:tblStyle w:val="TableGrid"/>
        <w:tblW w:w="0" w:type="auto"/>
        <w:tblLook w:val="04A0" w:firstRow="1" w:lastRow="0" w:firstColumn="1" w:lastColumn="0" w:noHBand="0" w:noVBand="1"/>
        <w:tblDescription w:val="Table provides instructions for submitting deposits drawn on a foreign bank account via the Fedwire Network.  Contact the OTT Royalty Administration group at OTT-Royalties@mail.nih.gov if you have any questions."/>
      </w:tblPr>
      <w:tblGrid>
        <w:gridCol w:w="1165"/>
        <w:gridCol w:w="4140"/>
        <w:gridCol w:w="4045"/>
      </w:tblGrid>
      <w:tr w:rsidR="00BE7A5B" w14:paraId="0250475F" w14:textId="77777777" w:rsidTr="00475CB6">
        <w:trPr>
          <w:cantSplit/>
          <w:tblHeader/>
        </w:trPr>
        <w:tc>
          <w:tcPr>
            <w:tcW w:w="1165" w:type="dxa"/>
            <w:tcBorders>
              <w:top w:val="single" w:sz="4" w:space="0" w:color="auto"/>
              <w:left w:val="single" w:sz="4" w:space="0" w:color="auto"/>
              <w:bottom w:val="single" w:sz="4" w:space="0" w:color="auto"/>
              <w:right w:val="single" w:sz="4" w:space="0" w:color="auto"/>
            </w:tcBorders>
            <w:vAlign w:val="center"/>
            <w:hideMark/>
          </w:tcPr>
          <w:p w14:paraId="7774257D" w14:textId="77777777" w:rsidR="00BE7A5B" w:rsidRDefault="00BE7A5B">
            <w:pPr>
              <w:spacing w:after="240"/>
              <w:jc w:val="center"/>
              <w:rPr>
                <w:sz w:val="20"/>
                <w:szCs w:val="20"/>
              </w:rPr>
            </w:pPr>
            <w:r>
              <w:rPr>
                <w:sz w:val="20"/>
                <w:szCs w:val="20"/>
              </w:rPr>
              <w:t>Fedwire Field Tag</w:t>
            </w:r>
          </w:p>
        </w:tc>
        <w:tc>
          <w:tcPr>
            <w:tcW w:w="4140" w:type="dxa"/>
            <w:tcBorders>
              <w:top w:val="single" w:sz="4" w:space="0" w:color="auto"/>
              <w:left w:val="single" w:sz="4" w:space="0" w:color="auto"/>
              <w:bottom w:val="single" w:sz="4" w:space="0" w:color="auto"/>
              <w:right w:val="single" w:sz="4" w:space="0" w:color="auto"/>
            </w:tcBorders>
            <w:vAlign w:val="center"/>
            <w:hideMark/>
          </w:tcPr>
          <w:p w14:paraId="3DCF298A" w14:textId="77777777" w:rsidR="00BE7A5B" w:rsidRDefault="00BE7A5B">
            <w:pPr>
              <w:spacing w:after="240"/>
              <w:jc w:val="center"/>
              <w:rPr>
                <w:sz w:val="20"/>
                <w:szCs w:val="20"/>
              </w:rPr>
            </w:pPr>
            <w:r>
              <w:rPr>
                <w:sz w:val="20"/>
                <w:szCs w:val="20"/>
              </w:rPr>
              <w:t>Fedwire Field Name</w:t>
            </w:r>
          </w:p>
        </w:tc>
        <w:tc>
          <w:tcPr>
            <w:tcW w:w="4045" w:type="dxa"/>
            <w:tcBorders>
              <w:top w:val="single" w:sz="4" w:space="0" w:color="auto"/>
              <w:left w:val="single" w:sz="4" w:space="0" w:color="auto"/>
              <w:bottom w:val="single" w:sz="4" w:space="0" w:color="auto"/>
              <w:right w:val="single" w:sz="4" w:space="0" w:color="auto"/>
            </w:tcBorders>
            <w:vAlign w:val="center"/>
            <w:hideMark/>
          </w:tcPr>
          <w:p w14:paraId="4F797A29" w14:textId="77777777" w:rsidR="00BE7A5B" w:rsidRDefault="00BE7A5B">
            <w:pPr>
              <w:spacing w:after="240"/>
              <w:jc w:val="center"/>
              <w:rPr>
                <w:sz w:val="20"/>
                <w:szCs w:val="20"/>
              </w:rPr>
            </w:pPr>
            <w:r>
              <w:rPr>
                <w:sz w:val="20"/>
                <w:szCs w:val="20"/>
              </w:rPr>
              <w:t>Required Information</w:t>
            </w:r>
          </w:p>
        </w:tc>
      </w:tr>
      <w:tr w:rsidR="00BE7A5B" w14:paraId="02610828" w14:textId="77777777" w:rsidTr="00475CB6">
        <w:tc>
          <w:tcPr>
            <w:tcW w:w="9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EBE22" w14:textId="77777777" w:rsidR="00BE7A5B" w:rsidRDefault="00BE7A5B">
            <w:pPr>
              <w:spacing w:after="240"/>
              <w:rPr>
                <w:sz w:val="20"/>
                <w:szCs w:val="20"/>
              </w:rPr>
            </w:pPr>
          </w:p>
        </w:tc>
      </w:tr>
      <w:tr w:rsidR="00BE7A5B" w14:paraId="47C47DD8"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5F829CED" w14:textId="77777777" w:rsidR="00BE7A5B" w:rsidRDefault="00BE7A5B">
            <w:pPr>
              <w:spacing w:after="240"/>
              <w:jc w:val="center"/>
              <w:rPr>
                <w:sz w:val="20"/>
                <w:szCs w:val="20"/>
              </w:rPr>
            </w:pPr>
            <w:r>
              <w:rPr>
                <w:sz w:val="20"/>
                <w:szCs w:val="20"/>
              </w:rPr>
              <w:t>{1510}</w:t>
            </w:r>
          </w:p>
        </w:tc>
        <w:tc>
          <w:tcPr>
            <w:tcW w:w="4140" w:type="dxa"/>
            <w:tcBorders>
              <w:top w:val="single" w:sz="4" w:space="0" w:color="auto"/>
              <w:left w:val="single" w:sz="4" w:space="0" w:color="auto"/>
              <w:bottom w:val="single" w:sz="4" w:space="0" w:color="auto"/>
              <w:right w:val="single" w:sz="4" w:space="0" w:color="auto"/>
            </w:tcBorders>
            <w:hideMark/>
          </w:tcPr>
          <w:p w14:paraId="30CB2B5C" w14:textId="77777777" w:rsidR="00BE7A5B" w:rsidRDefault="00BE7A5B">
            <w:pPr>
              <w:rPr>
                <w:sz w:val="20"/>
                <w:szCs w:val="20"/>
              </w:rPr>
            </w:pPr>
            <w:r>
              <w:rPr>
                <w:sz w:val="20"/>
                <w:szCs w:val="20"/>
              </w:rPr>
              <w:t>Type/Subtype</w:t>
            </w:r>
          </w:p>
        </w:tc>
        <w:tc>
          <w:tcPr>
            <w:tcW w:w="4045" w:type="dxa"/>
            <w:tcBorders>
              <w:top w:val="single" w:sz="4" w:space="0" w:color="auto"/>
              <w:left w:val="single" w:sz="4" w:space="0" w:color="auto"/>
              <w:bottom w:val="single" w:sz="4" w:space="0" w:color="auto"/>
              <w:right w:val="single" w:sz="4" w:space="0" w:color="auto"/>
            </w:tcBorders>
            <w:hideMark/>
          </w:tcPr>
          <w:p w14:paraId="7D4B2B2E" w14:textId="77777777" w:rsidR="00BE7A5B" w:rsidRDefault="00BE7A5B">
            <w:pPr>
              <w:rPr>
                <w:b/>
                <w:sz w:val="20"/>
                <w:szCs w:val="20"/>
              </w:rPr>
            </w:pPr>
            <w:r>
              <w:rPr>
                <w:b/>
                <w:sz w:val="20"/>
                <w:szCs w:val="20"/>
              </w:rPr>
              <w:t>1000</w:t>
            </w:r>
          </w:p>
        </w:tc>
      </w:tr>
      <w:tr w:rsidR="00BE7A5B" w14:paraId="18CBA242"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581CA44E" w14:textId="77777777" w:rsidR="00BE7A5B" w:rsidRDefault="00BE7A5B">
            <w:pPr>
              <w:spacing w:after="240"/>
              <w:jc w:val="center"/>
              <w:rPr>
                <w:sz w:val="20"/>
                <w:szCs w:val="20"/>
              </w:rPr>
            </w:pPr>
            <w:r>
              <w:rPr>
                <w:sz w:val="20"/>
                <w:szCs w:val="20"/>
              </w:rPr>
              <w:t>{2000}</w:t>
            </w:r>
          </w:p>
        </w:tc>
        <w:tc>
          <w:tcPr>
            <w:tcW w:w="4140" w:type="dxa"/>
            <w:tcBorders>
              <w:top w:val="single" w:sz="4" w:space="0" w:color="auto"/>
              <w:left w:val="single" w:sz="4" w:space="0" w:color="auto"/>
              <w:bottom w:val="single" w:sz="4" w:space="0" w:color="auto"/>
              <w:right w:val="single" w:sz="4" w:space="0" w:color="auto"/>
            </w:tcBorders>
            <w:hideMark/>
          </w:tcPr>
          <w:p w14:paraId="5DD82032" w14:textId="77777777" w:rsidR="00BE7A5B" w:rsidRDefault="00BE7A5B">
            <w:pPr>
              <w:rPr>
                <w:sz w:val="20"/>
                <w:szCs w:val="20"/>
              </w:rPr>
            </w:pPr>
            <w:r>
              <w:rPr>
                <w:sz w:val="20"/>
                <w:szCs w:val="20"/>
              </w:rPr>
              <w:t>Amount</w:t>
            </w:r>
          </w:p>
        </w:tc>
        <w:tc>
          <w:tcPr>
            <w:tcW w:w="4045" w:type="dxa"/>
            <w:tcBorders>
              <w:top w:val="single" w:sz="4" w:space="0" w:color="auto"/>
              <w:left w:val="single" w:sz="4" w:space="0" w:color="auto"/>
              <w:bottom w:val="single" w:sz="4" w:space="0" w:color="auto"/>
              <w:right w:val="single" w:sz="4" w:space="0" w:color="auto"/>
            </w:tcBorders>
            <w:hideMark/>
          </w:tcPr>
          <w:p w14:paraId="47581287" w14:textId="77777777" w:rsidR="00BE7A5B" w:rsidRDefault="00BE7A5B">
            <w:pPr>
              <w:rPr>
                <w:i/>
                <w:sz w:val="20"/>
                <w:szCs w:val="20"/>
              </w:rPr>
            </w:pPr>
            <w:r>
              <w:rPr>
                <w:i/>
                <w:sz w:val="20"/>
                <w:szCs w:val="20"/>
              </w:rPr>
              <w:t>(enter payment amount)</w:t>
            </w:r>
          </w:p>
        </w:tc>
      </w:tr>
      <w:tr w:rsidR="00BE7A5B" w14:paraId="7303CEE2"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571C6FF4" w14:textId="77777777" w:rsidR="00BE7A5B" w:rsidRDefault="00BE7A5B">
            <w:pPr>
              <w:spacing w:after="240"/>
              <w:jc w:val="center"/>
              <w:rPr>
                <w:sz w:val="20"/>
                <w:szCs w:val="20"/>
              </w:rPr>
            </w:pPr>
            <w:r>
              <w:rPr>
                <w:sz w:val="20"/>
                <w:szCs w:val="20"/>
              </w:rPr>
              <w:t>{3100}</w:t>
            </w:r>
          </w:p>
        </w:tc>
        <w:tc>
          <w:tcPr>
            <w:tcW w:w="4140" w:type="dxa"/>
            <w:tcBorders>
              <w:top w:val="single" w:sz="4" w:space="0" w:color="auto"/>
              <w:left w:val="single" w:sz="4" w:space="0" w:color="auto"/>
              <w:bottom w:val="single" w:sz="4" w:space="0" w:color="auto"/>
              <w:right w:val="single" w:sz="4" w:space="0" w:color="auto"/>
            </w:tcBorders>
            <w:hideMark/>
          </w:tcPr>
          <w:p w14:paraId="78FFC365" w14:textId="77777777" w:rsidR="00BE7A5B" w:rsidRDefault="00BE7A5B">
            <w:pPr>
              <w:rPr>
                <w:sz w:val="20"/>
                <w:szCs w:val="20"/>
              </w:rPr>
            </w:pPr>
            <w:r>
              <w:rPr>
                <w:sz w:val="20"/>
                <w:szCs w:val="20"/>
              </w:rPr>
              <w:t>Sender Bank ABA routing number</w:t>
            </w:r>
          </w:p>
        </w:tc>
        <w:tc>
          <w:tcPr>
            <w:tcW w:w="4045" w:type="dxa"/>
            <w:tcBorders>
              <w:top w:val="single" w:sz="4" w:space="0" w:color="auto"/>
              <w:left w:val="single" w:sz="4" w:space="0" w:color="auto"/>
              <w:bottom w:val="single" w:sz="4" w:space="0" w:color="auto"/>
              <w:right w:val="single" w:sz="4" w:space="0" w:color="auto"/>
            </w:tcBorders>
            <w:hideMark/>
          </w:tcPr>
          <w:p w14:paraId="06F7FF24" w14:textId="77777777" w:rsidR="00BE7A5B" w:rsidRDefault="00BE7A5B">
            <w:pPr>
              <w:rPr>
                <w:i/>
                <w:sz w:val="20"/>
                <w:szCs w:val="20"/>
              </w:rPr>
            </w:pPr>
            <w:r>
              <w:rPr>
                <w:i/>
                <w:sz w:val="20"/>
                <w:szCs w:val="20"/>
              </w:rPr>
              <w:t>(enter the US correspondent bank’s ABA routing number)</w:t>
            </w:r>
          </w:p>
        </w:tc>
      </w:tr>
      <w:tr w:rsidR="00BE7A5B" w14:paraId="3DB27CB3"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7424A6E4" w14:textId="77777777" w:rsidR="00BE7A5B" w:rsidRDefault="00BE7A5B">
            <w:pPr>
              <w:spacing w:after="240"/>
              <w:jc w:val="center"/>
              <w:rPr>
                <w:sz w:val="20"/>
                <w:szCs w:val="20"/>
              </w:rPr>
            </w:pPr>
            <w:r>
              <w:rPr>
                <w:sz w:val="20"/>
                <w:szCs w:val="20"/>
              </w:rPr>
              <w:t>{3400}</w:t>
            </w:r>
          </w:p>
        </w:tc>
        <w:tc>
          <w:tcPr>
            <w:tcW w:w="4140" w:type="dxa"/>
            <w:tcBorders>
              <w:top w:val="single" w:sz="4" w:space="0" w:color="auto"/>
              <w:left w:val="single" w:sz="4" w:space="0" w:color="auto"/>
              <w:bottom w:val="single" w:sz="4" w:space="0" w:color="auto"/>
              <w:right w:val="single" w:sz="4" w:space="0" w:color="auto"/>
            </w:tcBorders>
            <w:hideMark/>
          </w:tcPr>
          <w:p w14:paraId="3D235D28" w14:textId="77777777" w:rsidR="00BE7A5B" w:rsidRDefault="00BE7A5B">
            <w:pPr>
              <w:rPr>
                <w:sz w:val="20"/>
                <w:szCs w:val="20"/>
              </w:rPr>
            </w:pPr>
            <w:r>
              <w:rPr>
                <w:sz w:val="20"/>
                <w:szCs w:val="20"/>
              </w:rPr>
              <w:t>Receiver ABA routing number*</w:t>
            </w:r>
          </w:p>
        </w:tc>
        <w:tc>
          <w:tcPr>
            <w:tcW w:w="4045" w:type="dxa"/>
            <w:tcBorders>
              <w:top w:val="single" w:sz="4" w:space="0" w:color="auto"/>
              <w:left w:val="single" w:sz="4" w:space="0" w:color="auto"/>
              <w:bottom w:val="single" w:sz="4" w:space="0" w:color="auto"/>
              <w:right w:val="single" w:sz="4" w:space="0" w:color="auto"/>
            </w:tcBorders>
            <w:hideMark/>
          </w:tcPr>
          <w:p w14:paraId="10B9A9C4" w14:textId="77777777" w:rsidR="00BE7A5B" w:rsidRDefault="00BE7A5B">
            <w:pPr>
              <w:rPr>
                <w:b/>
                <w:sz w:val="20"/>
                <w:szCs w:val="20"/>
              </w:rPr>
            </w:pPr>
            <w:r>
              <w:rPr>
                <w:b/>
                <w:sz w:val="20"/>
                <w:szCs w:val="20"/>
              </w:rPr>
              <w:t>021030004</w:t>
            </w:r>
          </w:p>
        </w:tc>
      </w:tr>
      <w:tr w:rsidR="00BE7A5B" w14:paraId="2607637A"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0366B739" w14:textId="77777777" w:rsidR="00BE7A5B" w:rsidRDefault="00BE7A5B">
            <w:pPr>
              <w:spacing w:after="240"/>
              <w:jc w:val="center"/>
              <w:rPr>
                <w:sz w:val="20"/>
                <w:szCs w:val="20"/>
              </w:rPr>
            </w:pPr>
            <w:r>
              <w:rPr>
                <w:sz w:val="20"/>
                <w:szCs w:val="20"/>
              </w:rPr>
              <w:t>{3400}</w:t>
            </w:r>
          </w:p>
        </w:tc>
        <w:tc>
          <w:tcPr>
            <w:tcW w:w="4140" w:type="dxa"/>
            <w:tcBorders>
              <w:top w:val="single" w:sz="4" w:space="0" w:color="auto"/>
              <w:left w:val="single" w:sz="4" w:space="0" w:color="auto"/>
              <w:bottom w:val="single" w:sz="4" w:space="0" w:color="auto"/>
              <w:right w:val="single" w:sz="4" w:space="0" w:color="auto"/>
            </w:tcBorders>
            <w:hideMark/>
          </w:tcPr>
          <w:p w14:paraId="168FB12B" w14:textId="77777777" w:rsidR="00BE7A5B" w:rsidRDefault="00BE7A5B">
            <w:pPr>
              <w:rPr>
                <w:sz w:val="20"/>
                <w:szCs w:val="20"/>
              </w:rPr>
            </w:pPr>
            <w:r>
              <w:rPr>
                <w:sz w:val="20"/>
                <w:szCs w:val="20"/>
              </w:rPr>
              <w:t>Receiver ABA short name</w:t>
            </w:r>
          </w:p>
        </w:tc>
        <w:tc>
          <w:tcPr>
            <w:tcW w:w="4045" w:type="dxa"/>
            <w:tcBorders>
              <w:top w:val="single" w:sz="4" w:space="0" w:color="auto"/>
              <w:left w:val="single" w:sz="4" w:space="0" w:color="auto"/>
              <w:bottom w:val="single" w:sz="4" w:space="0" w:color="auto"/>
              <w:right w:val="single" w:sz="4" w:space="0" w:color="auto"/>
            </w:tcBorders>
            <w:hideMark/>
          </w:tcPr>
          <w:p w14:paraId="218C7F96" w14:textId="77777777" w:rsidR="00BE7A5B" w:rsidRDefault="00BE7A5B">
            <w:pPr>
              <w:rPr>
                <w:b/>
                <w:sz w:val="20"/>
                <w:szCs w:val="20"/>
              </w:rPr>
            </w:pPr>
            <w:r>
              <w:rPr>
                <w:b/>
                <w:sz w:val="20"/>
                <w:szCs w:val="20"/>
              </w:rPr>
              <w:t>TREAS NYC</w:t>
            </w:r>
          </w:p>
        </w:tc>
      </w:tr>
      <w:tr w:rsidR="00BE7A5B" w14:paraId="5E10FD4F"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04800BD3" w14:textId="77777777" w:rsidR="00BE7A5B" w:rsidRDefault="00BE7A5B">
            <w:pPr>
              <w:spacing w:after="240"/>
              <w:jc w:val="center"/>
              <w:rPr>
                <w:sz w:val="20"/>
                <w:szCs w:val="20"/>
              </w:rPr>
            </w:pPr>
            <w:r>
              <w:rPr>
                <w:sz w:val="20"/>
                <w:szCs w:val="20"/>
              </w:rPr>
              <w:t>{3600}</w:t>
            </w:r>
          </w:p>
        </w:tc>
        <w:tc>
          <w:tcPr>
            <w:tcW w:w="4140" w:type="dxa"/>
            <w:tcBorders>
              <w:top w:val="single" w:sz="4" w:space="0" w:color="auto"/>
              <w:left w:val="single" w:sz="4" w:space="0" w:color="auto"/>
              <w:bottom w:val="single" w:sz="4" w:space="0" w:color="auto"/>
              <w:right w:val="single" w:sz="4" w:space="0" w:color="auto"/>
            </w:tcBorders>
            <w:hideMark/>
          </w:tcPr>
          <w:p w14:paraId="3F526296" w14:textId="77777777" w:rsidR="00BE7A5B" w:rsidRDefault="00BE7A5B">
            <w:pPr>
              <w:rPr>
                <w:sz w:val="20"/>
                <w:szCs w:val="20"/>
              </w:rPr>
            </w:pPr>
            <w:r>
              <w:rPr>
                <w:sz w:val="20"/>
                <w:szCs w:val="20"/>
              </w:rPr>
              <w:t>Business Function Code</w:t>
            </w:r>
          </w:p>
        </w:tc>
        <w:tc>
          <w:tcPr>
            <w:tcW w:w="4045" w:type="dxa"/>
            <w:tcBorders>
              <w:top w:val="single" w:sz="4" w:space="0" w:color="auto"/>
              <w:left w:val="single" w:sz="4" w:space="0" w:color="auto"/>
              <w:bottom w:val="single" w:sz="4" w:space="0" w:color="auto"/>
              <w:right w:val="single" w:sz="4" w:space="0" w:color="auto"/>
            </w:tcBorders>
            <w:hideMark/>
          </w:tcPr>
          <w:p w14:paraId="569CF287" w14:textId="77777777" w:rsidR="00BE7A5B" w:rsidRDefault="00BE7A5B">
            <w:pPr>
              <w:rPr>
                <w:sz w:val="20"/>
                <w:szCs w:val="20"/>
              </w:rPr>
            </w:pPr>
            <w:r>
              <w:rPr>
                <w:b/>
                <w:sz w:val="20"/>
                <w:szCs w:val="20"/>
              </w:rPr>
              <w:t>CTR</w:t>
            </w:r>
            <w:r>
              <w:rPr>
                <w:sz w:val="20"/>
                <w:szCs w:val="20"/>
              </w:rPr>
              <w:t xml:space="preserve"> (</w:t>
            </w:r>
            <w:r>
              <w:rPr>
                <w:i/>
                <w:sz w:val="20"/>
                <w:szCs w:val="20"/>
              </w:rPr>
              <w:t>or CTP</w:t>
            </w:r>
            <w:r>
              <w:rPr>
                <w:sz w:val="20"/>
                <w:szCs w:val="20"/>
              </w:rPr>
              <w:t>)</w:t>
            </w:r>
          </w:p>
        </w:tc>
      </w:tr>
      <w:tr w:rsidR="00BE7A5B" w14:paraId="1D7E6733"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4CD2987D" w14:textId="77777777" w:rsidR="00BE7A5B" w:rsidRDefault="00BE7A5B">
            <w:pPr>
              <w:spacing w:after="240"/>
              <w:jc w:val="center"/>
              <w:rPr>
                <w:sz w:val="20"/>
                <w:szCs w:val="20"/>
              </w:rPr>
            </w:pPr>
            <w:r>
              <w:rPr>
                <w:sz w:val="20"/>
                <w:szCs w:val="20"/>
              </w:rPr>
              <w:t>{4200}</w:t>
            </w:r>
          </w:p>
        </w:tc>
        <w:tc>
          <w:tcPr>
            <w:tcW w:w="4140" w:type="dxa"/>
            <w:tcBorders>
              <w:top w:val="single" w:sz="4" w:space="0" w:color="auto"/>
              <w:left w:val="single" w:sz="4" w:space="0" w:color="auto"/>
              <w:bottom w:val="single" w:sz="4" w:space="0" w:color="auto"/>
              <w:right w:val="single" w:sz="4" w:space="0" w:color="auto"/>
            </w:tcBorders>
            <w:hideMark/>
          </w:tcPr>
          <w:p w14:paraId="4630D69D" w14:textId="77777777" w:rsidR="00BE7A5B" w:rsidRDefault="00BE7A5B">
            <w:pPr>
              <w:rPr>
                <w:sz w:val="20"/>
                <w:szCs w:val="20"/>
              </w:rPr>
            </w:pPr>
            <w:r>
              <w:rPr>
                <w:sz w:val="20"/>
                <w:szCs w:val="20"/>
              </w:rPr>
              <w:t xml:space="preserve">Beneficiary Identifier (account </w:t>
            </w:r>
            <w:proofErr w:type="gramStart"/>
            <w:r>
              <w:rPr>
                <w:sz w:val="20"/>
                <w:szCs w:val="20"/>
              </w:rPr>
              <w:t>number)*</w:t>
            </w:r>
            <w:proofErr w:type="gramEnd"/>
            <w:r>
              <w:rPr>
                <w:sz w:val="20"/>
                <w:szCs w:val="20"/>
              </w:rPr>
              <w:t>*</w:t>
            </w:r>
          </w:p>
        </w:tc>
        <w:tc>
          <w:tcPr>
            <w:tcW w:w="4045" w:type="dxa"/>
            <w:tcBorders>
              <w:top w:val="single" w:sz="4" w:space="0" w:color="auto"/>
              <w:left w:val="single" w:sz="4" w:space="0" w:color="auto"/>
              <w:bottom w:val="single" w:sz="4" w:space="0" w:color="auto"/>
              <w:right w:val="single" w:sz="4" w:space="0" w:color="auto"/>
            </w:tcBorders>
            <w:hideMark/>
          </w:tcPr>
          <w:p w14:paraId="5AA631C1" w14:textId="77777777" w:rsidR="00BE7A5B" w:rsidRDefault="00BE7A5B">
            <w:pPr>
              <w:rPr>
                <w:i/>
                <w:sz w:val="20"/>
                <w:szCs w:val="20"/>
              </w:rPr>
            </w:pPr>
            <w:r>
              <w:rPr>
                <w:i/>
                <w:sz w:val="20"/>
                <w:szCs w:val="20"/>
              </w:rPr>
              <w:t xml:space="preserve">(enter </w:t>
            </w:r>
            <w:proofErr w:type="gramStart"/>
            <w:r>
              <w:rPr>
                <w:i/>
                <w:sz w:val="20"/>
                <w:szCs w:val="20"/>
              </w:rPr>
              <w:t>12 digit</w:t>
            </w:r>
            <w:proofErr w:type="gramEnd"/>
            <w:r>
              <w:rPr>
                <w:i/>
                <w:sz w:val="20"/>
                <w:szCs w:val="20"/>
              </w:rPr>
              <w:t xml:space="preserve"> gateway account #)</w:t>
            </w:r>
          </w:p>
          <w:p w14:paraId="34CFA875" w14:textId="77777777" w:rsidR="00BE7A5B" w:rsidRDefault="00BE7A5B">
            <w:pPr>
              <w:rPr>
                <w:b/>
                <w:sz w:val="20"/>
                <w:szCs w:val="20"/>
              </w:rPr>
            </w:pPr>
            <w:r>
              <w:rPr>
                <w:b/>
                <w:sz w:val="20"/>
                <w:szCs w:val="20"/>
              </w:rPr>
              <w:t>875080031006</w:t>
            </w:r>
          </w:p>
        </w:tc>
      </w:tr>
      <w:tr w:rsidR="00BE7A5B" w14:paraId="40860E67"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1549C913" w14:textId="77777777" w:rsidR="00BE7A5B" w:rsidRDefault="00BE7A5B">
            <w:pPr>
              <w:spacing w:after="240"/>
              <w:jc w:val="center"/>
              <w:rPr>
                <w:sz w:val="20"/>
                <w:szCs w:val="20"/>
              </w:rPr>
            </w:pPr>
            <w:r>
              <w:rPr>
                <w:sz w:val="20"/>
                <w:szCs w:val="20"/>
              </w:rPr>
              <w:t>{4200}</w:t>
            </w:r>
          </w:p>
        </w:tc>
        <w:tc>
          <w:tcPr>
            <w:tcW w:w="4140" w:type="dxa"/>
            <w:tcBorders>
              <w:top w:val="single" w:sz="4" w:space="0" w:color="auto"/>
              <w:left w:val="single" w:sz="4" w:space="0" w:color="auto"/>
              <w:bottom w:val="single" w:sz="4" w:space="0" w:color="auto"/>
              <w:right w:val="single" w:sz="4" w:space="0" w:color="auto"/>
            </w:tcBorders>
            <w:hideMark/>
          </w:tcPr>
          <w:p w14:paraId="4AB3A48F" w14:textId="77777777" w:rsidR="00BE7A5B" w:rsidRDefault="00BE7A5B">
            <w:pPr>
              <w:rPr>
                <w:sz w:val="20"/>
                <w:szCs w:val="20"/>
              </w:rPr>
            </w:pPr>
            <w:r>
              <w:rPr>
                <w:sz w:val="20"/>
                <w:szCs w:val="20"/>
              </w:rPr>
              <w:t>Beneficiary Name</w:t>
            </w:r>
          </w:p>
        </w:tc>
        <w:tc>
          <w:tcPr>
            <w:tcW w:w="4045" w:type="dxa"/>
            <w:tcBorders>
              <w:top w:val="single" w:sz="4" w:space="0" w:color="auto"/>
              <w:left w:val="single" w:sz="4" w:space="0" w:color="auto"/>
              <w:bottom w:val="single" w:sz="4" w:space="0" w:color="auto"/>
              <w:right w:val="single" w:sz="4" w:space="0" w:color="auto"/>
            </w:tcBorders>
            <w:hideMark/>
          </w:tcPr>
          <w:p w14:paraId="68BCE6CD" w14:textId="77777777" w:rsidR="00BE7A5B" w:rsidRDefault="00BE7A5B">
            <w:pPr>
              <w:rPr>
                <w:sz w:val="20"/>
                <w:szCs w:val="20"/>
              </w:rPr>
            </w:pPr>
            <w:r>
              <w:rPr>
                <w:i/>
                <w:sz w:val="20"/>
                <w:szCs w:val="20"/>
              </w:rPr>
              <w:t>(enter agency name associated with the Beneficiary Identifier)</w:t>
            </w:r>
          </w:p>
          <w:p w14:paraId="31EF330C" w14:textId="77777777" w:rsidR="00BE7A5B" w:rsidRDefault="00BE7A5B">
            <w:pPr>
              <w:rPr>
                <w:b/>
                <w:sz w:val="20"/>
                <w:szCs w:val="20"/>
              </w:rPr>
            </w:pPr>
            <w:r>
              <w:rPr>
                <w:b/>
                <w:sz w:val="20"/>
                <w:szCs w:val="20"/>
              </w:rPr>
              <w:t>DHHS / NIH (75080031)</w:t>
            </w:r>
          </w:p>
        </w:tc>
      </w:tr>
      <w:tr w:rsidR="00BE7A5B" w14:paraId="6ECEAA73"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71E36459" w14:textId="77777777" w:rsidR="00BE7A5B" w:rsidRDefault="00BE7A5B">
            <w:pPr>
              <w:spacing w:after="240"/>
              <w:jc w:val="center"/>
              <w:rPr>
                <w:sz w:val="20"/>
                <w:szCs w:val="20"/>
              </w:rPr>
            </w:pPr>
            <w:r>
              <w:rPr>
                <w:sz w:val="20"/>
                <w:szCs w:val="20"/>
              </w:rPr>
              <w:t>{5000}</w:t>
            </w:r>
          </w:p>
        </w:tc>
        <w:tc>
          <w:tcPr>
            <w:tcW w:w="4140" w:type="dxa"/>
            <w:tcBorders>
              <w:top w:val="single" w:sz="4" w:space="0" w:color="auto"/>
              <w:left w:val="single" w:sz="4" w:space="0" w:color="auto"/>
              <w:bottom w:val="single" w:sz="4" w:space="0" w:color="auto"/>
              <w:right w:val="single" w:sz="4" w:space="0" w:color="auto"/>
            </w:tcBorders>
            <w:hideMark/>
          </w:tcPr>
          <w:p w14:paraId="3B8DAFDB" w14:textId="77777777" w:rsidR="00BE7A5B" w:rsidRDefault="00BE7A5B">
            <w:pPr>
              <w:rPr>
                <w:sz w:val="20"/>
                <w:szCs w:val="20"/>
              </w:rPr>
            </w:pPr>
            <w:r>
              <w:rPr>
                <w:sz w:val="20"/>
                <w:szCs w:val="20"/>
              </w:rPr>
              <w:t>Originator</w:t>
            </w:r>
          </w:p>
        </w:tc>
        <w:tc>
          <w:tcPr>
            <w:tcW w:w="4045" w:type="dxa"/>
            <w:tcBorders>
              <w:top w:val="single" w:sz="4" w:space="0" w:color="auto"/>
              <w:left w:val="single" w:sz="4" w:space="0" w:color="auto"/>
              <w:bottom w:val="single" w:sz="4" w:space="0" w:color="auto"/>
              <w:right w:val="single" w:sz="4" w:space="0" w:color="auto"/>
            </w:tcBorders>
            <w:hideMark/>
          </w:tcPr>
          <w:p w14:paraId="45A03269" w14:textId="77777777" w:rsidR="00BE7A5B" w:rsidRDefault="00BE7A5B">
            <w:pPr>
              <w:rPr>
                <w:i/>
                <w:sz w:val="20"/>
                <w:szCs w:val="20"/>
              </w:rPr>
            </w:pPr>
            <w:r>
              <w:rPr>
                <w:i/>
                <w:sz w:val="20"/>
                <w:szCs w:val="20"/>
              </w:rPr>
              <w:t>(enter the name of the originator of the payment)</w:t>
            </w:r>
          </w:p>
          <w:p w14:paraId="2DBAB56C" w14:textId="77777777" w:rsidR="00BE7A5B" w:rsidRDefault="00BE7A5B">
            <w:pPr>
              <w:rPr>
                <w:b/>
                <w:sz w:val="20"/>
                <w:szCs w:val="20"/>
              </w:rPr>
            </w:pPr>
            <w:r>
              <w:rPr>
                <w:b/>
                <w:sz w:val="20"/>
                <w:szCs w:val="20"/>
              </w:rPr>
              <w:t>COMPANY’S NAME</w:t>
            </w:r>
          </w:p>
        </w:tc>
      </w:tr>
      <w:tr w:rsidR="00BE7A5B" w14:paraId="228AB214"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096E0327" w14:textId="77777777" w:rsidR="00BE7A5B" w:rsidRDefault="00BE7A5B">
            <w:pPr>
              <w:spacing w:after="240"/>
              <w:jc w:val="center"/>
              <w:rPr>
                <w:sz w:val="20"/>
                <w:szCs w:val="20"/>
              </w:rPr>
            </w:pPr>
            <w:r>
              <w:rPr>
                <w:sz w:val="20"/>
                <w:szCs w:val="20"/>
              </w:rPr>
              <w:t>{6000}</w:t>
            </w:r>
          </w:p>
        </w:tc>
        <w:tc>
          <w:tcPr>
            <w:tcW w:w="4140" w:type="dxa"/>
            <w:tcBorders>
              <w:top w:val="single" w:sz="4" w:space="0" w:color="auto"/>
              <w:left w:val="single" w:sz="4" w:space="0" w:color="auto"/>
              <w:bottom w:val="single" w:sz="4" w:space="0" w:color="auto"/>
              <w:right w:val="single" w:sz="4" w:space="0" w:color="auto"/>
            </w:tcBorders>
            <w:hideMark/>
          </w:tcPr>
          <w:p w14:paraId="5C7BAEEE" w14:textId="77777777" w:rsidR="00BE7A5B" w:rsidRDefault="00BE7A5B">
            <w:pPr>
              <w:rPr>
                <w:sz w:val="20"/>
                <w:szCs w:val="20"/>
              </w:rPr>
            </w:pPr>
            <w:r>
              <w:rPr>
                <w:sz w:val="20"/>
                <w:szCs w:val="20"/>
              </w:rPr>
              <w:t>Originator to Beneficiary Information – Line 1</w:t>
            </w:r>
          </w:p>
        </w:tc>
        <w:tc>
          <w:tcPr>
            <w:tcW w:w="4045" w:type="dxa"/>
            <w:tcBorders>
              <w:top w:val="single" w:sz="4" w:space="0" w:color="auto"/>
              <w:left w:val="single" w:sz="4" w:space="0" w:color="auto"/>
              <w:bottom w:val="single" w:sz="4" w:space="0" w:color="auto"/>
              <w:right w:val="single" w:sz="4" w:space="0" w:color="auto"/>
            </w:tcBorders>
            <w:hideMark/>
          </w:tcPr>
          <w:p w14:paraId="0FF2D068" w14:textId="77777777" w:rsidR="00BE7A5B" w:rsidRDefault="00BE7A5B">
            <w:pPr>
              <w:rPr>
                <w:i/>
                <w:sz w:val="20"/>
                <w:szCs w:val="20"/>
              </w:rPr>
            </w:pPr>
            <w:r>
              <w:rPr>
                <w:i/>
                <w:sz w:val="20"/>
                <w:szCs w:val="20"/>
              </w:rPr>
              <w:t>(enter information to identify the purpose of the payment)</w:t>
            </w:r>
          </w:p>
          <w:p w14:paraId="7131E77E" w14:textId="77777777" w:rsidR="00BE7A5B" w:rsidRDefault="00BE7A5B">
            <w:pPr>
              <w:rPr>
                <w:b/>
                <w:sz w:val="20"/>
                <w:szCs w:val="20"/>
              </w:rPr>
            </w:pPr>
            <w:r>
              <w:rPr>
                <w:b/>
                <w:sz w:val="20"/>
                <w:szCs w:val="20"/>
              </w:rPr>
              <w:t>ROYALTY</w:t>
            </w:r>
          </w:p>
        </w:tc>
      </w:tr>
      <w:tr w:rsidR="00BE7A5B" w14:paraId="0AE77D0B"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3DDE72EC" w14:textId="77777777" w:rsidR="00BE7A5B" w:rsidRDefault="00BE7A5B">
            <w:pPr>
              <w:spacing w:after="240"/>
              <w:jc w:val="center"/>
              <w:rPr>
                <w:sz w:val="20"/>
                <w:szCs w:val="20"/>
              </w:rPr>
            </w:pPr>
            <w:r>
              <w:rPr>
                <w:sz w:val="20"/>
                <w:szCs w:val="20"/>
              </w:rPr>
              <w:t>{6000}</w:t>
            </w:r>
          </w:p>
        </w:tc>
        <w:tc>
          <w:tcPr>
            <w:tcW w:w="4140" w:type="dxa"/>
            <w:tcBorders>
              <w:top w:val="single" w:sz="4" w:space="0" w:color="auto"/>
              <w:left w:val="single" w:sz="4" w:space="0" w:color="auto"/>
              <w:bottom w:val="single" w:sz="4" w:space="0" w:color="auto"/>
              <w:right w:val="single" w:sz="4" w:space="0" w:color="auto"/>
            </w:tcBorders>
            <w:hideMark/>
          </w:tcPr>
          <w:p w14:paraId="19EB906B" w14:textId="77777777" w:rsidR="00BE7A5B" w:rsidRDefault="00BE7A5B">
            <w:pPr>
              <w:rPr>
                <w:sz w:val="20"/>
                <w:szCs w:val="20"/>
              </w:rPr>
            </w:pPr>
            <w:r>
              <w:rPr>
                <w:sz w:val="20"/>
                <w:szCs w:val="20"/>
              </w:rPr>
              <w:t>Originator to Beneficiary Information – Line 2</w:t>
            </w:r>
          </w:p>
        </w:tc>
        <w:tc>
          <w:tcPr>
            <w:tcW w:w="4045" w:type="dxa"/>
            <w:tcBorders>
              <w:top w:val="single" w:sz="4" w:space="0" w:color="auto"/>
              <w:left w:val="single" w:sz="4" w:space="0" w:color="auto"/>
              <w:bottom w:val="single" w:sz="4" w:space="0" w:color="auto"/>
              <w:right w:val="single" w:sz="4" w:space="0" w:color="auto"/>
            </w:tcBorders>
            <w:hideMark/>
          </w:tcPr>
          <w:p w14:paraId="7D1013B0" w14:textId="77777777" w:rsidR="00BE7A5B" w:rsidRDefault="00BE7A5B">
            <w:pPr>
              <w:rPr>
                <w:i/>
                <w:sz w:val="20"/>
                <w:szCs w:val="20"/>
              </w:rPr>
            </w:pPr>
            <w:r>
              <w:rPr>
                <w:i/>
                <w:sz w:val="20"/>
                <w:szCs w:val="20"/>
              </w:rPr>
              <w:t>(enter information to identify the purpose of the payment)</w:t>
            </w:r>
          </w:p>
          <w:p w14:paraId="6CD03754" w14:textId="77777777" w:rsidR="00BE7A5B" w:rsidRDefault="00BE7A5B">
            <w:pPr>
              <w:rPr>
                <w:b/>
                <w:sz w:val="20"/>
                <w:szCs w:val="20"/>
              </w:rPr>
            </w:pPr>
            <w:r>
              <w:rPr>
                <w:b/>
                <w:sz w:val="20"/>
                <w:szCs w:val="20"/>
              </w:rPr>
              <w:t>LICENSE NUMBER</w:t>
            </w:r>
          </w:p>
        </w:tc>
      </w:tr>
      <w:tr w:rsidR="00BE7A5B" w14:paraId="1CBE8553"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6DB4B548" w14:textId="77777777" w:rsidR="00BE7A5B" w:rsidRDefault="00BE7A5B">
            <w:pPr>
              <w:spacing w:after="240"/>
              <w:jc w:val="center"/>
              <w:rPr>
                <w:sz w:val="20"/>
                <w:szCs w:val="20"/>
              </w:rPr>
            </w:pPr>
            <w:r>
              <w:rPr>
                <w:sz w:val="20"/>
                <w:szCs w:val="20"/>
              </w:rPr>
              <w:t>{6000}</w:t>
            </w:r>
          </w:p>
        </w:tc>
        <w:tc>
          <w:tcPr>
            <w:tcW w:w="4140" w:type="dxa"/>
            <w:tcBorders>
              <w:top w:val="single" w:sz="4" w:space="0" w:color="auto"/>
              <w:left w:val="single" w:sz="4" w:space="0" w:color="auto"/>
              <w:bottom w:val="single" w:sz="4" w:space="0" w:color="auto"/>
              <w:right w:val="single" w:sz="4" w:space="0" w:color="auto"/>
            </w:tcBorders>
            <w:hideMark/>
          </w:tcPr>
          <w:p w14:paraId="489B8464" w14:textId="77777777" w:rsidR="00BE7A5B" w:rsidRDefault="00BE7A5B">
            <w:pPr>
              <w:rPr>
                <w:sz w:val="20"/>
                <w:szCs w:val="20"/>
              </w:rPr>
            </w:pPr>
            <w:r>
              <w:rPr>
                <w:sz w:val="20"/>
                <w:szCs w:val="20"/>
              </w:rPr>
              <w:t>Originator to Beneficiary Information – Line 3</w:t>
            </w:r>
          </w:p>
        </w:tc>
        <w:tc>
          <w:tcPr>
            <w:tcW w:w="4045" w:type="dxa"/>
            <w:tcBorders>
              <w:top w:val="single" w:sz="4" w:space="0" w:color="auto"/>
              <w:left w:val="single" w:sz="4" w:space="0" w:color="auto"/>
              <w:bottom w:val="single" w:sz="4" w:space="0" w:color="auto"/>
              <w:right w:val="single" w:sz="4" w:space="0" w:color="auto"/>
            </w:tcBorders>
            <w:hideMark/>
          </w:tcPr>
          <w:p w14:paraId="1132C646" w14:textId="77777777" w:rsidR="00BE7A5B" w:rsidRDefault="00BE7A5B">
            <w:pPr>
              <w:rPr>
                <w:i/>
                <w:sz w:val="20"/>
                <w:szCs w:val="20"/>
              </w:rPr>
            </w:pPr>
            <w:r>
              <w:rPr>
                <w:i/>
                <w:sz w:val="20"/>
                <w:szCs w:val="20"/>
              </w:rPr>
              <w:t>(enter information to identify the purpose of the payment)</w:t>
            </w:r>
          </w:p>
          <w:p w14:paraId="63ED2C04" w14:textId="77777777" w:rsidR="00BE7A5B" w:rsidRDefault="00BE7A5B">
            <w:pPr>
              <w:rPr>
                <w:b/>
                <w:sz w:val="20"/>
                <w:szCs w:val="20"/>
              </w:rPr>
            </w:pPr>
            <w:r>
              <w:rPr>
                <w:b/>
                <w:i/>
                <w:sz w:val="20"/>
                <w:szCs w:val="20"/>
              </w:rPr>
              <w:t>INVOICE NUMBER</w:t>
            </w:r>
          </w:p>
        </w:tc>
      </w:tr>
      <w:tr w:rsidR="00BE7A5B" w14:paraId="6A2BAE69" w14:textId="77777777" w:rsidTr="00475CB6">
        <w:tc>
          <w:tcPr>
            <w:tcW w:w="1165" w:type="dxa"/>
            <w:tcBorders>
              <w:top w:val="single" w:sz="4" w:space="0" w:color="auto"/>
              <w:left w:val="single" w:sz="4" w:space="0" w:color="auto"/>
              <w:bottom w:val="single" w:sz="4" w:space="0" w:color="auto"/>
              <w:right w:val="single" w:sz="4" w:space="0" w:color="auto"/>
            </w:tcBorders>
            <w:hideMark/>
          </w:tcPr>
          <w:p w14:paraId="540D7BE5" w14:textId="77777777" w:rsidR="00BE7A5B" w:rsidRDefault="00BE7A5B">
            <w:pPr>
              <w:spacing w:after="240"/>
              <w:jc w:val="center"/>
              <w:rPr>
                <w:sz w:val="20"/>
                <w:szCs w:val="20"/>
              </w:rPr>
            </w:pPr>
            <w:r>
              <w:rPr>
                <w:sz w:val="20"/>
                <w:szCs w:val="20"/>
              </w:rPr>
              <w:t>{6000}</w:t>
            </w:r>
          </w:p>
        </w:tc>
        <w:tc>
          <w:tcPr>
            <w:tcW w:w="4140" w:type="dxa"/>
            <w:tcBorders>
              <w:top w:val="single" w:sz="4" w:space="0" w:color="auto"/>
              <w:left w:val="single" w:sz="4" w:space="0" w:color="auto"/>
              <w:bottom w:val="single" w:sz="4" w:space="0" w:color="auto"/>
              <w:right w:val="single" w:sz="4" w:space="0" w:color="auto"/>
            </w:tcBorders>
            <w:hideMark/>
          </w:tcPr>
          <w:p w14:paraId="2456E99E" w14:textId="77777777" w:rsidR="00BE7A5B" w:rsidRDefault="00BE7A5B">
            <w:pPr>
              <w:rPr>
                <w:sz w:val="20"/>
                <w:szCs w:val="20"/>
              </w:rPr>
            </w:pPr>
            <w:r>
              <w:rPr>
                <w:sz w:val="20"/>
                <w:szCs w:val="20"/>
              </w:rPr>
              <w:t>Originator to Beneficiary Information – Line 4</w:t>
            </w:r>
          </w:p>
        </w:tc>
        <w:tc>
          <w:tcPr>
            <w:tcW w:w="4045" w:type="dxa"/>
            <w:tcBorders>
              <w:top w:val="single" w:sz="4" w:space="0" w:color="auto"/>
              <w:left w:val="single" w:sz="4" w:space="0" w:color="auto"/>
              <w:bottom w:val="single" w:sz="4" w:space="0" w:color="auto"/>
              <w:right w:val="single" w:sz="4" w:space="0" w:color="auto"/>
            </w:tcBorders>
            <w:hideMark/>
          </w:tcPr>
          <w:p w14:paraId="354D1BAE" w14:textId="77777777" w:rsidR="00BE7A5B" w:rsidRDefault="00BE7A5B">
            <w:pPr>
              <w:rPr>
                <w:sz w:val="20"/>
                <w:szCs w:val="20"/>
              </w:rPr>
            </w:pPr>
            <w:r>
              <w:rPr>
                <w:i/>
                <w:sz w:val="20"/>
                <w:szCs w:val="20"/>
              </w:rPr>
              <w:t>(enter information to identify the purpose of the payment)</w:t>
            </w:r>
          </w:p>
        </w:tc>
      </w:tr>
      <w:tr w:rsidR="00BE7A5B" w14:paraId="56680AF3" w14:textId="77777777" w:rsidTr="00475CB6">
        <w:tc>
          <w:tcPr>
            <w:tcW w:w="9350" w:type="dxa"/>
            <w:gridSpan w:val="3"/>
            <w:tcBorders>
              <w:top w:val="single" w:sz="4" w:space="0" w:color="auto"/>
              <w:left w:val="single" w:sz="4" w:space="0" w:color="auto"/>
              <w:bottom w:val="single" w:sz="4" w:space="0" w:color="auto"/>
              <w:right w:val="single" w:sz="4" w:space="0" w:color="auto"/>
            </w:tcBorders>
            <w:hideMark/>
          </w:tcPr>
          <w:p w14:paraId="28CEE7EF" w14:textId="77777777" w:rsidR="00BE7A5B" w:rsidRDefault="00BE7A5B">
            <w:pPr>
              <w:spacing w:after="240"/>
              <w:rPr>
                <w:sz w:val="20"/>
                <w:szCs w:val="20"/>
              </w:rPr>
            </w:pPr>
            <w:r>
              <w:rPr>
                <w:sz w:val="20"/>
                <w:szCs w:val="20"/>
              </w:rPr>
              <w:t xml:space="preserve">Notes: </w:t>
            </w:r>
            <w:r>
              <w:rPr>
                <w:sz w:val="20"/>
                <w:szCs w:val="20"/>
              </w:rPr>
              <w:br/>
              <w:t xml:space="preserve">  *The financial institution address for Treasury’s routing number is </w:t>
            </w:r>
            <w:r>
              <w:rPr>
                <w:sz w:val="20"/>
                <w:szCs w:val="20"/>
                <w:u w:val="single"/>
              </w:rPr>
              <w:t>33 Liberty Street, New York, NY 10045</w:t>
            </w:r>
            <w:r>
              <w:rPr>
                <w:sz w:val="20"/>
                <w:szCs w:val="20"/>
              </w:rPr>
              <w:t>.</w:t>
            </w:r>
          </w:p>
          <w:p w14:paraId="24A483FB" w14:textId="77777777" w:rsidR="00BE7A5B" w:rsidRDefault="00BE7A5B">
            <w:pPr>
              <w:rPr>
                <w:sz w:val="20"/>
                <w:szCs w:val="20"/>
              </w:rPr>
            </w:pPr>
            <w:r>
              <w:rPr>
                <w:sz w:val="20"/>
                <w:szCs w:val="20"/>
              </w:rPr>
              <w:t xml:space="preserve">**Anything other than the </w:t>
            </w:r>
            <w:proofErr w:type="gramStart"/>
            <w:r>
              <w:rPr>
                <w:sz w:val="20"/>
                <w:szCs w:val="20"/>
              </w:rPr>
              <w:t>12 digit</w:t>
            </w:r>
            <w:proofErr w:type="gramEnd"/>
            <w:r>
              <w:rPr>
                <w:sz w:val="20"/>
                <w:szCs w:val="20"/>
              </w:rPr>
              <w:t xml:space="preserve"> gateway account # will cause the Fedwire to be returned – </w:t>
            </w:r>
            <w:r>
              <w:rPr>
                <w:b/>
                <w:sz w:val="20"/>
                <w:szCs w:val="20"/>
              </w:rPr>
              <w:t>SWIFT CODE: FRNYUS33</w:t>
            </w:r>
          </w:p>
        </w:tc>
      </w:tr>
    </w:tbl>
    <w:p w14:paraId="7078F327" w14:textId="77777777" w:rsidR="00BE7A5B" w:rsidRDefault="00BE7A5B" w:rsidP="00475CB6"/>
    <w:p w14:paraId="6B150811" w14:textId="77777777" w:rsidR="00BE7A5B" w:rsidRDefault="00BE7A5B" w:rsidP="00475CB6">
      <w:r>
        <w:rPr>
          <w:b/>
          <w:u w:val="single"/>
        </w:rPr>
        <w:t>Agency Contacts</w:t>
      </w:r>
      <w:r>
        <w:t>:</w:t>
      </w:r>
    </w:p>
    <w:p w14:paraId="20E35968" w14:textId="77777777" w:rsidR="00BE7A5B" w:rsidRDefault="00BE7A5B" w:rsidP="00475CB6"/>
    <w:p w14:paraId="4CE9AD8B" w14:textId="77777777" w:rsidR="00BE7A5B" w:rsidRDefault="00BE7A5B" w:rsidP="00475CB6">
      <w:pPr>
        <w:tabs>
          <w:tab w:val="left" w:pos="3600"/>
          <w:tab w:val="left" w:pos="5400"/>
        </w:tabs>
      </w:pPr>
      <w:r>
        <w:t>Office of Technology Transfer (OTT)</w:t>
      </w:r>
      <w:r>
        <w:tab/>
        <w:t>(301) 496-7057</w:t>
      </w:r>
      <w:r>
        <w:tab/>
      </w:r>
      <w:hyperlink r:id="rId29" w:history="1">
        <w:r>
          <w:rPr>
            <w:rStyle w:val="Hyperlink"/>
          </w:rPr>
          <w:t>OTT-Royalties@mail.nih.gov</w:t>
        </w:r>
      </w:hyperlink>
    </w:p>
    <w:p w14:paraId="3BB38144" w14:textId="77777777" w:rsidR="00BE7A5B" w:rsidRDefault="00BE7A5B" w:rsidP="00475CB6">
      <w:pPr>
        <w:rPr>
          <w:b/>
          <w:bCs/>
          <w:iCs/>
          <w:u w:val="single"/>
        </w:rPr>
      </w:pPr>
    </w:p>
    <w:p w14:paraId="7072EA63" w14:textId="77777777" w:rsidR="00BE7A5B" w:rsidRDefault="00BE7A5B" w:rsidP="00475CB6">
      <w:pPr>
        <w:rPr>
          <w:b/>
          <w:bCs/>
          <w:iCs/>
        </w:rPr>
      </w:pPr>
      <w:r>
        <w:rPr>
          <w:b/>
          <w:bCs/>
          <w:iCs/>
          <w:u w:val="single"/>
        </w:rPr>
        <w:t>Checks</w:t>
      </w:r>
    </w:p>
    <w:p w14:paraId="0396CC42" w14:textId="77777777" w:rsidR="00BE7A5B" w:rsidRDefault="00BE7A5B" w:rsidP="00475CB6">
      <w:pPr>
        <w:rPr>
          <w:bCs/>
          <w:iCs/>
        </w:rPr>
      </w:pPr>
    </w:p>
    <w:p w14:paraId="4B26AFDB" w14:textId="77777777" w:rsidR="00BE7A5B" w:rsidRDefault="00BE7A5B" w:rsidP="00475CB6">
      <w:pPr>
        <w:rPr>
          <w:bCs/>
          <w:iCs/>
        </w:rPr>
      </w:pPr>
      <w:r>
        <w:rPr>
          <w:bCs/>
          <w:iCs/>
        </w:rPr>
        <w:t>All checks should be made payable to “NIH Patent Licensing”</w:t>
      </w:r>
    </w:p>
    <w:p w14:paraId="26354106" w14:textId="77777777" w:rsidR="00BE7A5B" w:rsidRDefault="00BE7A5B" w:rsidP="00475CB6">
      <w:pPr>
        <w:rPr>
          <w:bCs/>
          <w:iCs/>
        </w:rPr>
      </w:pPr>
    </w:p>
    <w:p w14:paraId="640C3C33" w14:textId="77777777" w:rsidR="00BE7A5B" w:rsidRDefault="00BE7A5B" w:rsidP="00475CB6">
      <w:pPr>
        <w:rPr>
          <w:bCs/>
          <w:iCs/>
        </w:rPr>
      </w:pPr>
      <w:r>
        <w:rPr>
          <w:bCs/>
          <w:iCs/>
        </w:rPr>
        <w:t xml:space="preserve">Checks drawn on a </w:t>
      </w:r>
      <w:r>
        <w:rPr>
          <w:b/>
          <w:bCs/>
          <w:iCs/>
          <w:u w:val="single"/>
        </w:rPr>
        <w:t>U.S. bank account</w:t>
      </w:r>
      <w:r>
        <w:rPr>
          <w:bCs/>
          <w:iCs/>
        </w:rPr>
        <w:t xml:space="preserve"> and sent by US Postal Service should be sent directly to the following address:</w:t>
      </w:r>
    </w:p>
    <w:p w14:paraId="446E5322" w14:textId="77777777" w:rsidR="00BE7A5B" w:rsidRDefault="00BE7A5B" w:rsidP="00475CB6">
      <w:pPr>
        <w:rPr>
          <w:bCs/>
          <w:iCs/>
        </w:rPr>
      </w:pPr>
    </w:p>
    <w:p w14:paraId="57781AB0" w14:textId="77777777" w:rsidR="00BE7A5B" w:rsidRDefault="00BE7A5B" w:rsidP="00475CB6">
      <w:pPr>
        <w:ind w:firstLine="720"/>
        <w:rPr>
          <w:iCs/>
        </w:rPr>
      </w:pPr>
      <w:r>
        <w:rPr>
          <w:iCs/>
        </w:rPr>
        <w:t>National Institutes of Health</w:t>
      </w:r>
    </w:p>
    <w:p w14:paraId="35A4BBE3" w14:textId="77777777" w:rsidR="00BE7A5B" w:rsidRDefault="00BE7A5B" w:rsidP="00475CB6">
      <w:pPr>
        <w:ind w:firstLine="720"/>
        <w:rPr>
          <w:iCs/>
        </w:rPr>
      </w:pPr>
      <w:r>
        <w:rPr>
          <w:iCs/>
        </w:rPr>
        <w:t>P.O. Box 979071</w:t>
      </w:r>
    </w:p>
    <w:p w14:paraId="0BC8C72A" w14:textId="77777777" w:rsidR="00BE7A5B" w:rsidRDefault="00BE7A5B" w:rsidP="00475CB6">
      <w:pPr>
        <w:ind w:firstLine="720"/>
        <w:rPr>
          <w:iCs/>
        </w:rPr>
      </w:pPr>
      <w:r>
        <w:rPr>
          <w:iCs/>
        </w:rPr>
        <w:t>St. Louis, MO 63197-9000</w:t>
      </w:r>
    </w:p>
    <w:p w14:paraId="308D459D" w14:textId="77777777" w:rsidR="00BE7A5B" w:rsidRDefault="00BE7A5B" w:rsidP="00475CB6">
      <w:pPr>
        <w:rPr>
          <w:bCs/>
          <w:iCs/>
        </w:rPr>
      </w:pPr>
    </w:p>
    <w:p w14:paraId="36B46A15" w14:textId="77777777" w:rsidR="00BE7A5B" w:rsidRDefault="00BE7A5B" w:rsidP="00475CB6">
      <w:pPr>
        <w:rPr>
          <w:bCs/>
          <w:iCs/>
        </w:rPr>
      </w:pPr>
      <w:r>
        <w:rPr>
          <w:bCs/>
          <w:iCs/>
        </w:rPr>
        <w:t xml:space="preserve">Checks drawn on a U.S. bank account and sent by </w:t>
      </w:r>
      <w:r>
        <w:rPr>
          <w:b/>
          <w:bCs/>
          <w:iCs/>
          <w:u w:val="single"/>
        </w:rPr>
        <w:t>overnight or courier</w:t>
      </w:r>
      <w:r>
        <w:rPr>
          <w:bCs/>
          <w:iCs/>
        </w:rPr>
        <w:t xml:space="preserve"> should be sent to the following address:</w:t>
      </w:r>
    </w:p>
    <w:p w14:paraId="42567D7F" w14:textId="77777777" w:rsidR="00BE7A5B" w:rsidRDefault="00BE7A5B" w:rsidP="00475CB6">
      <w:pPr>
        <w:rPr>
          <w:bCs/>
          <w:iCs/>
        </w:rPr>
      </w:pPr>
    </w:p>
    <w:p w14:paraId="0B195120" w14:textId="77777777" w:rsidR="00BE7A5B" w:rsidRDefault="00BE7A5B" w:rsidP="00475CB6">
      <w:pPr>
        <w:ind w:firstLine="720"/>
        <w:rPr>
          <w:iCs/>
        </w:rPr>
      </w:pPr>
      <w:r>
        <w:rPr>
          <w:iCs/>
        </w:rPr>
        <w:t xml:space="preserve">US Bank </w:t>
      </w:r>
    </w:p>
    <w:p w14:paraId="6549DFE3" w14:textId="77777777" w:rsidR="00BE7A5B" w:rsidRDefault="00BE7A5B" w:rsidP="00475CB6">
      <w:pPr>
        <w:ind w:firstLine="720"/>
        <w:rPr>
          <w:iCs/>
        </w:rPr>
      </w:pPr>
      <w:r>
        <w:rPr>
          <w:iCs/>
        </w:rPr>
        <w:t xml:space="preserve">Government Lockbox SL-MO-C2GL </w:t>
      </w:r>
    </w:p>
    <w:p w14:paraId="5E1EE832" w14:textId="77777777" w:rsidR="00BE7A5B" w:rsidRDefault="00BE7A5B" w:rsidP="00475CB6">
      <w:pPr>
        <w:ind w:firstLine="720"/>
        <w:rPr>
          <w:iCs/>
        </w:rPr>
      </w:pPr>
      <w:r>
        <w:rPr>
          <w:iCs/>
        </w:rPr>
        <w:t xml:space="preserve">1005 Convention Plaza </w:t>
      </w:r>
    </w:p>
    <w:p w14:paraId="62BEB31C" w14:textId="77777777" w:rsidR="00BE7A5B" w:rsidRDefault="00BE7A5B" w:rsidP="00475CB6">
      <w:pPr>
        <w:ind w:firstLine="720"/>
        <w:rPr>
          <w:iCs/>
        </w:rPr>
      </w:pPr>
      <w:r>
        <w:rPr>
          <w:iCs/>
        </w:rPr>
        <w:t>St. Louis, MO 63101</w:t>
      </w:r>
    </w:p>
    <w:p w14:paraId="48EA170F" w14:textId="77777777" w:rsidR="00BE7A5B" w:rsidRDefault="00BE7A5B" w:rsidP="00475CB6">
      <w:pPr>
        <w:ind w:firstLine="720"/>
        <w:rPr>
          <w:iCs/>
        </w:rPr>
      </w:pPr>
      <w:r>
        <w:rPr>
          <w:iCs/>
        </w:rPr>
        <w:t>Phone: 314-418-4087</w:t>
      </w:r>
    </w:p>
    <w:p w14:paraId="578364C7" w14:textId="77777777" w:rsidR="00BE7A5B" w:rsidRDefault="00BE7A5B" w:rsidP="00475CB6">
      <w:pPr>
        <w:rPr>
          <w:bCs/>
          <w:iCs/>
        </w:rPr>
      </w:pPr>
    </w:p>
    <w:p w14:paraId="66BE0753" w14:textId="77777777" w:rsidR="00BE7A5B" w:rsidRDefault="00BE7A5B" w:rsidP="00475CB6">
      <w:pPr>
        <w:rPr>
          <w:bCs/>
          <w:iCs/>
        </w:rPr>
      </w:pPr>
      <w:r>
        <w:rPr>
          <w:bCs/>
          <w:iCs/>
        </w:rPr>
        <w:t xml:space="preserve">Checks drawn on a </w:t>
      </w:r>
      <w:r>
        <w:rPr>
          <w:b/>
          <w:bCs/>
          <w:iCs/>
          <w:u w:val="single"/>
        </w:rPr>
        <w:t>foreign bank account</w:t>
      </w:r>
      <w:r>
        <w:rPr>
          <w:bCs/>
          <w:iCs/>
        </w:rPr>
        <w:t xml:space="preserve"> should be sent directly to the following address: </w:t>
      </w:r>
    </w:p>
    <w:p w14:paraId="232BDD9C" w14:textId="77777777" w:rsidR="00BE7A5B" w:rsidRDefault="00BE7A5B" w:rsidP="00475CB6">
      <w:pPr>
        <w:rPr>
          <w:bCs/>
          <w:iCs/>
        </w:rPr>
      </w:pPr>
    </w:p>
    <w:p w14:paraId="64E17712" w14:textId="77777777" w:rsidR="00BE7A5B" w:rsidRDefault="00BE7A5B" w:rsidP="00475CB6">
      <w:pPr>
        <w:ind w:firstLine="720"/>
        <w:rPr>
          <w:iCs/>
        </w:rPr>
      </w:pPr>
      <w:r>
        <w:rPr>
          <w:iCs/>
        </w:rPr>
        <w:t>National Institutes of Health</w:t>
      </w:r>
    </w:p>
    <w:p w14:paraId="38A1DFBB" w14:textId="77777777" w:rsidR="00BE7A5B" w:rsidRDefault="00BE7A5B" w:rsidP="00475CB6">
      <w:pPr>
        <w:ind w:firstLine="720"/>
        <w:rPr>
          <w:iCs/>
        </w:rPr>
      </w:pPr>
      <w:r>
        <w:rPr>
          <w:iCs/>
        </w:rPr>
        <w:t>Office of Technology Transfer</w:t>
      </w:r>
    </w:p>
    <w:p w14:paraId="3510DBE1" w14:textId="77777777" w:rsidR="00BE7A5B" w:rsidRDefault="00BE7A5B" w:rsidP="00475CB6">
      <w:pPr>
        <w:overflowPunct w:val="0"/>
        <w:autoSpaceDE w:val="0"/>
        <w:autoSpaceDN w:val="0"/>
        <w:adjustRightInd w:val="0"/>
        <w:ind w:left="720"/>
        <w:textAlignment w:val="baseline"/>
        <w:rPr>
          <w:iCs/>
        </w:rPr>
      </w:pPr>
      <w:r>
        <w:rPr>
          <w:bCs/>
          <w:iCs/>
        </w:rPr>
        <w:t>License Compliance and Administration</w:t>
      </w:r>
    </w:p>
    <w:p w14:paraId="62D0237F" w14:textId="77777777" w:rsidR="00BE7A5B" w:rsidRDefault="00BE7A5B" w:rsidP="00475CB6">
      <w:pPr>
        <w:overflowPunct w:val="0"/>
        <w:autoSpaceDE w:val="0"/>
        <w:autoSpaceDN w:val="0"/>
        <w:adjustRightInd w:val="0"/>
        <w:ind w:left="720"/>
        <w:textAlignment w:val="baseline"/>
        <w:rPr>
          <w:iCs/>
        </w:rPr>
      </w:pPr>
      <w:r>
        <w:rPr>
          <w:bCs/>
          <w:iCs/>
        </w:rPr>
        <w:t>Royalty Administration</w:t>
      </w:r>
    </w:p>
    <w:p w14:paraId="65EEBA64" w14:textId="77777777" w:rsidR="00BE7A5B" w:rsidRDefault="00BE7A5B" w:rsidP="00475CB6">
      <w:pPr>
        <w:ind w:firstLine="720"/>
        <w:rPr>
          <w:iCs/>
        </w:rPr>
      </w:pPr>
      <w:r>
        <w:rPr>
          <w:iCs/>
        </w:rPr>
        <w:t>6011 Executive Boulevard</w:t>
      </w:r>
    </w:p>
    <w:p w14:paraId="127186D1" w14:textId="77777777" w:rsidR="00BE7A5B" w:rsidRDefault="00BE7A5B" w:rsidP="00475CB6">
      <w:pPr>
        <w:ind w:firstLine="720"/>
        <w:rPr>
          <w:iCs/>
        </w:rPr>
      </w:pPr>
      <w:r>
        <w:rPr>
          <w:iCs/>
        </w:rPr>
        <w:t>Suite 325, MSC 7660</w:t>
      </w:r>
    </w:p>
    <w:p w14:paraId="284DB667" w14:textId="77777777" w:rsidR="00BE7A5B" w:rsidRPr="00AB4713" w:rsidRDefault="00BE7A5B" w:rsidP="00475CB6">
      <w:pPr>
        <w:ind w:firstLine="720"/>
        <w:rPr>
          <w:iCs/>
        </w:rPr>
      </w:pPr>
      <w:r>
        <w:rPr>
          <w:iCs/>
        </w:rPr>
        <w:t>Rockville, Maryland 20852</w:t>
      </w:r>
    </w:p>
    <w:p w14:paraId="485B42EB" w14:textId="77777777" w:rsidR="00BE7A5B" w:rsidRPr="008D5E8C" w:rsidRDefault="00BE7A5B" w:rsidP="0036666C">
      <w:pPr>
        <w:jc w:val="center"/>
        <w:rPr>
          <w:iCs/>
        </w:rPr>
      </w:pPr>
    </w:p>
    <w:p w14:paraId="7459E481" w14:textId="7022FF5E" w:rsidR="001355D9" w:rsidRPr="001355D9" w:rsidRDefault="001355D9" w:rsidP="001355D9">
      <w:pPr>
        <w:ind w:firstLine="720"/>
        <w:rPr>
          <w:iCs/>
          <w:snapToGrid w:val="0"/>
          <w:sz w:val="20"/>
          <w:szCs w:val="20"/>
        </w:rPr>
      </w:pPr>
    </w:p>
    <w:p w14:paraId="4513DBEA" w14:textId="77777777" w:rsidR="001355D9" w:rsidRDefault="001355D9" w:rsidP="001355D9">
      <w:pPr>
        <w:tabs>
          <w:tab w:val="left" w:pos="3090"/>
        </w:tabs>
        <w:rPr>
          <w:sz w:val="20"/>
          <w:szCs w:val="20"/>
        </w:rPr>
      </w:pPr>
      <w:r>
        <w:rPr>
          <w:sz w:val="20"/>
          <w:szCs w:val="20"/>
        </w:rPr>
        <w:br w:type="page"/>
      </w:r>
    </w:p>
    <w:p w14:paraId="38C2CBD0" w14:textId="25C5A712" w:rsidR="001355D9" w:rsidRDefault="001355D9" w:rsidP="001355D9">
      <w:pPr>
        <w:jc w:val="center"/>
        <w:rPr>
          <w:rFonts w:eastAsia="SimSun"/>
          <w:b/>
          <w:color w:val="000000"/>
          <w:sz w:val="28"/>
          <w:szCs w:val="28"/>
        </w:rPr>
      </w:pPr>
      <w:r w:rsidRPr="005777BA">
        <w:rPr>
          <w:b/>
          <w:noProof/>
        </w:rPr>
        <w:drawing>
          <wp:anchor distT="0" distB="0" distL="114300" distR="114300" simplePos="0" relativeHeight="251658240" behindDoc="1" locked="0" layoutInCell="1" allowOverlap="1" wp14:anchorId="1BDF6CAE" wp14:editId="6BE9D762">
            <wp:simplePos x="0" y="0"/>
            <wp:positionH relativeFrom="column">
              <wp:posOffset>76200</wp:posOffset>
            </wp:positionH>
            <wp:positionV relativeFrom="page">
              <wp:posOffset>361950</wp:posOffset>
            </wp:positionV>
            <wp:extent cx="1892300" cy="501650"/>
            <wp:effectExtent l="0" t="0" r="0" b="0"/>
            <wp:wrapNone/>
            <wp:docPr id="1"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2300" cy="501650"/>
                    </a:xfrm>
                    <a:prstGeom prst="rect">
                      <a:avLst/>
                    </a:prstGeom>
                    <a:noFill/>
                    <a:ln w="9525">
                      <a:noFill/>
                      <a:miter lim="800000"/>
                      <a:headEnd/>
                      <a:tailEnd/>
                    </a:ln>
                  </pic:spPr>
                </pic:pic>
              </a:graphicData>
            </a:graphic>
          </wp:anchor>
        </w:drawing>
      </w:r>
      <w:r>
        <w:rPr>
          <w:rFonts w:eastAsia="SimSun"/>
          <w:b/>
          <w:color w:val="000000"/>
          <w:sz w:val="28"/>
          <w:szCs w:val="28"/>
        </w:rPr>
        <w:t xml:space="preserve">                                                                                                           Exhibit 99.1</w:t>
      </w:r>
    </w:p>
    <w:p w14:paraId="59D367A3" w14:textId="77777777" w:rsidR="001355D9" w:rsidRDefault="001355D9" w:rsidP="001355D9">
      <w:pPr>
        <w:jc w:val="center"/>
        <w:rPr>
          <w:rFonts w:eastAsia="SimSun"/>
          <w:b/>
          <w:color w:val="000000"/>
          <w:sz w:val="28"/>
          <w:szCs w:val="28"/>
        </w:rPr>
      </w:pPr>
    </w:p>
    <w:p w14:paraId="77DC1EB2" w14:textId="77777777" w:rsidR="001355D9" w:rsidRDefault="001355D9" w:rsidP="001355D9">
      <w:pPr>
        <w:jc w:val="center"/>
        <w:rPr>
          <w:rFonts w:eastAsia="SimSun"/>
          <w:b/>
          <w:color w:val="000000"/>
          <w:sz w:val="28"/>
          <w:szCs w:val="28"/>
        </w:rPr>
      </w:pPr>
    </w:p>
    <w:p w14:paraId="63BF17B3" w14:textId="5292962A" w:rsidR="001355D9" w:rsidRPr="001355D9" w:rsidRDefault="001355D9" w:rsidP="001355D9">
      <w:pPr>
        <w:jc w:val="center"/>
        <w:rPr>
          <w:rFonts w:eastAsia="SimSun"/>
          <w:b/>
          <w:color w:val="000000"/>
          <w:sz w:val="28"/>
          <w:szCs w:val="28"/>
        </w:rPr>
      </w:pPr>
      <w:r w:rsidRPr="001355D9">
        <w:rPr>
          <w:rFonts w:eastAsia="SimSun"/>
          <w:b/>
          <w:color w:val="000000"/>
          <w:sz w:val="28"/>
          <w:szCs w:val="28"/>
        </w:rPr>
        <w:t>GeoVax Announces License Agreement with NIH</w:t>
      </w:r>
    </w:p>
    <w:p w14:paraId="34FD1F05" w14:textId="77777777" w:rsidR="001355D9" w:rsidRPr="001355D9" w:rsidRDefault="001355D9" w:rsidP="001355D9">
      <w:pPr>
        <w:jc w:val="center"/>
        <w:rPr>
          <w:rFonts w:eastAsia="SimSun"/>
          <w:b/>
          <w:color w:val="000000"/>
          <w:sz w:val="28"/>
          <w:szCs w:val="28"/>
        </w:rPr>
      </w:pPr>
      <w:r w:rsidRPr="001355D9">
        <w:rPr>
          <w:rFonts w:eastAsia="SimSun"/>
          <w:b/>
          <w:color w:val="000000"/>
          <w:sz w:val="28"/>
          <w:szCs w:val="28"/>
        </w:rPr>
        <w:t>to Support Continued Advancements in Vaccine Development</w:t>
      </w:r>
    </w:p>
    <w:p w14:paraId="6D9BD95B" w14:textId="77777777" w:rsidR="001355D9" w:rsidRPr="001355D9" w:rsidRDefault="001355D9" w:rsidP="001355D9">
      <w:pPr>
        <w:rPr>
          <w:rFonts w:eastAsia="SimSun"/>
          <w:b/>
          <w:color w:val="000000"/>
        </w:rPr>
      </w:pPr>
    </w:p>
    <w:p w14:paraId="0EEE7066" w14:textId="77777777" w:rsidR="001355D9" w:rsidRPr="001355D9" w:rsidRDefault="001355D9" w:rsidP="001355D9">
      <w:pPr>
        <w:jc w:val="both"/>
        <w:rPr>
          <w:rFonts w:eastAsia="SimSun"/>
          <w:bCs/>
          <w:color w:val="000000"/>
          <w:sz w:val="22"/>
          <w:szCs w:val="22"/>
        </w:rPr>
      </w:pPr>
      <w:r w:rsidRPr="001355D9">
        <w:rPr>
          <w:rFonts w:eastAsia="SimSun"/>
          <w:b/>
          <w:color w:val="000000"/>
          <w:sz w:val="22"/>
          <w:szCs w:val="22"/>
        </w:rPr>
        <w:t>ATLANTA, GA, November 30, 2020 – GeoVax Labs, Inc.</w:t>
      </w:r>
      <w:r w:rsidRPr="001355D9">
        <w:rPr>
          <w:rFonts w:eastAsia="SimSun"/>
          <w:bCs/>
          <w:color w:val="000000"/>
          <w:sz w:val="22"/>
          <w:szCs w:val="22"/>
        </w:rPr>
        <w:t xml:space="preserve"> (</w:t>
      </w:r>
      <w:proofErr w:type="spellStart"/>
      <w:r w:rsidRPr="001355D9">
        <w:rPr>
          <w:rFonts w:eastAsia="SimSun"/>
          <w:bCs/>
          <w:color w:val="000000"/>
          <w:sz w:val="22"/>
          <w:szCs w:val="22"/>
        </w:rPr>
        <w:t>NasdaqCM</w:t>
      </w:r>
      <w:proofErr w:type="spellEnd"/>
      <w:r w:rsidRPr="001355D9">
        <w:rPr>
          <w:rFonts w:eastAsia="SimSun"/>
          <w:bCs/>
          <w:color w:val="000000"/>
          <w:sz w:val="22"/>
          <w:szCs w:val="22"/>
        </w:rPr>
        <w:t xml:space="preserve">: GOVX, GOVXW) (“GeoVax” or the “Company”), a biotechnology company developing human immunotherapies and vaccines against infectious diseases and cancer, today announced the signing of a Patent and Biological Materials License Agreement (the “License Agreement”) with the National Institute of Allergy and Infectious Diseases (NIAID), part of the National Institutes of Health (NIH), in support of </w:t>
      </w:r>
      <w:proofErr w:type="spellStart"/>
      <w:r w:rsidRPr="001355D9">
        <w:rPr>
          <w:rFonts w:eastAsia="SimSun"/>
          <w:bCs/>
          <w:color w:val="000000"/>
          <w:sz w:val="22"/>
          <w:szCs w:val="22"/>
        </w:rPr>
        <w:t>GeoVax’s</w:t>
      </w:r>
      <w:proofErr w:type="spellEnd"/>
      <w:r w:rsidRPr="001355D9">
        <w:rPr>
          <w:rFonts w:eastAsia="SimSun"/>
          <w:bCs/>
          <w:color w:val="000000"/>
          <w:sz w:val="22"/>
          <w:szCs w:val="22"/>
        </w:rPr>
        <w:t xml:space="preserve"> non-clinical development of vaccines against numerous pathogens.</w:t>
      </w:r>
    </w:p>
    <w:p w14:paraId="6C5AA1BD" w14:textId="77777777" w:rsidR="001355D9" w:rsidRPr="001355D9" w:rsidRDefault="001355D9" w:rsidP="001355D9">
      <w:pPr>
        <w:jc w:val="both"/>
        <w:rPr>
          <w:rFonts w:eastAsia="SimSun"/>
          <w:bCs/>
          <w:color w:val="000000"/>
          <w:sz w:val="22"/>
          <w:szCs w:val="22"/>
        </w:rPr>
      </w:pPr>
    </w:p>
    <w:p w14:paraId="6BFBC1B3" w14:textId="77777777" w:rsidR="001355D9" w:rsidRPr="001355D9" w:rsidRDefault="001355D9" w:rsidP="001355D9">
      <w:pPr>
        <w:jc w:val="both"/>
        <w:rPr>
          <w:rFonts w:eastAsia="SimSun"/>
          <w:bCs/>
          <w:color w:val="000000"/>
          <w:sz w:val="22"/>
          <w:szCs w:val="22"/>
        </w:rPr>
      </w:pPr>
      <w:r w:rsidRPr="001355D9">
        <w:rPr>
          <w:rFonts w:eastAsia="SimSun"/>
          <w:bCs/>
          <w:color w:val="000000"/>
          <w:sz w:val="22"/>
          <w:szCs w:val="22"/>
        </w:rPr>
        <w:t>The License Agreement provides GeoVax with access to certain materials and patent rights owned by agencies of the Department of Health and Human Services (HHS) for use in combination with the Company’s proprietary technology for the creation of preventive and/or therapeutic vaccines against Ebola-Zaire, Ebola-Sudan, Lassa virus, Marburg virus, Zika virus and malaria. The agreement also extends to the Company’s research and development efforts in certain oncology areas. The agreement provides GeoVax with nonexclusive rights for the nonclinical development and manufacturing of its vaccine and immunotherapy candidates using HHS patents and materials.  Financial terms of the License Agreement were not disclosed.</w:t>
      </w:r>
    </w:p>
    <w:p w14:paraId="3442DB8D" w14:textId="77777777" w:rsidR="001355D9" w:rsidRPr="001355D9" w:rsidRDefault="001355D9" w:rsidP="001355D9">
      <w:pPr>
        <w:jc w:val="both"/>
        <w:rPr>
          <w:rFonts w:eastAsia="SimSun"/>
          <w:bCs/>
          <w:color w:val="000000"/>
          <w:sz w:val="22"/>
          <w:szCs w:val="22"/>
        </w:rPr>
      </w:pPr>
    </w:p>
    <w:p w14:paraId="03ED7CE1" w14:textId="77777777" w:rsidR="001355D9" w:rsidRPr="001355D9" w:rsidRDefault="001355D9" w:rsidP="001355D9">
      <w:pPr>
        <w:widowControl w:val="0"/>
        <w:autoSpaceDE w:val="0"/>
        <w:autoSpaceDN w:val="0"/>
        <w:adjustRightInd w:val="0"/>
        <w:jc w:val="both"/>
        <w:rPr>
          <w:rFonts w:eastAsia="SimSun"/>
          <w:bCs/>
          <w:color w:val="000000"/>
          <w:sz w:val="22"/>
          <w:szCs w:val="22"/>
        </w:rPr>
      </w:pPr>
      <w:r w:rsidRPr="001355D9">
        <w:rPr>
          <w:sz w:val="22"/>
          <w:szCs w:val="22"/>
        </w:rPr>
        <w:t>David Dodd, GeoVax President and CEO, commented, “</w:t>
      </w:r>
      <w:bookmarkStart w:id="4" w:name="bFAQ26"/>
      <w:bookmarkEnd w:id="4"/>
      <w:r w:rsidRPr="001355D9">
        <w:rPr>
          <w:sz w:val="22"/>
          <w:szCs w:val="22"/>
        </w:rPr>
        <w:t>This research license agreement</w:t>
      </w:r>
      <w:r w:rsidRPr="001355D9">
        <w:rPr>
          <w:rFonts w:eastAsia="SimSun"/>
          <w:bCs/>
          <w:color w:val="000000"/>
          <w:sz w:val="22"/>
          <w:szCs w:val="22"/>
        </w:rPr>
        <w:t xml:space="preserve"> is important to  </w:t>
      </w:r>
      <w:proofErr w:type="spellStart"/>
      <w:r w:rsidRPr="001355D9">
        <w:rPr>
          <w:rFonts w:eastAsia="SimSun"/>
          <w:bCs/>
          <w:color w:val="000000"/>
          <w:sz w:val="22"/>
          <w:szCs w:val="22"/>
        </w:rPr>
        <w:t>GeoVax’s</w:t>
      </w:r>
      <w:proofErr w:type="spellEnd"/>
      <w:r w:rsidRPr="001355D9">
        <w:rPr>
          <w:rFonts w:eastAsia="SimSun"/>
          <w:bCs/>
          <w:color w:val="000000"/>
          <w:sz w:val="22"/>
          <w:szCs w:val="22"/>
        </w:rPr>
        <w:t xml:space="preserve"> ongoing vaccine and cancer immunotherapy developments as it provides us with the rights for continued use of the HHS patents and materials in our research and development programs. If we later decide to commercialize vaccine candidates that are subject to this license, we will negotiate appropriate commercialization licenses at that time, </w:t>
      </w:r>
      <w:proofErr w:type="gramStart"/>
      <w:r w:rsidRPr="001355D9">
        <w:rPr>
          <w:rFonts w:eastAsia="SimSun"/>
          <w:bCs/>
          <w:color w:val="000000"/>
          <w:sz w:val="22"/>
          <w:szCs w:val="22"/>
        </w:rPr>
        <w:t>similar to</w:t>
      </w:r>
      <w:proofErr w:type="gramEnd"/>
      <w:r w:rsidRPr="001355D9">
        <w:rPr>
          <w:rFonts w:eastAsia="SimSun"/>
          <w:bCs/>
          <w:color w:val="000000"/>
          <w:sz w:val="22"/>
          <w:szCs w:val="22"/>
        </w:rPr>
        <w:t xml:space="preserve"> that recently completed related to our COVID-19 vaccine program.”</w:t>
      </w:r>
    </w:p>
    <w:p w14:paraId="48DC703F" w14:textId="77777777" w:rsidR="001355D9" w:rsidRPr="001355D9" w:rsidRDefault="001355D9" w:rsidP="001355D9">
      <w:pPr>
        <w:jc w:val="both"/>
        <w:rPr>
          <w:rFonts w:eastAsia="SimSun"/>
          <w:bCs/>
          <w:color w:val="000000"/>
          <w:sz w:val="22"/>
          <w:szCs w:val="22"/>
        </w:rPr>
      </w:pPr>
    </w:p>
    <w:p w14:paraId="4BCAF6AE" w14:textId="77777777" w:rsidR="001355D9" w:rsidRPr="001355D9" w:rsidRDefault="001355D9" w:rsidP="001355D9">
      <w:pPr>
        <w:widowControl w:val="0"/>
        <w:shd w:val="clear" w:color="auto" w:fill="FFFFFF"/>
        <w:autoSpaceDE w:val="0"/>
        <w:autoSpaceDN w:val="0"/>
        <w:adjustRightInd w:val="0"/>
        <w:jc w:val="both"/>
        <w:rPr>
          <w:b/>
          <w:bCs/>
          <w:sz w:val="22"/>
          <w:szCs w:val="22"/>
        </w:rPr>
      </w:pPr>
      <w:r w:rsidRPr="001355D9">
        <w:rPr>
          <w:b/>
          <w:bCs/>
          <w:sz w:val="22"/>
          <w:szCs w:val="22"/>
        </w:rPr>
        <w:t>About GeoVax</w:t>
      </w:r>
    </w:p>
    <w:p w14:paraId="44664A3A" w14:textId="77777777" w:rsidR="001355D9" w:rsidRPr="001355D9" w:rsidRDefault="001355D9" w:rsidP="001355D9">
      <w:pPr>
        <w:jc w:val="both"/>
        <w:rPr>
          <w:rFonts w:eastAsia="SimSun"/>
          <w:bCs/>
          <w:color w:val="000000"/>
          <w:sz w:val="22"/>
          <w:szCs w:val="22"/>
        </w:rPr>
      </w:pPr>
      <w:bookmarkStart w:id="5" w:name="_Hlk514326477"/>
    </w:p>
    <w:p w14:paraId="233A64D2" w14:textId="77777777" w:rsidR="001355D9" w:rsidRPr="001355D9" w:rsidRDefault="001355D9" w:rsidP="001355D9">
      <w:pPr>
        <w:jc w:val="both"/>
        <w:rPr>
          <w:rFonts w:eastAsia="SimSun"/>
          <w:bCs/>
          <w:color w:val="000000"/>
          <w:sz w:val="22"/>
          <w:szCs w:val="22"/>
        </w:rPr>
      </w:pPr>
      <w:r w:rsidRPr="001355D9">
        <w:rPr>
          <w:rFonts w:eastAsia="SimSun"/>
          <w:bCs/>
          <w:color w:val="000000"/>
          <w:sz w:val="22"/>
          <w:szCs w:val="22"/>
        </w:rPr>
        <w:t>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within (</w:t>
      </w:r>
      <w:r w:rsidRPr="001355D9">
        <w:rPr>
          <w:rFonts w:eastAsia="SimSun"/>
          <w:bCs/>
          <w:i/>
          <w:iCs/>
          <w:color w:val="000000"/>
          <w:sz w:val="22"/>
          <w:szCs w:val="22"/>
        </w:rPr>
        <w:t>in vivo</w:t>
      </w:r>
      <w:r w:rsidRPr="001355D9">
        <w:rPr>
          <w:rFonts w:eastAsia="SimSun"/>
          <w:bCs/>
          <w:color w:val="000000"/>
          <w:sz w:val="22"/>
          <w:szCs w:val="22"/>
        </w:rPr>
        <w:t xml:space="preserve">) the person receiving the vaccine. The production of VLPs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w:t>
      </w:r>
      <w:proofErr w:type="gramStart"/>
      <w:r w:rsidRPr="001355D9">
        <w:rPr>
          <w:rFonts w:eastAsia="SimSun"/>
          <w:bCs/>
          <w:color w:val="000000"/>
          <w:sz w:val="22"/>
          <w:szCs w:val="22"/>
        </w:rPr>
        <w:t>similar to</w:t>
      </w:r>
      <w:proofErr w:type="gramEnd"/>
      <w:r w:rsidRPr="001355D9">
        <w:rPr>
          <w:rFonts w:eastAsia="SimSun"/>
          <w:bCs/>
          <w:color w:val="000000"/>
          <w:sz w:val="22"/>
          <w:szCs w:val="22"/>
        </w:rPr>
        <w:t xml:space="preserve"> a live-attenuated virus, while providing the safety characteristics of a replication-defective vector. </w:t>
      </w:r>
    </w:p>
    <w:p w14:paraId="123A8649" w14:textId="77777777" w:rsidR="001355D9" w:rsidRPr="001355D9" w:rsidRDefault="001355D9" w:rsidP="001355D9">
      <w:pPr>
        <w:jc w:val="both"/>
        <w:rPr>
          <w:rFonts w:eastAsia="SimSun"/>
          <w:bCs/>
          <w:color w:val="000000"/>
          <w:sz w:val="22"/>
          <w:szCs w:val="22"/>
        </w:rPr>
      </w:pPr>
    </w:p>
    <w:p w14:paraId="6A3E689F" w14:textId="77777777" w:rsidR="001355D9" w:rsidRPr="001355D9" w:rsidRDefault="001355D9" w:rsidP="001355D9">
      <w:pPr>
        <w:jc w:val="both"/>
        <w:rPr>
          <w:rFonts w:eastAsia="SimSun"/>
          <w:bCs/>
          <w:color w:val="000000"/>
          <w:sz w:val="22"/>
          <w:szCs w:val="22"/>
        </w:rPr>
      </w:pPr>
      <w:proofErr w:type="spellStart"/>
      <w:r w:rsidRPr="001355D9">
        <w:rPr>
          <w:rFonts w:eastAsia="SimSun"/>
          <w:bCs/>
          <w:color w:val="000000"/>
          <w:sz w:val="22"/>
          <w:szCs w:val="22"/>
        </w:rPr>
        <w:t>GeoVax’s</w:t>
      </w:r>
      <w:proofErr w:type="spellEnd"/>
      <w:r w:rsidRPr="001355D9">
        <w:rPr>
          <w:rFonts w:eastAsia="SimSun"/>
          <w:bCs/>
          <w:color w:val="000000"/>
          <w:sz w:val="22"/>
          <w:szCs w:val="22"/>
        </w:rPr>
        <w:t xml:space="preserve"> current development programs are focused on preventive vaccines against COVID-19, HIV, Zika Virus, hemorrhagic fever viruses (Ebola, Sudan, Marburg, and Lassa), 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1355D9">
        <w:rPr>
          <w:rFonts w:eastAsia="SimSun"/>
          <w:bCs/>
          <w:color w:val="000000"/>
          <w:sz w:val="22"/>
          <w:szCs w:val="22"/>
        </w:rPr>
        <w:t>GeoVax’s</w:t>
      </w:r>
      <w:proofErr w:type="spellEnd"/>
      <w:r w:rsidRPr="001355D9">
        <w:rPr>
          <w:rFonts w:eastAsia="SimSun"/>
          <w:bCs/>
          <w:color w:val="000000"/>
          <w:sz w:val="22"/>
          <w:szCs w:val="22"/>
        </w:rPr>
        <w:t xml:space="preserve"> HIV vaccine candidate is also part of two separate collaborative efforts to apply its innovative gene therapy approach toward a functional cure for HIV.</w:t>
      </w:r>
    </w:p>
    <w:p w14:paraId="77408E40" w14:textId="77777777" w:rsidR="001355D9" w:rsidRPr="001355D9" w:rsidRDefault="001355D9" w:rsidP="001355D9">
      <w:pPr>
        <w:jc w:val="both"/>
        <w:rPr>
          <w:rFonts w:eastAsia="SimSun"/>
          <w:bCs/>
          <w:color w:val="000000"/>
          <w:sz w:val="22"/>
          <w:szCs w:val="22"/>
        </w:rPr>
      </w:pPr>
    </w:p>
    <w:p w14:paraId="029E1C13" w14:textId="77777777" w:rsidR="001355D9" w:rsidRPr="001355D9" w:rsidRDefault="001355D9" w:rsidP="001355D9">
      <w:pPr>
        <w:widowControl w:val="0"/>
        <w:autoSpaceDE w:val="0"/>
        <w:autoSpaceDN w:val="0"/>
        <w:adjustRightInd w:val="0"/>
        <w:jc w:val="both"/>
        <w:outlineLvl w:val="0"/>
        <w:rPr>
          <w:rFonts w:eastAsia="SimSun"/>
          <w:b/>
          <w:i/>
          <w:sz w:val="22"/>
          <w:szCs w:val="22"/>
        </w:rPr>
      </w:pPr>
      <w:r w:rsidRPr="001355D9">
        <w:rPr>
          <w:rFonts w:eastAsia="SimSun"/>
          <w:b/>
          <w:i/>
          <w:sz w:val="22"/>
          <w:szCs w:val="22"/>
        </w:rPr>
        <w:t>Forward-Looking Statements</w:t>
      </w:r>
    </w:p>
    <w:p w14:paraId="06A7AAE5" w14:textId="77777777" w:rsidR="001355D9" w:rsidRPr="001355D9" w:rsidRDefault="001355D9" w:rsidP="001355D9">
      <w:pPr>
        <w:widowControl w:val="0"/>
        <w:shd w:val="clear" w:color="auto" w:fill="FFFFFF"/>
        <w:autoSpaceDE w:val="0"/>
        <w:autoSpaceDN w:val="0"/>
        <w:adjustRightInd w:val="0"/>
        <w:jc w:val="both"/>
        <w:rPr>
          <w:rFonts w:eastAsia="SimSun"/>
          <w:i/>
          <w:sz w:val="22"/>
          <w:szCs w:val="22"/>
        </w:rPr>
      </w:pPr>
    </w:p>
    <w:bookmarkEnd w:id="5"/>
    <w:p w14:paraId="6953CA30" w14:textId="77777777" w:rsidR="001355D9" w:rsidRPr="001355D9" w:rsidRDefault="001355D9" w:rsidP="001355D9">
      <w:pPr>
        <w:jc w:val="both"/>
        <w:rPr>
          <w:rFonts w:eastAsia="SimSun"/>
          <w:bCs/>
          <w:color w:val="000000"/>
          <w:sz w:val="22"/>
          <w:szCs w:val="22"/>
        </w:rPr>
      </w:pPr>
      <w:r w:rsidRPr="001355D9">
        <w:rPr>
          <w:rFonts w:eastAsia="SimSun"/>
          <w:bCs/>
          <w:i/>
          <w:iCs/>
          <w:color w:val="000000"/>
          <w:sz w:val="22"/>
          <w:szCs w:val="22"/>
        </w:rPr>
        <w:t xml:space="preserve">This release contains forward-looking statements regarding </w:t>
      </w:r>
      <w:proofErr w:type="spellStart"/>
      <w:r w:rsidRPr="001355D9">
        <w:rPr>
          <w:rFonts w:eastAsia="SimSun"/>
          <w:bCs/>
          <w:i/>
          <w:iCs/>
          <w:color w:val="000000"/>
          <w:sz w:val="22"/>
          <w:szCs w:val="22"/>
        </w:rPr>
        <w:t>GeoVax’s</w:t>
      </w:r>
      <w:proofErr w:type="spellEnd"/>
      <w:r w:rsidRPr="001355D9">
        <w:rPr>
          <w:rFonts w:eastAsia="SimSun"/>
          <w:bCs/>
          <w:i/>
          <w:iCs/>
          <w:color w:val="000000"/>
          <w:sz w:val="22"/>
          <w:szCs w:val="22"/>
        </w:rPr>
        <w:t xml:space="preserve"> business plans and financial result.  This release and the related conference call discuss forward-looking statements regarding </w:t>
      </w:r>
      <w:proofErr w:type="spellStart"/>
      <w:r w:rsidRPr="001355D9">
        <w:rPr>
          <w:rFonts w:eastAsia="SimSun"/>
          <w:bCs/>
          <w:i/>
          <w:iCs/>
          <w:color w:val="000000"/>
          <w:sz w:val="22"/>
          <w:szCs w:val="22"/>
        </w:rPr>
        <w:t>GeoVax’s</w:t>
      </w:r>
      <w:proofErr w:type="spellEnd"/>
      <w:r w:rsidRPr="001355D9">
        <w:rPr>
          <w:rFonts w:eastAsia="SimSun"/>
          <w:bCs/>
          <w:i/>
          <w:iCs/>
          <w:color w:val="000000"/>
          <w:sz w:val="22"/>
          <w:szCs w:val="22"/>
        </w:rPr>
        <w:t xml:space="preserve"> ability to implement its business plan, expected revenues and future success.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can develop and manufacture its vaccines with the desired characteristics in a timely manner, </w:t>
      </w:r>
      <w:proofErr w:type="spellStart"/>
      <w:r w:rsidRPr="001355D9">
        <w:rPr>
          <w:rFonts w:eastAsia="SimSun"/>
          <w:bCs/>
          <w:i/>
          <w:iCs/>
          <w:color w:val="000000"/>
          <w:sz w:val="22"/>
          <w:szCs w:val="22"/>
        </w:rPr>
        <w:t>GeoVax’s</w:t>
      </w:r>
      <w:proofErr w:type="spellEnd"/>
      <w:r w:rsidRPr="001355D9">
        <w:rPr>
          <w:rFonts w:eastAsia="SimSun"/>
          <w:bCs/>
          <w:i/>
          <w:iCs/>
          <w:color w:val="000000"/>
          <w:sz w:val="22"/>
          <w:szCs w:val="22"/>
        </w:rPr>
        <w:t xml:space="preserve"> vaccines will be safe for human use, </w:t>
      </w:r>
      <w:proofErr w:type="spellStart"/>
      <w:r w:rsidRPr="001355D9">
        <w:rPr>
          <w:rFonts w:eastAsia="SimSun"/>
          <w:bCs/>
          <w:i/>
          <w:iCs/>
          <w:color w:val="000000"/>
          <w:sz w:val="22"/>
          <w:szCs w:val="22"/>
        </w:rPr>
        <w:t>GeoVax’s</w:t>
      </w:r>
      <w:proofErr w:type="spellEnd"/>
      <w:r w:rsidRPr="001355D9">
        <w:rPr>
          <w:rFonts w:eastAsia="SimSun"/>
          <w:bCs/>
          <w:i/>
          <w:iCs/>
          <w:color w:val="000000"/>
          <w:sz w:val="22"/>
          <w:szCs w:val="22"/>
        </w:rPr>
        <w:t xml:space="preserve"> vaccines will effectively prevent targeted infections in humans, </w:t>
      </w:r>
      <w:proofErr w:type="spellStart"/>
      <w:r w:rsidRPr="001355D9">
        <w:rPr>
          <w:rFonts w:eastAsia="SimSun"/>
          <w:bCs/>
          <w:i/>
          <w:iCs/>
          <w:color w:val="000000"/>
          <w:sz w:val="22"/>
          <w:szCs w:val="22"/>
        </w:rPr>
        <w:t>GeoVax’s</w:t>
      </w:r>
      <w:proofErr w:type="spellEnd"/>
      <w:r w:rsidRPr="001355D9">
        <w:rPr>
          <w:rFonts w:eastAsia="SimSun"/>
          <w:bCs/>
          <w:i/>
          <w:iCs/>
          <w:color w:val="000000"/>
          <w:sz w:val="22"/>
          <w:szCs w:val="22"/>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1355D9">
        <w:rPr>
          <w:rFonts w:eastAsia="SimSun"/>
          <w:bCs/>
          <w:i/>
          <w:iCs/>
          <w:color w:val="000000"/>
          <w:sz w:val="22"/>
          <w:szCs w:val="22"/>
        </w:rPr>
        <w:t>GeoVax’s</w:t>
      </w:r>
      <w:proofErr w:type="spellEnd"/>
      <w:r w:rsidRPr="001355D9">
        <w:rPr>
          <w:rFonts w:eastAsia="SimSun"/>
          <w:bCs/>
          <w:i/>
          <w:iCs/>
          <w:color w:val="000000"/>
          <w:sz w:val="22"/>
          <w:szCs w:val="22"/>
        </w:rPr>
        <w:t xml:space="preserve"> products, GeoVax will be able to enter into favorable manufacturing and distribution agreements, the impact of the COVID-19 pandemic continues, and other factors, over which GeoVax has no control.</w:t>
      </w:r>
    </w:p>
    <w:p w14:paraId="4E8090B5" w14:textId="77777777" w:rsidR="001355D9" w:rsidRPr="001355D9" w:rsidRDefault="001355D9" w:rsidP="001355D9">
      <w:pPr>
        <w:jc w:val="both"/>
        <w:rPr>
          <w:rFonts w:eastAsia="SimSun"/>
          <w:bCs/>
          <w:color w:val="000000"/>
          <w:sz w:val="22"/>
          <w:szCs w:val="22"/>
        </w:rPr>
      </w:pPr>
      <w:r w:rsidRPr="001355D9">
        <w:rPr>
          <w:rFonts w:eastAsia="SimSun"/>
          <w:bCs/>
          <w:i/>
          <w:iCs/>
          <w:color w:val="000000"/>
          <w:sz w:val="22"/>
          <w:szCs w:val="22"/>
        </w:rPr>
        <w:t> </w:t>
      </w:r>
    </w:p>
    <w:p w14:paraId="353C5548" w14:textId="77777777" w:rsidR="001355D9" w:rsidRPr="001355D9" w:rsidRDefault="001355D9" w:rsidP="001355D9">
      <w:pPr>
        <w:jc w:val="both"/>
        <w:rPr>
          <w:rFonts w:eastAsia="SimSun"/>
          <w:bCs/>
          <w:color w:val="000000"/>
          <w:sz w:val="22"/>
          <w:szCs w:val="22"/>
        </w:rPr>
      </w:pPr>
      <w:r w:rsidRPr="001355D9">
        <w:rPr>
          <w:rFonts w:eastAsia="SimSun"/>
          <w:bCs/>
          <w:i/>
          <w:iCs/>
          <w:color w:val="000000"/>
          <w:sz w:val="22"/>
          <w:szCs w:val="22"/>
        </w:rPr>
        <w:t xml:space="preserve">Further information on our risk factors is contained in our most recent Quarterly Report on Form 10-Q that we have filed with the SEC. Any forward-looking statement made by us herein speaks only as of the date on which it is made. Factors or events that could cause our actual results to differ may emerge from time to time, and it is not possible for us to predict all of them. We undertake no obligation to publicly update any forward-looking statement, whether </w:t>
      </w:r>
      <w:proofErr w:type="gramStart"/>
      <w:r w:rsidRPr="001355D9">
        <w:rPr>
          <w:rFonts w:eastAsia="SimSun"/>
          <w:bCs/>
          <w:i/>
          <w:iCs/>
          <w:color w:val="000000"/>
          <w:sz w:val="22"/>
          <w:szCs w:val="22"/>
        </w:rPr>
        <w:t>as a result of</w:t>
      </w:r>
      <w:proofErr w:type="gramEnd"/>
      <w:r w:rsidRPr="001355D9">
        <w:rPr>
          <w:rFonts w:eastAsia="SimSun"/>
          <w:bCs/>
          <w:i/>
          <w:iCs/>
          <w:color w:val="000000"/>
          <w:sz w:val="22"/>
          <w:szCs w:val="22"/>
        </w:rPr>
        <w:t xml:space="preserve"> new information, future developments or otherwise, except as may be required by law.</w:t>
      </w:r>
    </w:p>
    <w:p w14:paraId="66A089B7" w14:textId="77777777" w:rsidR="001355D9" w:rsidRPr="001355D9" w:rsidRDefault="001355D9" w:rsidP="001355D9">
      <w:pPr>
        <w:jc w:val="both"/>
        <w:rPr>
          <w:rFonts w:eastAsia="SimSun"/>
          <w:bCs/>
          <w:color w:val="000000"/>
          <w:sz w:val="22"/>
          <w:szCs w:val="22"/>
        </w:rPr>
      </w:pPr>
    </w:p>
    <w:p w14:paraId="37D01429" w14:textId="77777777" w:rsidR="001355D9" w:rsidRPr="001355D9" w:rsidRDefault="001355D9" w:rsidP="001355D9">
      <w:pPr>
        <w:widowControl w:val="0"/>
        <w:autoSpaceDE w:val="0"/>
        <w:autoSpaceDN w:val="0"/>
        <w:adjustRightInd w:val="0"/>
        <w:rPr>
          <w:rFonts w:eastAsia="SimSun"/>
          <w:b/>
          <w:color w:val="000000"/>
          <w:sz w:val="22"/>
          <w:szCs w:val="22"/>
        </w:rPr>
      </w:pPr>
      <w:r w:rsidRPr="001355D9">
        <w:rPr>
          <w:rFonts w:eastAsia="SimSun"/>
          <w:b/>
          <w:color w:val="000000"/>
          <w:sz w:val="22"/>
          <w:szCs w:val="22"/>
        </w:rPr>
        <w:t>Contact:</w:t>
      </w:r>
    </w:p>
    <w:p w14:paraId="44A24B33" w14:textId="77777777" w:rsidR="001355D9" w:rsidRPr="001355D9" w:rsidRDefault="001355D9" w:rsidP="001355D9">
      <w:pPr>
        <w:widowControl w:val="0"/>
        <w:autoSpaceDE w:val="0"/>
        <w:autoSpaceDN w:val="0"/>
        <w:adjustRightInd w:val="0"/>
        <w:rPr>
          <w:rFonts w:eastAsia="SimSun"/>
          <w:bCs/>
          <w:color w:val="000000"/>
          <w:sz w:val="22"/>
          <w:szCs w:val="22"/>
        </w:rPr>
      </w:pPr>
      <w:r w:rsidRPr="001355D9">
        <w:rPr>
          <w:rFonts w:eastAsia="SimSun"/>
          <w:bCs/>
          <w:color w:val="000000"/>
          <w:sz w:val="22"/>
          <w:szCs w:val="22"/>
        </w:rPr>
        <w:t>GeoVax Labs, Inc.</w:t>
      </w:r>
    </w:p>
    <w:p w14:paraId="212BC95B" w14:textId="77777777" w:rsidR="001355D9" w:rsidRPr="001355D9" w:rsidRDefault="001355D9" w:rsidP="001355D9">
      <w:pPr>
        <w:widowControl w:val="0"/>
        <w:autoSpaceDE w:val="0"/>
        <w:autoSpaceDN w:val="0"/>
        <w:adjustRightInd w:val="0"/>
        <w:rPr>
          <w:rFonts w:eastAsia="SimSun"/>
          <w:bCs/>
          <w:color w:val="000000"/>
          <w:sz w:val="22"/>
          <w:szCs w:val="22"/>
        </w:rPr>
      </w:pPr>
      <w:r w:rsidRPr="001355D9">
        <w:rPr>
          <w:rFonts w:eastAsia="SimSun"/>
          <w:bCs/>
          <w:color w:val="000000"/>
          <w:sz w:val="22"/>
          <w:szCs w:val="22"/>
        </w:rPr>
        <w:t>investor@geovax.com</w:t>
      </w:r>
    </w:p>
    <w:p w14:paraId="27D87C21" w14:textId="77777777" w:rsidR="001355D9" w:rsidRPr="001355D9" w:rsidRDefault="001355D9" w:rsidP="001355D9">
      <w:pPr>
        <w:widowControl w:val="0"/>
        <w:autoSpaceDE w:val="0"/>
        <w:autoSpaceDN w:val="0"/>
        <w:adjustRightInd w:val="0"/>
        <w:rPr>
          <w:rFonts w:eastAsia="SimSun"/>
          <w:bCs/>
          <w:color w:val="000000"/>
          <w:sz w:val="22"/>
          <w:szCs w:val="22"/>
        </w:rPr>
      </w:pPr>
      <w:r w:rsidRPr="001355D9">
        <w:rPr>
          <w:rFonts w:eastAsia="SimSun"/>
          <w:bCs/>
          <w:color w:val="000000"/>
          <w:sz w:val="22"/>
          <w:szCs w:val="22"/>
        </w:rPr>
        <w:t>678-384-7220</w:t>
      </w:r>
    </w:p>
    <w:p w14:paraId="371ED02F" w14:textId="77777777" w:rsidR="001355D9" w:rsidRPr="001355D9" w:rsidRDefault="001355D9" w:rsidP="001355D9">
      <w:pPr>
        <w:widowControl w:val="0"/>
        <w:autoSpaceDE w:val="0"/>
        <w:autoSpaceDN w:val="0"/>
        <w:adjustRightInd w:val="0"/>
        <w:rPr>
          <w:rFonts w:eastAsia="SimSun"/>
          <w:bCs/>
          <w:color w:val="000000"/>
          <w:sz w:val="22"/>
          <w:szCs w:val="22"/>
        </w:rPr>
      </w:pPr>
    </w:p>
    <w:p w14:paraId="34257EE1" w14:textId="77777777" w:rsidR="001355D9" w:rsidRPr="001355D9" w:rsidRDefault="001355D9" w:rsidP="001355D9">
      <w:pPr>
        <w:widowControl w:val="0"/>
        <w:autoSpaceDE w:val="0"/>
        <w:autoSpaceDN w:val="0"/>
        <w:adjustRightInd w:val="0"/>
        <w:rPr>
          <w:rFonts w:eastAsia="SimSun"/>
          <w:bCs/>
          <w:color w:val="000000"/>
        </w:rPr>
      </w:pPr>
    </w:p>
    <w:p w14:paraId="4D8B4389" w14:textId="4132632F" w:rsidR="001355D9" w:rsidRPr="001355D9" w:rsidRDefault="001355D9" w:rsidP="001355D9">
      <w:pPr>
        <w:tabs>
          <w:tab w:val="left" w:pos="3090"/>
        </w:tabs>
        <w:rPr>
          <w:sz w:val="20"/>
          <w:szCs w:val="20"/>
        </w:rPr>
      </w:pPr>
      <w:r>
        <w:rPr>
          <w:sz w:val="20"/>
          <w:szCs w:val="20"/>
        </w:rPr>
        <w:tab/>
      </w:r>
    </w:p>
    <w:sectPr w:rsidR="001355D9" w:rsidRPr="001355D9" w:rsidSect="00BE7A5B">
      <w:headerReference w:type="default" r:id="rId31"/>
      <w:footerReference w:type="default" r:id="rId32"/>
      <w:pgSz w:w="12240" w:h="15840"/>
      <w:pgMar w:top="1440" w:right="1440" w:bottom="1440" w:left="1440" w:header="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AA507" w14:textId="77777777" w:rsidR="004462C3" w:rsidRDefault="004462C3" w:rsidP="001355D9">
      <w:r>
        <w:separator/>
      </w:r>
    </w:p>
  </w:endnote>
  <w:endnote w:type="continuationSeparator" w:id="0">
    <w:p w14:paraId="58FD6009" w14:textId="77777777" w:rsidR="004462C3" w:rsidRDefault="004462C3" w:rsidP="0013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ino MT">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919E" w14:textId="77777777" w:rsidR="004462C3" w:rsidRDefault="0044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7F61E" w14:textId="77777777" w:rsidR="004462C3" w:rsidRDefault="004462C3" w:rsidP="001355D9">
      <w:r>
        <w:separator/>
      </w:r>
    </w:p>
  </w:footnote>
  <w:footnote w:type="continuationSeparator" w:id="0">
    <w:p w14:paraId="4728A290" w14:textId="77777777" w:rsidR="004462C3" w:rsidRDefault="004462C3" w:rsidP="0013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B558" w14:textId="77777777" w:rsidR="004462C3" w:rsidRDefault="0044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Times New Roman" w:hAnsi="Times New Roman"/>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F32F39"/>
    <w:multiLevelType w:val="hybridMultilevel"/>
    <w:tmpl w:val="9B1863DE"/>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04055BDE"/>
    <w:multiLevelType w:val="hybridMultilevel"/>
    <w:tmpl w:val="CD8E5282"/>
    <w:lvl w:ilvl="0" w:tplc="188E5CD4">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F57835"/>
    <w:multiLevelType w:val="hybridMultilevel"/>
    <w:tmpl w:val="A08229BE"/>
    <w:lvl w:ilvl="0" w:tplc="1A9C2D1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EE50CA0"/>
    <w:multiLevelType w:val="multilevel"/>
    <w:tmpl w:val="F8C419B0"/>
    <w:lvl w:ilvl="0">
      <w:start w:val="1"/>
      <w:numFmt w:val="upperRoman"/>
      <w:lvlText w:val="%1."/>
      <w:lvlJc w:val="left"/>
      <w:pPr>
        <w:tabs>
          <w:tab w:val="num" w:pos="720"/>
        </w:tabs>
        <w:ind w:left="720" w:hanging="720"/>
      </w:pPr>
      <w:rPr>
        <w:rFonts w:hint="default"/>
        <w:b w:val="0"/>
      </w:rPr>
    </w:lvl>
    <w:lvl w:ilvl="1">
      <w:start w:val="1"/>
      <w:numFmt w:val="none"/>
      <w:lvlText w:val="(a)"/>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97B459F"/>
    <w:multiLevelType w:val="multilevel"/>
    <w:tmpl w:val="2B5E42B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F2171EB"/>
    <w:multiLevelType w:val="hybridMultilevel"/>
    <w:tmpl w:val="8CE0D23C"/>
    <w:lvl w:ilvl="0" w:tplc="04090013">
      <w:start w:val="1"/>
      <w:numFmt w:val="upperRoman"/>
      <w:lvlText w:val="%1."/>
      <w:lvlJc w:val="right"/>
      <w:pPr>
        <w:tabs>
          <w:tab w:val="num" w:pos="180"/>
        </w:tabs>
        <w:ind w:left="180" w:hanging="180"/>
      </w:pPr>
    </w:lvl>
    <w:lvl w:ilvl="1" w:tplc="1A9C2D18">
      <w:start w:val="1"/>
      <w:numFmt w:val="lowerLetter"/>
      <w:lvlText w:val="(%2)"/>
      <w:lvlJc w:val="left"/>
      <w:pPr>
        <w:tabs>
          <w:tab w:val="num" w:pos="900"/>
        </w:tabs>
        <w:ind w:left="900" w:hanging="360"/>
      </w:pPr>
      <w:rPr>
        <w:rFonts w:hint="default"/>
      </w:r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2325786F"/>
    <w:multiLevelType w:val="multilevel"/>
    <w:tmpl w:val="3C9EDD9C"/>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8" w15:restartNumberingAfterBreak="0">
    <w:nsid w:val="25C64948"/>
    <w:multiLevelType w:val="hybridMultilevel"/>
    <w:tmpl w:val="10F288C2"/>
    <w:lvl w:ilvl="0" w:tplc="04090013">
      <w:start w:val="1"/>
      <w:numFmt w:val="upperRoman"/>
      <w:lvlText w:val="%1."/>
      <w:lvlJc w:val="right"/>
      <w:pPr>
        <w:tabs>
          <w:tab w:val="num" w:pos="180"/>
        </w:tabs>
        <w:ind w:left="180" w:hanging="180"/>
      </w:p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15:restartNumberingAfterBreak="0">
    <w:nsid w:val="36CC0194"/>
    <w:multiLevelType w:val="multilevel"/>
    <w:tmpl w:val="ACF8457E"/>
    <w:lvl w:ilvl="0">
      <w:start w:val="1"/>
      <w:numFmt w:val="upperRoman"/>
      <w:lvlText w:val="%1."/>
      <w:lvlJc w:val="left"/>
      <w:pPr>
        <w:tabs>
          <w:tab w:val="num" w:pos="720"/>
        </w:tabs>
        <w:ind w:left="720" w:hanging="720"/>
      </w:pPr>
      <w:rPr>
        <w:rFonts w:hint="default"/>
        <w:b w:val="0"/>
      </w:rPr>
    </w:lvl>
    <w:lvl w:ilvl="1">
      <w:start w:val="1"/>
      <w:numFmt w:val="low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6E24C38"/>
    <w:multiLevelType w:val="multilevel"/>
    <w:tmpl w:val="7A64E96E"/>
    <w:lvl w:ilvl="0">
      <w:start w:val="1"/>
      <w:numFmt w:val="decimal"/>
      <w:pStyle w:val="Level1License"/>
      <w:lvlText w:val="%1."/>
      <w:lvlJc w:val="left"/>
      <w:pPr>
        <w:tabs>
          <w:tab w:val="num" w:pos="720"/>
        </w:tabs>
        <w:ind w:left="720" w:hanging="720"/>
      </w:pPr>
      <w:rPr>
        <w:rFonts w:hint="default"/>
      </w:rPr>
    </w:lvl>
    <w:lvl w:ilvl="1">
      <w:start w:val="1"/>
      <w:numFmt w:val="decimal"/>
      <w:pStyle w:val="Level2License"/>
      <w:lvlText w:val="%1.%2"/>
      <w:lvlJc w:val="left"/>
      <w:pPr>
        <w:tabs>
          <w:tab w:val="num" w:pos="1440"/>
        </w:tabs>
        <w:ind w:left="1440" w:hanging="720"/>
      </w:pPr>
      <w:rPr>
        <w:rFonts w:hint="default"/>
        <w:b w:val="0"/>
        <w:bCs w:val="0"/>
      </w:rPr>
    </w:lvl>
    <w:lvl w:ilvl="2">
      <w:start w:val="1"/>
      <w:numFmt w:val="lowerLetter"/>
      <w:pStyle w:val="Level3License"/>
      <w:lvlText w:val="(%3)"/>
      <w:lvlJc w:val="left"/>
      <w:pPr>
        <w:tabs>
          <w:tab w:val="num" w:pos="2160"/>
        </w:tabs>
        <w:ind w:left="2160" w:hanging="720"/>
      </w:pPr>
      <w:rPr>
        <w:rFonts w:hint="default"/>
      </w:rPr>
    </w:lvl>
    <w:lvl w:ilvl="3">
      <w:start w:val="1"/>
      <w:numFmt w:val="lowerRoman"/>
      <w:pStyle w:val="Level4License"/>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37E2234A"/>
    <w:multiLevelType w:val="multilevel"/>
    <w:tmpl w:val="8EF60E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B5A3D16"/>
    <w:multiLevelType w:val="hybridMultilevel"/>
    <w:tmpl w:val="6D6648A0"/>
    <w:lvl w:ilvl="0" w:tplc="8DC2CFFA">
      <w:start w:val="1"/>
      <w:numFmt w:val="upperRoman"/>
      <w:lvlText w:val="%1."/>
      <w:lvlJc w:val="right"/>
      <w:pPr>
        <w:tabs>
          <w:tab w:val="num" w:pos="720"/>
        </w:tabs>
        <w:ind w:left="720" w:hanging="180"/>
      </w:pPr>
    </w:lvl>
    <w:lvl w:ilvl="1" w:tplc="2FFA1250" w:tentative="1">
      <w:start w:val="1"/>
      <w:numFmt w:val="lowerLetter"/>
      <w:lvlText w:val="%2."/>
      <w:lvlJc w:val="left"/>
      <w:pPr>
        <w:tabs>
          <w:tab w:val="num" w:pos="1440"/>
        </w:tabs>
        <w:ind w:left="1440" w:hanging="360"/>
      </w:pPr>
    </w:lvl>
    <w:lvl w:ilvl="2" w:tplc="CF382C32" w:tentative="1">
      <w:start w:val="1"/>
      <w:numFmt w:val="lowerRoman"/>
      <w:lvlText w:val="%3."/>
      <w:lvlJc w:val="right"/>
      <w:pPr>
        <w:tabs>
          <w:tab w:val="num" w:pos="2160"/>
        </w:tabs>
        <w:ind w:left="2160" w:hanging="180"/>
      </w:pPr>
    </w:lvl>
    <w:lvl w:ilvl="3" w:tplc="C0146946" w:tentative="1">
      <w:start w:val="1"/>
      <w:numFmt w:val="decimal"/>
      <w:lvlText w:val="%4."/>
      <w:lvlJc w:val="left"/>
      <w:pPr>
        <w:tabs>
          <w:tab w:val="num" w:pos="2880"/>
        </w:tabs>
        <w:ind w:left="2880" w:hanging="360"/>
      </w:pPr>
    </w:lvl>
    <w:lvl w:ilvl="4" w:tplc="190C2480" w:tentative="1">
      <w:start w:val="1"/>
      <w:numFmt w:val="lowerLetter"/>
      <w:lvlText w:val="%5."/>
      <w:lvlJc w:val="left"/>
      <w:pPr>
        <w:tabs>
          <w:tab w:val="num" w:pos="3600"/>
        </w:tabs>
        <w:ind w:left="3600" w:hanging="360"/>
      </w:pPr>
    </w:lvl>
    <w:lvl w:ilvl="5" w:tplc="C928BF12" w:tentative="1">
      <w:start w:val="1"/>
      <w:numFmt w:val="lowerRoman"/>
      <w:lvlText w:val="%6."/>
      <w:lvlJc w:val="right"/>
      <w:pPr>
        <w:tabs>
          <w:tab w:val="num" w:pos="4320"/>
        </w:tabs>
        <w:ind w:left="4320" w:hanging="180"/>
      </w:pPr>
    </w:lvl>
    <w:lvl w:ilvl="6" w:tplc="C82CD118" w:tentative="1">
      <w:start w:val="1"/>
      <w:numFmt w:val="decimal"/>
      <w:lvlText w:val="%7."/>
      <w:lvlJc w:val="left"/>
      <w:pPr>
        <w:tabs>
          <w:tab w:val="num" w:pos="5040"/>
        </w:tabs>
        <w:ind w:left="5040" w:hanging="360"/>
      </w:pPr>
    </w:lvl>
    <w:lvl w:ilvl="7" w:tplc="3E4087D8" w:tentative="1">
      <w:start w:val="1"/>
      <w:numFmt w:val="lowerLetter"/>
      <w:lvlText w:val="%8."/>
      <w:lvlJc w:val="left"/>
      <w:pPr>
        <w:tabs>
          <w:tab w:val="num" w:pos="5760"/>
        </w:tabs>
        <w:ind w:left="5760" w:hanging="360"/>
      </w:pPr>
    </w:lvl>
    <w:lvl w:ilvl="8" w:tplc="FADEBDA2" w:tentative="1">
      <w:start w:val="1"/>
      <w:numFmt w:val="lowerRoman"/>
      <w:lvlText w:val="%9."/>
      <w:lvlJc w:val="right"/>
      <w:pPr>
        <w:tabs>
          <w:tab w:val="num" w:pos="6480"/>
        </w:tabs>
        <w:ind w:left="6480" w:hanging="180"/>
      </w:pPr>
    </w:lvl>
  </w:abstractNum>
  <w:abstractNum w:abstractNumId="13" w15:restartNumberingAfterBreak="0">
    <w:nsid w:val="457E373B"/>
    <w:multiLevelType w:val="hybridMultilevel"/>
    <w:tmpl w:val="32925B5C"/>
    <w:lvl w:ilvl="0" w:tplc="73365A56">
      <w:start w:val="1"/>
      <w:numFmt w:val="bullet"/>
      <w:lvlText w:val="•"/>
      <w:lvlJc w:val="left"/>
      <w:pPr>
        <w:tabs>
          <w:tab w:val="num" w:pos="720"/>
        </w:tabs>
        <w:ind w:left="720" w:hanging="360"/>
      </w:pPr>
      <w:rPr>
        <w:rFonts w:ascii="Times New Roman" w:hAnsi="Times New Roman" w:hint="default"/>
      </w:rPr>
    </w:lvl>
    <w:lvl w:ilvl="1" w:tplc="1B722B22" w:tentative="1">
      <w:start w:val="1"/>
      <w:numFmt w:val="bullet"/>
      <w:lvlText w:val="•"/>
      <w:lvlJc w:val="left"/>
      <w:pPr>
        <w:tabs>
          <w:tab w:val="num" w:pos="1440"/>
        </w:tabs>
        <w:ind w:left="1440" w:hanging="360"/>
      </w:pPr>
      <w:rPr>
        <w:rFonts w:ascii="Times New Roman" w:hAnsi="Times New Roman" w:hint="default"/>
      </w:rPr>
    </w:lvl>
    <w:lvl w:ilvl="2" w:tplc="38F2E316" w:tentative="1">
      <w:start w:val="1"/>
      <w:numFmt w:val="bullet"/>
      <w:lvlText w:val="•"/>
      <w:lvlJc w:val="left"/>
      <w:pPr>
        <w:tabs>
          <w:tab w:val="num" w:pos="2160"/>
        </w:tabs>
        <w:ind w:left="2160" w:hanging="360"/>
      </w:pPr>
      <w:rPr>
        <w:rFonts w:ascii="Times New Roman" w:hAnsi="Times New Roman" w:hint="default"/>
      </w:rPr>
    </w:lvl>
    <w:lvl w:ilvl="3" w:tplc="4A7E3206" w:tentative="1">
      <w:start w:val="1"/>
      <w:numFmt w:val="bullet"/>
      <w:lvlText w:val="•"/>
      <w:lvlJc w:val="left"/>
      <w:pPr>
        <w:tabs>
          <w:tab w:val="num" w:pos="2880"/>
        </w:tabs>
        <w:ind w:left="2880" w:hanging="360"/>
      </w:pPr>
      <w:rPr>
        <w:rFonts w:ascii="Times New Roman" w:hAnsi="Times New Roman" w:hint="default"/>
      </w:rPr>
    </w:lvl>
    <w:lvl w:ilvl="4" w:tplc="9918B230" w:tentative="1">
      <w:start w:val="1"/>
      <w:numFmt w:val="bullet"/>
      <w:lvlText w:val="•"/>
      <w:lvlJc w:val="left"/>
      <w:pPr>
        <w:tabs>
          <w:tab w:val="num" w:pos="3600"/>
        </w:tabs>
        <w:ind w:left="3600" w:hanging="360"/>
      </w:pPr>
      <w:rPr>
        <w:rFonts w:ascii="Times New Roman" w:hAnsi="Times New Roman" w:hint="default"/>
      </w:rPr>
    </w:lvl>
    <w:lvl w:ilvl="5" w:tplc="58764156" w:tentative="1">
      <w:start w:val="1"/>
      <w:numFmt w:val="bullet"/>
      <w:lvlText w:val="•"/>
      <w:lvlJc w:val="left"/>
      <w:pPr>
        <w:tabs>
          <w:tab w:val="num" w:pos="4320"/>
        </w:tabs>
        <w:ind w:left="4320" w:hanging="360"/>
      </w:pPr>
      <w:rPr>
        <w:rFonts w:ascii="Times New Roman" w:hAnsi="Times New Roman" w:hint="default"/>
      </w:rPr>
    </w:lvl>
    <w:lvl w:ilvl="6" w:tplc="0E261310" w:tentative="1">
      <w:start w:val="1"/>
      <w:numFmt w:val="bullet"/>
      <w:lvlText w:val="•"/>
      <w:lvlJc w:val="left"/>
      <w:pPr>
        <w:tabs>
          <w:tab w:val="num" w:pos="5040"/>
        </w:tabs>
        <w:ind w:left="5040" w:hanging="360"/>
      </w:pPr>
      <w:rPr>
        <w:rFonts w:ascii="Times New Roman" w:hAnsi="Times New Roman" w:hint="default"/>
      </w:rPr>
    </w:lvl>
    <w:lvl w:ilvl="7" w:tplc="C052B1E4" w:tentative="1">
      <w:start w:val="1"/>
      <w:numFmt w:val="bullet"/>
      <w:lvlText w:val="•"/>
      <w:lvlJc w:val="left"/>
      <w:pPr>
        <w:tabs>
          <w:tab w:val="num" w:pos="5760"/>
        </w:tabs>
        <w:ind w:left="5760" w:hanging="360"/>
      </w:pPr>
      <w:rPr>
        <w:rFonts w:ascii="Times New Roman" w:hAnsi="Times New Roman" w:hint="default"/>
      </w:rPr>
    </w:lvl>
    <w:lvl w:ilvl="8" w:tplc="28AE27D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 w15:restartNumberingAfterBreak="0">
    <w:nsid w:val="465E4379"/>
    <w:multiLevelType w:val="multilevel"/>
    <w:tmpl w:val="F8C419B0"/>
    <w:lvl w:ilvl="0">
      <w:start w:val="1"/>
      <w:numFmt w:val="upperRoman"/>
      <w:pStyle w:val="Level1Appendix"/>
      <w:lvlText w:val="%1."/>
      <w:lvlJc w:val="left"/>
      <w:pPr>
        <w:tabs>
          <w:tab w:val="num" w:pos="720"/>
        </w:tabs>
        <w:ind w:left="720" w:hanging="720"/>
      </w:pPr>
      <w:rPr>
        <w:rFonts w:hint="default"/>
        <w:b w:val="0"/>
      </w:rPr>
    </w:lvl>
    <w:lvl w:ilvl="1">
      <w:start w:val="1"/>
      <w:numFmt w:val="none"/>
      <w:pStyle w:val="Level2Appendix"/>
      <w:lvlText w:val="(a)"/>
      <w:lvlJc w:val="left"/>
      <w:pPr>
        <w:tabs>
          <w:tab w:val="num" w:pos="720"/>
        </w:tabs>
        <w:ind w:left="1440" w:hanging="720"/>
      </w:pPr>
      <w:rPr>
        <w:rFonts w:hint="default"/>
        <w:b w:val="0"/>
      </w:rPr>
    </w:lvl>
    <w:lvl w:ilvl="2">
      <w:start w:val="1"/>
      <w:numFmt w:val="decimal"/>
      <w:pStyle w:val="Level3Appendix"/>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6770987"/>
    <w:multiLevelType w:val="hybridMultilevel"/>
    <w:tmpl w:val="668A1162"/>
    <w:lvl w:ilvl="0" w:tplc="B2E2333A">
      <w:start w:val="1"/>
      <w:numFmt w:val="upperRoman"/>
      <w:lvlText w:val="%1."/>
      <w:lvlJc w:val="right"/>
      <w:pPr>
        <w:tabs>
          <w:tab w:val="num" w:pos="180"/>
        </w:tabs>
        <w:ind w:left="180" w:hanging="180"/>
      </w:pPr>
    </w:lvl>
    <w:lvl w:ilvl="1" w:tplc="92EE2258" w:tentative="1">
      <w:start w:val="1"/>
      <w:numFmt w:val="lowerLetter"/>
      <w:lvlText w:val="%2."/>
      <w:lvlJc w:val="left"/>
      <w:pPr>
        <w:tabs>
          <w:tab w:val="num" w:pos="900"/>
        </w:tabs>
        <w:ind w:left="900" w:hanging="360"/>
      </w:pPr>
    </w:lvl>
    <w:lvl w:ilvl="2" w:tplc="D716DF54" w:tentative="1">
      <w:start w:val="1"/>
      <w:numFmt w:val="lowerRoman"/>
      <w:lvlText w:val="%3."/>
      <w:lvlJc w:val="right"/>
      <w:pPr>
        <w:tabs>
          <w:tab w:val="num" w:pos="1620"/>
        </w:tabs>
        <w:ind w:left="1620" w:hanging="180"/>
      </w:pPr>
    </w:lvl>
    <w:lvl w:ilvl="3" w:tplc="5CD24666" w:tentative="1">
      <w:start w:val="1"/>
      <w:numFmt w:val="decimal"/>
      <w:lvlText w:val="%4."/>
      <w:lvlJc w:val="left"/>
      <w:pPr>
        <w:tabs>
          <w:tab w:val="num" w:pos="2340"/>
        </w:tabs>
        <w:ind w:left="2340" w:hanging="360"/>
      </w:pPr>
    </w:lvl>
    <w:lvl w:ilvl="4" w:tplc="38A0CC00" w:tentative="1">
      <w:start w:val="1"/>
      <w:numFmt w:val="lowerLetter"/>
      <w:lvlText w:val="%5."/>
      <w:lvlJc w:val="left"/>
      <w:pPr>
        <w:tabs>
          <w:tab w:val="num" w:pos="3060"/>
        </w:tabs>
        <w:ind w:left="3060" w:hanging="360"/>
      </w:pPr>
    </w:lvl>
    <w:lvl w:ilvl="5" w:tplc="A65EE3BA" w:tentative="1">
      <w:start w:val="1"/>
      <w:numFmt w:val="lowerRoman"/>
      <w:lvlText w:val="%6."/>
      <w:lvlJc w:val="right"/>
      <w:pPr>
        <w:tabs>
          <w:tab w:val="num" w:pos="3780"/>
        </w:tabs>
        <w:ind w:left="3780" w:hanging="180"/>
      </w:pPr>
    </w:lvl>
    <w:lvl w:ilvl="6" w:tplc="EC842AE4" w:tentative="1">
      <w:start w:val="1"/>
      <w:numFmt w:val="decimal"/>
      <w:lvlText w:val="%7."/>
      <w:lvlJc w:val="left"/>
      <w:pPr>
        <w:tabs>
          <w:tab w:val="num" w:pos="4500"/>
        </w:tabs>
        <w:ind w:left="4500" w:hanging="360"/>
      </w:pPr>
    </w:lvl>
    <w:lvl w:ilvl="7" w:tplc="B178DD7C" w:tentative="1">
      <w:start w:val="1"/>
      <w:numFmt w:val="lowerLetter"/>
      <w:lvlText w:val="%8."/>
      <w:lvlJc w:val="left"/>
      <w:pPr>
        <w:tabs>
          <w:tab w:val="num" w:pos="5220"/>
        </w:tabs>
        <w:ind w:left="5220" w:hanging="360"/>
      </w:pPr>
    </w:lvl>
    <w:lvl w:ilvl="8" w:tplc="7FCA0362" w:tentative="1">
      <w:start w:val="1"/>
      <w:numFmt w:val="lowerRoman"/>
      <w:lvlText w:val="%9."/>
      <w:lvlJc w:val="right"/>
      <w:pPr>
        <w:tabs>
          <w:tab w:val="num" w:pos="5940"/>
        </w:tabs>
        <w:ind w:left="5940" w:hanging="180"/>
      </w:pPr>
    </w:lvl>
  </w:abstractNum>
  <w:abstractNum w:abstractNumId="17" w15:restartNumberingAfterBreak="0">
    <w:nsid w:val="5A693F47"/>
    <w:multiLevelType w:val="multilevel"/>
    <w:tmpl w:val="87983260"/>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ACD3596"/>
    <w:multiLevelType w:val="multilevel"/>
    <w:tmpl w:val="87983260"/>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EC432F"/>
    <w:multiLevelType w:val="multilevel"/>
    <w:tmpl w:val="62642F08"/>
    <w:lvl w:ilvl="0">
      <w:start w:val="14"/>
      <w:numFmt w:val="decimal"/>
      <w:lvlText w:val="%1"/>
      <w:lvlJc w:val="left"/>
      <w:pPr>
        <w:tabs>
          <w:tab w:val="num" w:pos="360"/>
        </w:tabs>
        <w:ind w:left="360" w:hanging="360"/>
      </w:pPr>
      <w:rPr>
        <w:rFonts w:hint="default"/>
      </w:rPr>
    </w:lvl>
    <w:lvl w:ilvl="1">
      <w:start w:val="1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5C527644"/>
    <w:multiLevelType w:val="multilevel"/>
    <w:tmpl w:val="9E0802D0"/>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5D486CE4"/>
    <w:multiLevelType w:val="multilevel"/>
    <w:tmpl w:val="7F3231A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3AC7BC7"/>
    <w:multiLevelType w:val="multilevel"/>
    <w:tmpl w:val="C636886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6C844D1C"/>
    <w:multiLevelType w:val="hybridMultilevel"/>
    <w:tmpl w:val="BB461680"/>
    <w:lvl w:ilvl="0" w:tplc="CE9A7CD2">
      <w:start w:val="1"/>
      <w:numFmt w:val="upperRoman"/>
      <w:lvlText w:val="%1."/>
      <w:lvlJc w:val="right"/>
      <w:pPr>
        <w:tabs>
          <w:tab w:val="num" w:pos="180"/>
        </w:tabs>
        <w:ind w:left="180" w:hanging="180"/>
      </w:pPr>
    </w:lvl>
    <w:lvl w:ilvl="1" w:tplc="0328949C">
      <w:start w:val="1"/>
      <w:numFmt w:val="lowerLetter"/>
      <w:lvlText w:val="%2."/>
      <w:lvlJc w:val="left"/>
      <w:pPr>
        <w:tabs>
          <w:tab w:val="num" w:pos="900"/>
        </w:tabs>
        <w:ind w:left="900" w:hanging="360"/>
      </w:pPr>
    </w:lvl>
    <w:lvl w:ilvl="2" w:tplc="B4F828D0" w:tentative="1">
      <w:start w:val="1"/>
      <w:numFmt w:val="lowerRoman"/>
      <w:lvlText w:val="%3."/>
      <w:lvlJc w:val="right"/>
      <w:pPr>
        <w:tabs>
          <w:tab w:val="num" w:pos="1620"/>
        </w:tabs>
        <w:ind w:left="1620" w:hanging="180"/>
      </w:pPr>
    </w:lvl>
    <w:lvl w:ilvl="3" w:tplc="1BC81238" w:tentative="1">
      <w:start w:val="1"/>
      <w:numFmt w:val="decimal"/>
      <w:lvlText w:val="%4."/>
      <w:lvlJc w:val="left"/>
      <w:pPr>
        <w:tabs>
          <w:tab w:val="num" w:pos="2340"/>
        </w:tabs>
        <w:ind w:left="2340" w:hanging="360"/>
      </w:pPr>
    </w:lvl>
    <w:lvl w:ilvl="4" w:tplc="68EA740E" w:tentative="1">
      <w:start w:val="1"/>
      <w:numFmt w:val="lowerLetter"/>
      <w:lvlText w:val="%5."/>
      <w:lvlJc w:val="left"/>
      <w:pPr>
        <w:tabs>
          <w:tab w:val="num" w:pos="3060"/>
        </w:tabs>
        <w:ind w:left="3060" w:hanging="360"/>
      </w:pPr>
    </w:lvl>
    <w:lvl w:ilvl="5" w:tplc="972CD690" w:tentative="1">
      <w:start w:val="1"/>
      <w:numFmt w:val="lowerRoman"/>
      <w:lvlText w:val="%6."/>
      <w:lvlJc w:val="right"/>
      <w:pPr>
        <w:tabs>
          <w:tab w:val="num" w:pos="3780"/>
        </w:tabs>
        <w:ind w:left="3780" w:hanging="180"/>
      </w:pPr>
    </w:lvl>
    <w:lvl w:ilvl="6" w:tplc="E10AF718" w:tentative="1">
      <w:start w:val="1"/>
      <w:numFmt w:val="decimal"/>
      <w:lvlText w:val="%7."/>
      <w:lvlJc w:val="left"/>
      <w:pPr>
        <w:tabs>
          <w:tab w:val="num" w:pos="4500"/>
        </w:tabs>
        <w:ind w:left="4500" w:hanging="360"/>
      </w:pPr>
    </w:lvl>
    <w:lvl w:ilvl="7" w:tplc="E578D4E6" w:tentative="1">
      <w:start w:val="1"/>
      <w:numFmt w:val="lowerLetter"/>
      <w:lvlText w:val="%8."/>
      <w:lvlJc w:val="left"/>
      <w:pPr>
        <w:tabs>
          <w:tab w:val="num" w:pos="5220"/>
        </w:tabs>
        <w:ind w:left="5220" w:hanging="360"/>
      </w:pPr>
    </w:lvl>
    <w:lvl w:ilvl="8" w:tplc="2FB23CFA" w:tentative="1">
      <w:start w:val="1"/>
      <w:numFmt w:val="lowerRoman"/>
      <w:lvlText w:val="%9."/>
      <w:lvlJc w:val="right"/>
      <w:pPr>
        <w:tabs>
          <w:tab w:val="num" w:pos="5940"/>
        </w:tabs>
        <w:ind w:left="5940" w:hanging="180"/>
      </w:pPr>
    </w:lvl>
  </w:abstractNum>
  <w:abstractNum w:abstractNumId="24"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E7D35"/>
    <w:multiLevelType w:val="hybridMultilevel"/>
    <w:tmpl w:val="7F3231A4"/>
    <w:lvl w:ilvl="0" w:tplc="04090013">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24"/>
  </w:num>
  <w:num w:numId="3">
    <w:abstractNumId w:val="0"/>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0"/>
    <w:lvlOverride w:ilvl="0">
      <w:startOverride w:val="4"/>
      <w:lvl w:ilvl="0">
        <w:start w:val="4"/>
        <w:numFmt w:val="decimal"/>
        <w:lvlText w:val="%1."/>
        <w:lvlJc w:val="left"/>
      </w:lvl>
    </w:lvlOverride>
  </w:num>
  <w:num w:numId="5">
    <w:abstractNumId w:val="25"/>
  </w:num>
  <w:num w:numId="6">
    <w:abstractNumId w:val="2"/>
  </w:num>
  <w:num w:numId="7">
    <w:abstractNumId w:val="20"/>
  </w:num>
  <w:num w:numId="8">
    <w:abstractNumId w:val="5"/>
  </w:num>
  <w:num w:numId="9">
    <w:abstractNumId w:val="19"/>
  </w:num>
  <w:num w:numId="10">
    <w:abstractNumId w:val="16"/>
  </w:num>
  <w:num w:numId="11">
    <w:abstractNumId w:val="23"/>
  </w:num>
  <w:num w:numId="12">
    <w:abstractNumId w:val="21"/>
  </w:num>
  <w:num w:numId="13">
    <w:abstractNumId w:val="8"/>
  </w:num>
  <w:num w:numId="14">
    <w:abstractNumId w:val="22"/>
  </w:num>
  <w:num w:numId="15">
    <w:abstractNumId w:val="1"/>
  </w:num>
  <w:num w:numId="16">
    <w:abstractNumId w:val="12"/>
  </w:num>
  <w:num w:numId="17">
    <w:abstractNumId w:val="10"/>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8"/>
  </w:num>
  <w:num w:numId="22">
    <w:abstractNumId w:val="3"/>
  </w:num>
  <w:num w:numId="23">
    <w:abstractNumId w:val="1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
  </w:num>
  <w:num w:numId="29">
    <w:abstractNumId w:val="1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79"/>
    <w:rsid w:val="00096511"/>
    <w:rsid w:val="000E6508"/>
    <w:rsid w:val="001355D9"/>
    <w:rsid w:val="001E3B26"/>
    <w:rsid w:val="002049D0"/>
    <w:rsid w:val="00373E92"/>
    <w:rsid w:val="003B670F"/>
    <w:rsid w:val="00401F33"/>
    <w:rsid w:val="004462C3"/>
    <w:rsid w:val="004B3179"/>
    <w:rsid w:val="00766EB9"/>
    <w:rsid w:val="0089446A"/>
    <w:rsid w:val="009B15B2"/>
    <w:rsid w:val="00B51502"/>
    <w:rsid w:val="00B61191"/>
    <w:rsid w:val="00BE7A5B"/>
    <w:rsid w:val="00BF415F"/>
    <w:rsid w:val="00C815CE"/>
    <w:rsid w:val="00CB1EAA"/>
    <w:rsid w:val="00CE3919"/>
    <w:rsid w:val="00D95C48"/>
    <w:rsid w:val="00E115D3"/>
    <w:rsid w:val="00F073F4"/>
    <w:rsid w:val="00F6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paragraph" w:styleId="Header">
    <w:name w:val="header"/>
    <w:basedOn w:val="Normal"/>
    <w:link w:val="HeaderChar"/>
    <w:unhideWhenUsed/>
    <w:rsid w:val="001355D9"/>
    <w:pPr>
      <w:tabs>
        <w:tab w:val="center" w:pos="4680"/>
        <w:tab w:val="right" w:pos="9360"/>
      </w:tabs>
    </w:pPr>
  </w:style>
  <w:style w:type="character" w:customStyle="1" w:styleId="HeaderChar">
    <w:name w:val="Header Char"/>
    <w:basedOn w:val="DefaultParagraphFont"/>
    <w:link w:val="Header"/>
    <w:uiPriority w:val="99"/>
    <w:rsid w:val="001355D9"/>
    <w:rPr>
      <w:sz w:val="24"/>
      <w:szCs w:val="24"/>
    </w:rPr>
  </w:style>
  <w:style w:type="paragraph" w:styleId="Footer">
    <w:name w:val="footer"/>
    <w:basedOn w:val="Normal"/>
    <w:link w:val="FooterChar"/>
    <w:unhideWhenUsed/>
    <w:rsid w:val="001355D9"/>
    <w:pPr>
      <w:tabs>
        <w:tab w:val="center" w:pos="4680"/>
        <w:tab w:val="right" w:pos="9360"/>
      </w:tabs>
    </w:pPr>
  </w:style>
  <w:style w:type="character" w:customStyle="1" w:styleId="FooterChar">
    <w:name w:val="Footer Char"/>
    <w:basedOn w:val="DefaultParagraphFont"/>
    <w:link w:val="Footer"/>
    <w:uiPriority w:val="99"/>
    <w:rsid w:val="001355D9"/>
    <w:rPr>
      <w:sz w:val="24"/>
      <w:szCs w:val="24"/>
    </w:rPr>
  </w:style>
  <w:style w:type="numbering" w:customStyle="1" w:styleId="NoList1">
    <w:name w:val="No List1"/>
    <w:next w:val="NoList"/>
    <w:uiPriority w:val="99"/>
    <w:semiHidden/>
    <w:unhideWhenUsed/>
    <w:rsid w:val="001355D9"/>
  </w:style>
  <w:style w:type="character" w:styleId="FootnoteReference">
    <w:name w:val="footnote reference"/>
    <w:semiHidden/>
    <w:rsid w:val="001355D9"/>
  </w:style>
  <w:style w:type="paragraph" w:customStyle="1" w:styleId="StyleLeft0Hanging1">
    <w:name w:val="Style Left:  0&quot; Hanging:  1&quot;"/>
    <w:basedOn w:val="Normal"/>
    <w:rsid w:val="001355D9"/>
    <w:pPr>
      <w:ind w:left="1440" w:hanging="1440"/>
    </w:pPr>
    <w:rPr>
      <w:snapToGrid w:val="0"/>
      <w:sz w:val="20"/>
      <w:szCs w:val="20"/>
    </w:rPr>
  </w:style>
  <w:style w:type="paragraph" w:styleId="Title">
    <w:name w:val="Title"/>
    <w:basedOn w:val="Normal"/>
    <w:link w:val="TitleChar"/>
    <w:qFormat/>
    <w:rsid w:val="001355D9"/>
    <w:pPr>
      <w:jc w:val="center"/>
    </w:pPr>
    <w:rPr>
      <w:b/>
      <w:snapToGrid w:val="0"/>
      <w:sz w:val="20"/>
      <w:szCs w:val="20"/>
    </w:rPr>
  </w:style>
  <w:style w:type="character" w:customStyle="1" w:styleId="TitleChar">
    <w:name w:val="Title Char"/>
    <w:basedOn w:val="DefaultParagraphFont"/>
    <w:link w:val="Title"/>
    <w:rsid w:val="001355D9"/>
    <w:rPr>
      <w:b/>
      <w:snapToGrid w:val="0"/>
    </w:rPr>
  </w:style>
  <w:style w:type="paragraph" w:styleId="BodyTextIndent">
    <w:name w:val="Body Text Indent"/>
    <w:basedOn w:val="Normal"/>
    <w:link w:val="BodyTextIndentChar"/>
    <w:rsid w:val="001355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Pr>
      <w:snapToGrid w:val="0"/>
      <w:sz w:val="20"/>
      <w:szCs w:val="20"/>
    </w:rPr>
  </w:style>
  <w:style w:type="character" w:customStyle="1" w:styleId="BodyTextIndentChar">
    <w:name w:val="Body Text Indent Char"/>
    <w:basedOn w:val="DefaultParagraphFont"/>
    <w:link w:val="BodyTextIndent"/>
    <w:rsid w:val="001355D9"/>
    <w:rPr>
      <w:snapToGrid w:val="0"/>
    </w:rPr>
  </w:style>
  <w:style w:type="paragraph" w:styleId="EndnoteText">
    <w:name w:val="endnote text"/>
    <w:basedOn w:val="Normal"/>
    <w:link w:val="EndnoteTextChar"/>
    <w:semiHidden/>
    <w:rsid w:val="001355D9"/>
    <w:pPr>
      <w:tabs>
        <w:tab w:val="left" w:pos="-720"/>
      </w:tabs>
      <w:suppressAutoHyphens/>
      <w:overflowPunct w:val="0"/>
      <w:autoSpaceDE w:val="0"/>
      <w:autoSpaceDN w:val="0"/>
      <w:adjustRightInd w:val="0"/>
      <w:textAlignment w:val="baseline"/>
    </w:pPr>
    <w:rPr>
      <w:rFonts w:ascii="Kino MT" w:hAnsi="Kino MT"/>
      <w:sz w:val="20"/>
      <w:szCs w:val="20"/>
    </w:rPr>
  </w:style>
  <w:style w:type="character" w:customStyle="1" w:styleId="EndnoteTextChar">
    <w:name w:val="Endnote Text Char"/>
    <w:basedOn w:val="DefaultParagraphFont"/>
    <w:link w:val="EndnoteText"/>
    <w:semiHidden/>
    <w:rsid w:val="001355D9"/>
    <w:rPr>
      <w:rFonts w:ascii="Kino MT" w:hAnsi="Kino MT"/>
    </w:rPr>
  </w:style>
  <w:style w:type="paragraph" w:customStyle="1" w:styleId="Level1Appendix">
    <w:name w:val="Level 1 Appendix"/>
    <w:basedOn w:val="Normal"/>
    <w:rsid w:val="001355D9"/>
    <w:pPr>
      <w:keepLines/>
      <w:numPr>
        <w:numId w:val="18"/>
      </w:numPr>
      <w:tabs>
        <w:tab w:val="left" w:pos="-1440"/>
      </w:tabs>
      <w:suppressAutoHyphens/>
      <w:overflowPunct w:val="0"/>
      <w:autoSpaceDE w:val="0"/>
      <w:autoSpaceDN w:val="0"/>
      <w:adjustRightInd w:val="0"/>
      <w:spacing w:afterLines="100"/>
      <w:textAlignment w:val="baseline"/>
    </w:pPr>
    <w:rPr>
      <w:sz w:val="20"/>
      <w:szCs w:val="20"/>
    </w:rPr>
  </w:style>
  <w:style w:type="character" w:styleId="PageNumber">
    <w:name w:val="page number"/>
    <w:basedOn w:val="DefaultParagraphFont"/>
    <w:rsid w:val="001355D9"/>
  </w:style>
  <w:style w:type="paragraph" w:customStyle="1" w:styleId="returnaddress">
    <w:name w:val="returnaddress"/>
    <w:basedOn w:val="Normal"/>
    <w:rsid w:val="001355D9"/>
    <w:pPr>
      <w:ind w:right="4320"/>
    </w:pPr>
    <w:rPr>
      <w:rFonts w:ascii="Arial" w:hAnsi="Arial" w:cs="Arial"/>
      <w:sz w:val="22"/>
      <w:szCs w:val="22"/>
    </w:rPr>
  </w:style>
  <w:style w:type="character" w:styleId="Strong">
    <w:name w:val="Strong"/>
    <w:basedOn w:val="DefaultParagraphFont"/>
    <w:qFormat/>
    <w:rsid w:val="001355D9"/>
    <w:rPr>
      <w:b/>
      <w:bCs/>
    </w:rPr>
  </w:style>
  <w:style w:type="paragraph" w:styleId="FootnoteText">
    <w:name w:val="footnote text"/>
    <w:basedOn w:val="Normal"/>
    <w:link w:val="FootnoteTextChar"/>
    <w:semiHidden/>
    <w:rsid w:val="001355D9"/>
    <w:pPr>
      <w:tabs>
        <w:tab w:val="left" w:pos="-720"/>
      </w:tabs>
      <w:suppressAutoHyphens/>
    </w:pPr>
    <w:rPr>
      <w:rFonts w:ascii="Kino MT" w:hAnsi="Kino MT"/>
      <w:sz w:val="20"/>
      <w:szCs w:val="20"/>
    </w:rPr>
  </w:style>
  <w:style w:type="character" w:customStyle="1" w:styleId="FootnoteTextChar">
    <w:name w:val="Footnote Text Char"/>
    <w:basedOn w:val="DefaultParagraphFont"/>
    <w:link w:val="FootnoteText"/>
    <w:semiHidden/>
    <w:rsid w:val="001355D9"/>
    <w:rPr>
      <w:rFonts w:ascii="Kino MT" w:hAnsi="Kino MT"/>
    </w:rPr>
  </w:style>
  <w:style w:type="paragraph" w:customStyle="1" w:styleId="AppendixTitle">
    <w:name w:val="Appendix Title"/>
    <w:basedOn w:val="Normal"/>
    <w:rsid w:val="001355D9"/>
    <w:pPr>
      <w:keepNext/>
      <w:keepLines/>
      <w:pageBreakBefore/>
      <w:suppressAutoHyphens/>
      <w:overflowPunct w:val="0"/>
      <w:autoSpaceDE w:val="0"/>
      <w:autoSpaceDN w:val="0"/>
      <w:adjustRightInd w:val="0"/>
      <w:spacing w:before="120" w:afterLines="200"/>
      <w:jc w:val="center"/>
      <w:textAlignment w:val="baseline"/>
    </w:pPr>
    <w:rPr>
      <w:b/>
      <w:caps/>
      <w:sz w:val="20"/>
      <w:szCs w:val="20"/>
      <w:u w:val="single"/>
    </w:rPr>
  </w:style>
  <w:style w:type="paragraph" w:customStyle="1" w:styleId="Level1License">
    <w:name w:val="Level 1 License"/>
    <w:basedOn w:val="Normal"/>
    <w:rsid w:val="001355D9"/>
    <w:pPr>
      <w:keepNext/>
      <w:keepLines/>
      <w:numPr>
        <w:numId w:val="17"/>
      </w:numPr>
      <w:suppressAutoHyphens/>
      <w:overflowPunct w:val="0"/>
      <w:autoSpaceDE w:val="0"/>
      <w:autoSpaceDN w:val="0"/>
      <w:adjustRightInd w:val="0"/>
      <w:spacing w:afterLines="100"/>
      <w:textAlignment w:val="baseline"/>
    </w:pPr>
    <w:rPr>
      <w:sz w:val="20"/>
      <w:szCs w:val="20"/>
      <w:u w:val="single"/>
    </w:rPr>
  </w:style>
  <w:style w:type="paragraph" w:customStyle="1" w:styleId="Level2License">
    <w:name w:val="Level 2 License"/>
    <w:basedOn w:val="Normal"/>
    <w:link w:val="Level2LicenseChar"/>
    <w:rsid w:val="001355D9"/>
    <w:pPr>
      <w:keepLines/>
      <w:numPr>
        <w:ilvl w:val="1"/>
        <w:numId w:val="17"/>
      </w:numPr>
      <w:suppressAutoHyphens/>
      <w:overflowPunct w:val="0"/>
      <w:autoSpaceDE w:val="0"/>
      <w:autoSpaceDN w:val="0"/>
      <w:adjustRightInd w:val="0"/>
      <w:spacing w:afterLines="100"/>
      <w:textAlignment w:val="baseline"/>
    </w:pPr>
    <w:rPr>
      <w:sz w:val="20"/>
      <w:szCs w:val="20"/>
    </w:rPr>
  </w:style>
  <w:style w:type="paragraph" w:customStyle="1" w:styleId="Level3License">
    <w:name w:val="Level 3 License"/>
    <w:basedOn w:val="Normal"/>
    <w:rsid w:val="001355D9"/>
    <w:pPr>
      <w:keepLines/>
      <w:numPr>
        <w:ilvl w:val="2"/>
        <w:numId w:val="17"/>
      </w:numPr>
      <w:suppressAutoHyphens/>
      <w:overflowPunct w:val="0"/>
      <w:autoSpaceDE w:val="0"/>
      <w:autoSpaceDN w:val="0"/>
      <w:adjustRightInd w:val="0"/>
      <w:spacing w:afterLines="100"/>
      <w:ind w:right="1440"/>
      <w:textAlignment w:val="baseline"/>
    </w:pPr>
    <w:rPr>
      <w:sz w:val="20"/>
      <w:szCs w:val="20"/>
    </w:rPr>
  </w:style>
  <w:style w:type="paragraph" w:customStyle="1" w:styleId="Level4License">
    <w:name w:val="Level 4 License"/>
    <w:basedOn w:val="Normal"/>
    <w:rsid w:val="001355D9"/>
    <w:pPr>
      <w:keepLines/>
      <w:numPr>
        <w:ilvl w:val="3"/>
        <w:numId w:val="17"/>
      </w:numPr>
      <w:suppressAutoHyphens/>
      <w:overflowPunct w:val="0"/>
      <w:autoSpaceDE w:val="0"/>
      <w:autoSpaceDN w:val="0"/>
      <w:adjustRightInd w:val="0"/>
      <w:spacing w:afterLines="100"/>
      <w:ind w:right="1440"/>
      <w:textAlignment w:val="baseline"/>
    </w:pPr>
    <w:rPr>
      <w:rFonts w:cs="Bauhaus 93"/>
      <w:sz w:val="20"/>
    </w:rPr>
  </w:style>
  <w:style w:type="paragraph" w:customStyle="1" w:styleId="Level2Appendix">
    <w:name w:val="Level 2 Appendix"/>
    <w:basedOn w:val="Normal"/>
    <w:rsid w:val="001355D9"/>
    <w:pPr>
      <w:widowControl w:val="0"/>
      <w:numPr>
        <w:ilvl w:val="1"/>
        <w:numId w:val="18"/>
      </w:numPr>
      <w:suppressAutoHyphens/>
      <w:spacing w:afterLines="100"/>
    </w:pPr>
    <w:rPr>
      <w:sz w:val="20"/>
      <w:szCs w:val="20"/>
    </w:rPr>
  </w:style>
  <w:style w:type="paragraph" w:customStyle="1" w:styleId="Level3Appendix">
    <w:name w:val="Level 3 Appendix"/>
    <w:basedOn w:val="Normal"/>
    <w:rsid w:val="001355D9"/>
    <w:pPr>
      <w:widowControl w:val="0"/>
      <w:numPr>
        <w:ilvl w:val="2"/>
        <w:numId w:val="18"/>
      </w:numPr>
      <w:suppressAutoHyphens/>
    </w:pPr>
    <w:rPr>
      <w:sz w:val="20"/>
      <w:szCs w:val="20"/>
    </w:rPr>
  </w:style>
  <w:style w:type="character" w:styleId="Hyperlink">
    <w:name w:val="Hyperlink"/>
    <w:basedOn w:val="DefaultParagraphFont"/>
    <w:rsid w:val="001355D9"/>
    <w:rPr>
      <w:color w:val="0000FF"/>
      <w:u w:val="single"/>
    </w:rPr>
  </w:style>
  <w:style w:type="character" w:styleId="FollowedHyperlink">
    <w:name w:val="FollowedHyperlink"/>
    <w:basedOn w:val="DefaultParagraphFont"/>
    <w:rsid w:val="001355D9"/>
    <w:rPr>
      <w:color w:val="800080"/>
      <w:u w:val="single"/>
    </w:rPr>
  </w:style>
  <w:style w:type="paragraph" w:customStyle="1" w:styleId="APPENDIXTITLE0">
    <w:name w:val="APPENDIX TITLE"/>
    <w:basedOn w:val="Normal"/>
    <w:next w:val="Normal"/>
    <w:rsid w:val="001355D9"/>
    <w:pPr>
      <w:keepNext/>
      <w:keepLines/>
      <w:pageBreakBefore/>
      <w:suppressAutoHyphens/>
      <w:spacing w:afterLines="200"/>
      <w:jc w:val="center"/>
      <w:outlineLvl w:val="0"/>
    </w:pPr>
    <w:rPr>
      <w:b/>
      <w:caps/>
      <w:sz w:val="20"/>
      <w:szCs w:val="20"/>
      <w:u w:val="single"/>
    </w:rPr>
  </w:style>
  <w:style w:type="character" w:customStyle="1" w:styleId="EmailStyle37">
    <w:name w:val="EmailStyle37"/>
    <w:basedOn w:val="DefaultParagraphFont"/>
    <w:semiHidden/>
    <w:rsid w:val="001355D9"/>
    <w:rPr>
      <w:rFonts w:ascii="Arial" w:hAnsi="Arial" w:cs="Arial" w:hint="default"/>
      <w:color w:val="000080"/>
    </w:rPr>
  </w:style>
  <w:style w:type="paragraph" w:customStyle="1" w:styleId="Default">
    <w:name w:val="Default"/>
    <w:basedOn w:val="Normal"/>
    <w:rsid w:val="001355D9"/>
    <w:pPr>
      <w:autoSpaceDE w:val="0"/>
      <w:autoSpaceDN w:val="0"/>
    </w:pPr>
    <w:rPr>
      <w:rFonts w:eastAsia="Calibri"/>
      <w:color w:val="000000"/>
    </w:rPr>
  </w:style>
  <w:style w:type="paragraph" w:styleId="BodyText">
    <w:name w:val="Body Text"/>
    <w:basedOn w:val="Normal"/>
    <w:link w:val="BodyTextChar"/>
    <w:rsid w:val="001355D9"/>
    <w:pPr>
      <w:spacing w:after="120"/>
    </w:pPr>
    <w:rPr>
      <w:snapToGrid w:val="0"/>
      <w:sz w:val="20"/>
      <w:szCs w:val="20"/>
    </w:rPr>
  </w:style>
  <w:style w:type="character" w:customStyle="1" w:styleId="BodyTextChar">
    <w:name w:val="Body Text Char"/>
    <w:basedOn w:val="DefaultParagraphFont"/>
    <w:link w:val="BodyText"/>
    <w:rsid w:val="001355D9"/>
    <w:rPr>
      <w:snapToGrid w:val="0"/>
    </w:rPr>
  </w:style>
  <w:style w:type="character" w:customStyle="1" w:styleId="EmailStyle145">
    <w:name w:val="EmailStyle145"/>
    <w:basedOn w:val="DefaultParagraphFont"/>
    <w:semiHidden/>
    <w:rsid w:val="001355D9"/>
    <w:rPr>
      <w:rFonts w:ascii="Arial" w:hAnsi="Arial" w:cs="Arial" w:hint="default"/>
      <w:color w:val="000080"/>
    </w:rPr>
  </w:style>
  <w:style w:type="table" w:customStyle="1" w:styleId="TableGrid1">
    <w:name w:val="Table Grid1"/>
    <w:basedOn w:val="TableNormal"/>
    <w:next w:val="TableGrid"/>
    <w:uiPriority w:val="39"/>
    <w:rsid w:val="001355D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55D9"/>
    <w:rPr>
      <w:color w:val="605E5C"/>
      <w:shd w:val="clear" w:color="auto" w:fill="E1DFDD"/>
    </w:rPr>
  </w:style>
  <w:style w:type="character" w:styleId="CommentReference">
    <w:name w:val="annotation reference"/>
    <w:basedOn w:val="DefaultParagraphFont"/>
    <w:unhideWhenUsed/>
    <w:rsid w:val="001355D9"/>
    <w:rPr>
      <w:sz w:val="16"/>
      <w:szCs w:val="16"/>
    </w:rPr>
  </w:style>
  <w:style w:type="paragraph" w:styleId="CommentText">
    <w:name w:val="annotation text"/>
    <w:basedOn w:val="Normal"/>
    <w:link w:val="CommentTextChar"/>
    <w:semiHidden/>
    <w:unhideWhenUsed/>
    <w:rsid w:val="001355D9"/>
    <w:rPr>
      <w:snapToGrid w:val="0"/>
      <w:sz w:val="20"/>
      <w:szCs w:val="20"/>
    </w:rPr>
  </w:style>
  <w:style w:type="character" w:customStyle="1" w:styleId="CommentTextChar">
    <w:name w:val="Comment Text Char"/>
    <w:basedOn w:val="DefaultParagraphFont"/>
    <w:link w:val="CommentText"/>
    <w:semiHidden/>
    <w:rsid w:val="001355D9"/>
    <w:rPr>
      <w:snapToGrid w:val="0"/>
    </w:rPr>
  </w:style>
  <w:style w:type="paragraph" w:styleId="CommentSubject">
    <w:name w:val="annotation subject"/>
    <w:basedOn w:val="CommentText"/>
    <w:next w:val="CommentText"/>
    <w:link w:val="CommentSubjectChar"/>
    <w:semiHidden/>
    <w:unhideWhenUsed/>
    <w:rsid w:val="001355D9"/>
    <w:rPr>
      <w:b/>
      <w:bCs/>
    </w:rPr>
  </w:style>
  <w:style w:type="character" w:customStyle="1" w:styleId="CommentSubjectChar">
    <w:name w:val="Comment Subject Char"/>
    <w:basedOn w:val="CommentTextChar"/>
    <w:link w:val="CommentSubject"/>
    <w:semiHidden/>
    <w:rsid w:val="001355D9"/>
    <w:rPr>
      <w:b/>
      <w:bCs/>
      <w:snapToGrid w:val="0"/>
    </w:rPr>
  </w:style>
  <w:style w:type="character" w:customStyle="1" w:styleId="Level2LicenseChar">
    <w:name w:val="Level 2 License Char"/>
    <w:basedOn w:val="DefaultParagraphFont"/>
    <w:link w:val="Level2License"/>
    <w:rsid w:val="001355D9"/>
  </w:style>
  <w:style w:type="paragraph" w:customStyle="1" w:styleId="Lev4Appendix">
    <w:name w:val="Lev 4 Appendix"/>
    <w:basedOn w:val="Normal"/>
    <w:rsid w:val="001355D9"/>
    <w:pPr>
      <w:widowControl w:val="0"/>
      <w:tabs>
        <w:tab w:val="num" w:pos="1440"/>
      </w:tabs>
      <w:suppressAutoHyphens/>
      <w:ind w:left="2880" w:hanging="720"/>
    </w:pPr>
    <w:rPr>
      <w:sz w:val="20"/>
      <w:szCs w:val="20"/>
    </w:rPr>
  </w:style>
  <w:style w:type="paragraph" w:customStyle="1" w:styleId="WSCltrtop">
    <w:name w:val="WSCltrtop"/>
    <w:rsid w:val="001355D9"/>
    <w:pPr>
      <w:widowControl w:val="0"/>
      <w:tabs>
        <w:tab w:val="left" w:pos="5040"/>
      </w:tabs>
      <w:suppressAutoHyphens/>
      <w:overflowPunct w:val="0"/>
      <w:autoSpaceDE w:val="0"/>
      <w:autoSpaceDN w:val="0"/>
      <w:adjustRightInd w:val="0"/>
      <w:textAlignment w:val="baseline"/>
    </w:pPr>
    <w:rPr>
      <w:sz w:val="22"/>
    </w:rPr>
  </w:style>
  <w:style w:type="table" w:styleId="TableGrid">
    <w:name w:val="Table Grid"/>
    <w:basedOn w:val="TableNormal"/>
    <w:uiPriority w:val="39"/>
    <w:rsid w:val="0013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frwebgate.access.gpo.gov/cgi-bin/usc.cgi?ACTION=RETRIEVE&amp;FILE=$$xa$$busc5.wais&amp;start=187300&amp;SIZE=125455&amp;TYPE=TEXT" TargetMode="External"/><Relationship Id="rId18" Type="http://schemas.openxmlformats.org/officeDocument/2006/relationships/hyperlink" Target="http://uscode.house.gov/uscode-cgi/fastweb.exe?getdoc+uscview+t21t25+2719+0++%28%29%20%20AND%20%28%2822%29%20ADJ%20USC%29%3ACITE%20AND%20%28USC%20w%2F10%20%282778%29%29%3ACITE" TargetMode="External"/><Relationship Id="rId26" Type="http://schemas.openxmlformats.org/officeDocument/2006/relationships/hyperlink" Target="https://www.pay.gov/public/form/start/28680443" TargetMode="External"/><Relationship Id="rId3" Type="http://schemas.openxmlformats.org/officeDocument/2006/relationships/settings" Target="settings.xml"/><Relationship Id="rId21" Type="http://schemas.openxmlformats.org/officeDocument/2006/relationships/hyperlink" Target="mailto:ddodd@geovax.com" TargetMode="External"/><Relationship Id="rId34" Type="http://schemas.openxmlformats.org/officeDocument/2006/relationships/theme" Target="theme/theme1.xml"/><Relationship Id="rId7" Type="http://schemas.openxmlformats.org/officeDocument/2006/relationships/hyperlink" Target="http://frwebgate.access.gpo.gov/cgi-bin/usc.cgi?ACTION=BROWSE&amp;TITLE=35USCPII&amp;PDFS=YES" TargetMode="External"/><Relationship Id="rId12" Type="http://schemas.openxmlformats.org/officeDocument/2006/relationships/hyperlink" Target="http://www.access.gpo.gov/nara/cfr/waisidx_03/45cfr46_03.html" TargetMode="External"/><Relationship Id="rId17" Type="http://schemas.openxmlformats.org/officeDocument/2006/relationships/hyperlink" Target="http://www.access.gpo.gov/bis/ear/txt/legalauthority.txt" TargetMode="External"/><Relationship Id="rId25" Type="http://schemas.openxmlformats.org/officeDocument/2006/relationships/hyperlink" Target="http://frwebgate.access.gpo.gov/cgi-bin/usc.cgi?ACTION=RETRIEVE&amp;FILE=$$xa$$busc18.wais&amp;start=1925859&amp;SIZE=10370&amp;TYPE=TEX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cfr.gpoaccess.gov/cgi/t/text/text-idx?c=ecfr&amp;sid=b297ad6fa0fdbb0d78921540c692200c&amp;rgn=div8&amp;view=text&amp;node=37:1.0.4.13.2.0.177.11&amp;idno=37" TargetMode="External"/><Relationship Id="rId20" Type="http://schemas.openxmlformats.org/officeDocument/2006/relationships/hyperlink" Target="mailto:ddodd@geovax.com" TargetMode="External"/><Relationship Id="rId29" Type="http://schemas.openxmlformats.org/officeDocument/2006/relationships/hyperlink" Target="mailto:OTT-Royalties@mail.nih.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ess.gpo.gov/nara/cfr/waisidx_02/21cfr50_02.html" TargetMode="External"/><Relationship Id="rId24" Type="http://schemas.openxmlformats.org/officeDocument/2006/relationships/hyperlink" Target="http://frwebgate.access.gpo.gov/cgi-bin/usc.cgi?ACTION=BROWSE&amp;TITLE=31USCSIII&amp;PDFS=Y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frwebgate.access.gpo.gov/cgi-bin/usc.cgi?ACTION=RETRIEVE&amp;FILE=$$xa$$busc35.wais&amp;start=560691&amp;SIZE=6621&amp;TYPE=TEXT" TargetMode="External"/><Relationship Id="rId23" Type="http://schemas.openxmlformats.org/officeDocument/2006/relationships/hyperlink" Target="mailto:mreynolds@geovax.com" TargetMode="External"/><Relationship Id="rId28" Type="http://schemas.openxmlformats.org/officeDocument/2006/relationships/hyperlink" Target="mailto:OTT-Royalties@mail.nih.gov" TargetMode="External"/><Relationship Id="rId10" Type="http://schemas.openxmlformats.org/officeDocument/2006/relationships/hyperlink" Target="http://ecfr.gpoaccess.gov/cgi/t/text/text-idx?c=ecfr&amp;sid=229e70f008a519adf064927ea7b66fae&amp;rgn=div5&amp;view=text&amp;node=37:1.0.4.13.2&amp;idno=37" TargetMode="External"/><Relationship Id="rId19" Type="http://schemas.openxmlformats.org/officeDocument/2006/relationships/hyperlink" Target="mailto:LicenseNotices_Reports@mail.nih.gov"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rwebgate.access.gpo.gov/cgi-bin/usc.cgi?ACTION=RETRIEVE&amp;FILE=$$xa$$busc15.wais&amp;start=10565352&amp;SIZE=35365&amp;TYPE=TEXT" TargetMode="External"/><Relationship Id="rId14" Type="http://schemas.openxmlformats.org/officeDocument/2006/relationships/hyperlink" Target="http://frwebgate.access.gpo.gov/cgi-bin/usc.cgi?ACTION=RETRIEVE&amp;FILE=$$xa$$busc31.wais&amp;start=1821131&amp;SIZE=35658&amp;TYPE=TEXT" TargetMode="External"/><Relationship Id="rId22" Type="http://schemas.openxmlformats.org/officeDocument/2006/relationships/hyperlink" Target="mailto:mreynolds@geovax.com" TargetMode="External"/><Relationship Id="rId27" Type="http://schemas.openxmlformats.org/officeDocument/2006/relationships/hyperlink" Target="https://www.pay.gov/public/form/start/28680443" TargetMode="External"/><Relationship Id="rId30" Type="http://schemas.openxmlformats.org/officeDocument/2006/relationships/image" Target="media/image1.jpeg"/><Relationship Id="rId8" Type="http://schemas.openxmlformats.org/officeDocument/2006/relationships/hyperlink" Target="http://history.nih.gov/research/downloads/PL99-5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7000</Words>
  <Characters>39900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46807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3</cp:revision>
  <dcterms:created xsi:type="dcterms:W3CDTF">2020-12-01T15:01:00Z</dcterms:created>
  <dcterms:modified xsi:type="dcterms:W3CDTF">2020-12-01T15:13:00Z</dcterms:modified>
</cp:coreProperties>
</file>