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C20" w14:textId="77777777" w:rsidR="008D7E3A" w:rsidRDefault="008D7E3A" w:rsidP="008D7E3A">
      <w:pPr>
        <w:ind w:left="144" w:right="144"/>
        <w:rPr>
          <w:sz w:val="20"/>
          <w:szCs w:val="20"/>
        </w:rPr>
      </w:pPr>
      <w:r>
        <w:rPr>
          <w:sz w:val="20"/>
          <w:szCs w:val="20"/>
        </w:rPr>
        <w:t> </w:t>
      </w:r>
    </w:p>
    <w:p w14:paraId="11173570" w14:textId="77777777" w:rsidR="008D7E3A" w:rsidRDefault="008D7E3A" w:rsidP="008D7E3A">
      <w:pPr>
        <w:ind w:left="144" w:right="144"/>
        <w:rPr>
          <w:sz w:val="20"/>
          <w:szCs w:val="20"/>
        </w:rPr>
      </w:pPr>
      <w:r>
        <w:rPr>
          <w:sz w:val="20"/>
          <w:szCs w:val="20"/>
        </w:rPr>
        <w:t> </w:t>
      </w:r>
    </w:p>
    <w:p w14:paraId="4269CD0C" w14:textId="77777777" w:rsidR="008D7E3A" w:rsidRDefault="008D7E3A" w:rsidP="008D7E3A">
      <w:pPr>
        <w:ind w:left="144" w:right="144"/>
        <w:jc w:val="center"/>
        <w:rPr>
          <w:sz w:val="36"/>
          <w:szCs w:val="36"/>
        </w:rPr>
      </w:pPr>
      <w:r>
        <w:rPr>
          <w:b/>
          <w:bCs/>
          <w:sz w:val="36"/>
          <w:szCs w:val="36"/>
        </w:rPr>
        <w:t>SECURITIES AND EXCHANGE COMMISSION</w:t>
      </w:r>
    </w:p>
    <w:p w14:paraId="6FEC2A83" w14:textId="77777777" w:rsidR="008D7E3A" w:rsidRDefault="008D7E3A" w:rsidP="008D7E3A">
      <w:pPr>
        <w:ind w:left="144" w:right="144"/>
        <w:jc w:val="center"/>
        <w:rPr>
          <w:sz w:val="20"/>
          <w:szCs w:val="20"/>
        </w:rPr>
      </w:pPr>
      <w:r>
        <w:rPr>
          <w:b/>
          <w:bCs/>
          <w:sz w:val="20"/>
          <w:szCs w:val="20"/>
        </w:rPr>
        <w:t>WASHINGTON, D.C. 20549</w:t>
      </w:r>
      <w:r>
        <w:rPr>
          <w:sz w:val="20"/>
          <w:szCs w:val="20"/>
        </w:rPr>
        <w:t> </w:t>
      </w:r>
    </w:p>
    <w:p w14:paraId="5227C5AC" w14:textId="77777777" w:rsidR="008D7E3A" w:rsidRDefault="008D7E3A" w:rsidP="008D7E3A">
      <w:pPr>
        <w:ind w:left="144" w:right="144"/>
        <w:jc w:val="center"/>
        <w:rPr>
          <w:sz w:val="20"/>
          <w:szCs w:val="20"/>
        </w:rPr>
      </w:pPr>
      <w:r>
        <w:rPr>
          <w:sz w:val="20"/>
          <w:szCs w:val="20"/>
        </w:rPr>
        <w:t> </w:t>
      </w:r>
    </w:p>
    <w:p w14:paraId="5AD7287B" w14:textId="77777777" w:rsidR="008D7E3A" w:rsidRDefault="006F4852" w:rsidP="008D7E3A">
      <w:pPr>
        <w:jc w:val="center"/>
      </w:pPr>
      <w:r>
        <w:pict w14:anchorId="6CA29461">
          <v:rect id="_x0000_i1025" style="width:135pt;height:.75pt" o:hrpct="250" o:hralign="center" o:hrstd="t" o:hrnoshade="t" o:hr="t" fillcolor="gray" stroked="f"/>
        </w:pict>
      </w:r>
    </w:p>
    <w:p w14:paraId="0B38DE17" w14:textId="77777777" w:rsidR="008D7E3A" w:rsidRDefault="008D7E3A" w:rsidP="008D7E3A">
      <w:pPr>
        <w:ind w:left="144" w:right="144"/>
        <w:jc w:val="center"/>
        <w:rPr>
          <w:sz w:val="20"/>
          <w:szCs w:val="20"/>
        </w:rPr>
      </w:pPr>
      <w:r>
        <w:rPr>
          <w:sz w:val="20"/>
          <w:szCs w:val="20"/>
        </w:rPr>
        <w:t> </w:t>
      </w:r>
    </w:p>
    <w:p w14:paraId="1FACBEF2" w14:textId="77777777" w:rsidR="008D7E3A" w:rsidRDefault="008D7E3A" w:rsidP="008D7E3A">
      <w:pPr>
        <w:ind w:left="144" w:right="144"/>
        <w:jc w:val="center"/>
        <w:rPr>
          <w:sz w:val="36"/>
          <w:szCs w:val="36"/>
        </w:rPr>
      </w:pPr>
      <w:r>
        <w:rPr>
          <w:b/>
          <w:bCs/>
          <w:sz w:val="36"/>
          <w:szCs w:val="36"/>
        </w:rPr>
        <w:t>FORM 8-K</w:t>
      </w:r>
    </w:p>
    <w:p w14:paraId="4126124C" w14:textId="77777777" w:rsidR="008D7E3A" w:rsidRDefault="008D7E3A" w:rsidP="008D7E3A">
      <w:pPr>
        <w:ind w:left="144" w:right="144"/>
        <w:rPr>
          <w:sz w:val="20"/>
          <w:szCs w:val="20"/>
        </w:rPr>
      </w:pPr>
      <w:r>
        <w:rPr>
          <w:sz w:val="20"/>
          <w:szCs w:val="20"/>
        </w:rPr>
        <w:t> </w:t>
      </w:r>
    </w:p>
    <w:p w14:paraId="6C98B2EA" w14:textId="77777777" w:rsidR="008D7E3A" w:rsidRDefault="008D7E3A" w:rsidP="008D7E3A">
      <w:pPr>
        <w:ind w:left="144" w:right="144"/>
        <w:jc w:val="center"/>
        <w:rPr>
          <w:sz w:val="20"/>
          <w:szCs w:val="20"/>
        </w:rPr>
      </w:pPr>
      <w:r>
        <w:rPr>
          <w:b/>
          <w:bCs/>
          <w:sz w:val="20"/>
          <w:szCs w:val="20"/>
        </w:rPr>
        <w:t>CURRENT REPORT</w:t>
      </w:r>
    </w:p>
    <w:p w14:paraId="3914BBE3" w14:textId="77777777" w:rsidR="008D7E3A" w:rsidRDefault="008D7E3A" w:rsidP="008D7E3A">
      <w:pPr>
        <w:ind w:left="144" w:right="144"/>
        <w:jc w:val="center"/>
        <w:rPr>
          <w:sz w:val="20"/>
          <w:szCs w:val="20"/>
        </w:rPr>
      </w:pPr>
      <w:r>
        <w:rPr>
          <w:b/>
          <w:bCs/>
          <w:sz w:val="20"/>
          <w:szCs w:val="20"/>
        </w:rPr>
        <w:t>Pursuant to Section 13 or 15(d) of the</w:t>
      </w:r>
    </w:p>
    <w:p w14:paraId="6B78B71F" w14:textId="77777777" w:rsidR="008D7E3A" w:rsidRDefault="008D7E3A" w:rsidP="008D7E3A">
      <w:pPr>
        <w:ind w:left="144" w:right="144"/>
        <w:jc w:val="center"/>
        <w:rPr>
          <w:sz w:val="20"/>
          <w:szCs w:val="20"/>
        </w:rPr>
      </w:pPr>
      <w:r>
        <w:rPr>
          <w:b/>
          <w:bCs/>
          <w:sz w:val="20"/>
          <w:szCs w:val="20"/>
        </w:rPr>
        <w:t>Securities Exchange Act of 1934</w:t>
      </w:r>
    </w:p>
    <w:p w14:paraId="1116214B" w14:textId="77777777" w:rsidR="008D7E3A" w:rsidRDefault="008D7E3A" w:rsidP="008D7E3A">
      <w:pPr>
        <w:ind w:left="144" w:right="144"/>
        <w:rPr>
          <w:sz w:val="20"/>
          <w:szCs w:val="20"/>
        </w:rPr>
      </w:pPr>
      <w:r>
        <w:rPr>
          <w:sz w:val="20"/>
          <w:szCs w:val="20"/>
        </w:rPr>
        <w:t> </w:t>
      </w:r>
    </w:p>
    <w:p w14:paraId="1907E5A2" w14:textId="75908410" w:rsidR="008D7E3A" w:rsidRDefault="008D7E3A" w:rsidP="008D7E3A">
      <w:pPr>
        <w:ind w:left="144" w:right="144"/>
        <w:jc w:val="center"/>
        <w:rPr>
          <w:sz w:val="20"/>
          <w:szCs w:val="20"/>
        </w:rPr>
      </w:pPr>
      <w:r>
        <w:rPr>
          <w:b/>
          <w:bCs/>
          <w:sz w:val="20"/>
          <w:szCs w:val="20"/>
        </w:rPr>
        <w:t>Date of report (Date of earliest event reported):  </w:t>
      </w:r>
      <w:r w:rsidR="00E77BC6">
        <w:rPr>
          <w:b/>
          <w:bCs/>
          <w:sz w:val="20"/>
          <w:szCs w:val="20"/>
        </w:rPr>
        <w:t>December</w:t>
      </w:r>
      <w:r w:rsidR="004D4E0A">
        <w:rPr>
          <w:b/>
          <w:bCs/>
          <w:sz w:val="20"/>
          <w:szCs w:val="20"/>
        </w:rPr>
        <w:t xml:space="preserve"> </w:t>
      </w:r>
      <w:r w:rsidR="00A733F8">
        <w:rPr>
          <w:b/>
          <w:bCs/>
          <w:sz w:val="20"/>
          <w:szCs w:val="20"/>
        </w:rPr>
        <w:t>15</w:t>
      </w:r>
      <w:r>
        <w:rPr>
          <w:b/>
          <w:bCs/>
          <w:sz w:val="20"/>
          <w:szCs w:val="20"/>
        </w:rPr>
        <w:t>, 2021</w:t>
      </w:r>
      <w:r>
        <w:rPr>
          <w:sz w:val="20"/>
          <w:szCs w:val="20"/>
        </w:rPr>
        <w:t> </w:t>
      </w:r>
    </w:p>
    <w:p w14:paraId="5F0131D8" w14:textId="77777777" w:rsidR="008D7E3A" w:rsidRDefault="008D7E3A" w:rsidP="008D7E3A">
      <w:pPr>
        <w:ind w:left="144" w:right="144"/>
        <w:jc w:val="center"/>
        <w:rPr>
          <w:sz w:val="20"/>
          <w:szCs w:val="20"/>
        </w:rPr>
      </w:pPr>
      <w:r>
        <w:rPr>
          <w:sz w:val="20"/>
          <w:szCs w:val="20"/>
        </w:rPr>
        <w:t> </w:t>
      </w:r>
    </w:p>
    <w:p w14:paraId="4BE21BF0" w14:textId="77777777" w:rsidR="008D7E3A" w:rsidRDefault="006F4852" w:rsidP="008D7E3A">
      <w:pPr>
        <w:jc w:val="center"/>
      </w:pPr>
      <w:r>
        <w:pict w14:anchorId="34234C18">
          <v:rect id="_x0000_i1026" style="width:135pt;height:.75pt" o:hrpct="250" o:hralign="center" o:hrstd="t" o:hrnoshade="t" o:hr="t" fillcolor="gray" stroked="f"/>
        </w:pict>
      </w:r>
    </w:p>
    <w:p w14:paraId="3C569251" w14:textId="77777777" w:rsidR="008D7E3A" w:rsidRDefault="008D7E3A" w:rsidP="008D7E3A">
      <w:pPr>
        <w:ind w:left="144" w:right="144"/>
        <w:jc w:val="center"/>
        <w:rPr>
          <w:sz w:val="20"/>
          <w:szCs w:val="20"/>
        </w:rPr>
      </w:pPr>
      <w:r>
        <w:rPr>
          <w:sz w:val="20"/>
          <w:szCs w:val="20"/>
        </w:rPr>
        <w:t> </w:t>
      </w:r>
    </w:p>
    <w:p w14:paraId="6037F5E1" w14:textId="77777777" w:rsidR="008D7E3A" w:rsidRDefault="008D7E3A" w:rsidP="008D7E3A">
      <w:pPr>
        <w:ind w:left="144" w:right="144"/>
        <w:jc w:val="center"/>
        <w:rPr>
          <w:sz w:val="36"/>
          <w:szCs w:val="36"/>
        </w:rPr>
      </w:pPr>
      <w:r>
        <w:rPr>
          <w:b/>
          <w:bCs/>
          <w:sz w:val="36"/>
          <w:szCs w:val="36"/>
        </w:rPr>
        <w:t>GEOVAX LABS, INC.</w:t>
      </w:r>
    </w:p>
    <w:p w14:paraId="5DE0AB61" w14:textId="77777777" w:rsidR="008D7E3A" w:rsidRDefault="008D7E3A" w:rsidP="008D7E3A">
      <w:pPr>
        <w:ind w:left="144" w:right="144"/>
        <w:jc w:val="center"/>
        <w:rPr>
          <w:sz w:val="20"/>
          <w:szCs w:val="20"/>
        </w:rPr>
      </w:pPr>
      <w:r>
        <w:rPr>
          <w:b/>
          <w:bCs/>
          <w:sz w:val="20"/>
          <w:szCs w:val="20"/>
        </w:rPr>
        <w:t>(Exact name of registrant as specified in its charter)</w:t>
      </w:r>
    </w:p>
    <w:p w14:paraId="0F1B7EA2"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8D7E3A" w14:paraId="65DC7518" w14:textId="77777777" w:rsidTr="008D7E3A">
        <w:tc>
          <w:tcPr>
            <w:tcW w:w="1600" w:type="pct"/>
            <w:tcMar>
              <w:top w:w="5" w:type="dxa"/>
              <w:left w:w="5" w:type="dxa"/>
              <w:bottom w:w="5" w:type="dxa"/>
              <w:right w:w="5" w:type="dxa"/>
            </w:tcMar>
            <w:hideMark/>
          </w:tcPr>
          <w:p w14:paraId="2CD5D0E3" w14:textId="77777777" w:rsidR="008D7E3A" w:rsidRDefault="008D7E3A">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21BB6B9C"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E1BFCAA" w14:textId="77777777" w:rsidR="008D7E3A" w:rsidRDefault="008D7E3A">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02B8DA0E"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8920BD4" w14:textId="77777777" w:rsidR="008D7E3A" w:rsidRDefault="008D7E3A">
            <w:pPr>
              <w:jc w:val="center"/>
              <w:rPr>
                <w:color w:val="000000"/>
                <w:sz w:val="20"/>
                <w:szCs w:val="20"/>
              </w:rPr>
            </w:pPr>
            <w:r>
              <w:rPr>
                <w:b/>
                <w:bCs/>
                <w:color w:val="000000"/>
                <w:sz w:val="20"/>
                <w:szCs w:val="20"/>
              </w:rPr>
              <w:t>87-0455038</w:t>
            </w:r>
          </w:p>
        </w:tc>
      </w:tr>
      <w:tr w:rsidR="008D7E3A" w14:paraId="1B960DB8" w14:textId="77777777" w:rsidTr="008D7E3A">
        <w:tc>
          <w:tcPr>
            <w:tcW w:w="1600" w:type="pct"/>
            <w:tcMar>
              <w:top w:w="5" w:type="dxa"/>
              <w:left w:w="5" w:type="dxa"/>
              <w:bottom w:w="5" w:type="dxa"/>
              <w:right w:w="5" w:type="dxa"/>
            </w:tcMar>
            <w:hideMark/>
          </w:tcPr>
          <w:p w14:paraId="55850994" w14:textId="77777777" w:rsidR="008D7E3A" w:rsidRDefault="008D7E3A">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6BCD4496" w14:textId="77777777" w:rsidR="008D7E3A" w:rsidRDefault="008D7E3A">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3CCD15D2"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2CADF59" w14:textId="77777777" w:rsidR="008D7E3A" w:rsidRDefault="008D7E3A">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5BE72CCD"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4EAE9BA6" w14:textId="77777777" w:rsidR="008D7E3A" w:rsidRDefault="008D7E3A">
            <w:pPr>
              <w:jc w:val="center"/>
              <w:rPr>
                <w:color w:val="000000"/>
                <w:sz w:val="20"/>
                <w:szCs w:val="20"/>
              </w:rPr>
            </w:pPr>
            <w:r>
              <w:rPr>
                <w:b/>
                <w:bCs/>
                <w:color w:val="000000"/>
                <w:sz w:val="20"/>
                <w:szCs w:val="20"/>
              </w:rPr>
              <w:t>(IRS Employee Identification No.)</w:t>
            </w:r>
          </w:p>
        </w:tc>
      </w:tr>
    </w:tbl>
    <w:p w14:paraId="6698FA39" w14:textId="77777777" w:rsidR="008D7E3A" w:rsidRDefault="008D7E3A" w:rsidP="008D7E3A">
      <w:pPr>
        <w:ind w:left="144" w:right="144"/>
        <w:rPr>
          <w:sz w:val="20"/>
          <w:szCs w:val="20"/>
        </w:rPr>
      </w:pPr>
      <w:r>
        <w:rPr>
          <w:sz w:val="20"/>
          <w:szCs w:val="20"/>
        </w:rPr>
        <w:t> </w:t>
      </w:r>
    </w:p>
    <w:p w14:paraId="15C44742" w14:textId="77777777" w:rsidR="008D7E3A" w:rsidRDefault="008D7E3A" w:rsidP="008D7E3A">
      <w:pPr>
        <w:ind w:left="144" w:right="144"/>
        <w:jc w:val="center"/>
        <w:rPr>
          <w:sz w:val="20"/>
          <w:szCs w:val="20"/>
        </w:rPr>
      </w:pPr>
      <w:r>
        <w:rPr>
          <w:b/>
          <w:bCs/>
          <w:sz w:val="20"/>
          <w:szCs w:val="20"/>
        </w:rPr>
        <w:t>1900 Lake Park Drive, Suite 380</w:t>
      </w:r>
    </w:p>
    <w:p w14:paraId="25EE6DB2" w14:textId="77777777" w:rsidR="008D7E3A" w:rsidRDefault="008D7E3A" w:rsidP="008D7E3A">
      <w:pPr>
        <w:ind w:left="144" w:right="144"/>
        <w:jc w:val="center"/>
        <w:rPr>
          <w:sz w:val="20"/>
          <w:szCs w:val="20"/>
        </w:rPr>
      </w:pPr>
      <w:r>
        <w:rPr>
          <w:b/>
          <w:bCs/>
          <w:sz w:val="20"/>
          <w:szCs w:val="20"/>
        </w:rPr>
        <w:t>Smyrna, Georgia 30080</w:t>
      </w:r>
    </w:p>
    <w:p w14:paraId="46F2FA6A" w14:textId="77777777" w:rsidR="008D7E3A" w:rsidRDefault="008D7E3A" w:rsidP="008D7E3A">
      <w:pPr>
        <w:ind w:left="144" w:right="144"/>
        <w:jc w:val="center"/>
        <w:rPr>
          <w:sz w:val="20"/>
          <w:szCs w:val="20"/>
        </w:rPr>
      </w:pPr>
      <w:r>
        <w:rPr>
          <w:b/>
          <w:bCs/>
          <w:sz w:val="20"/>
          <w:szCs w:val="20"/>
        </w:rPr>
        <w:t>(Address of principal executive offices) (Zip code)</w:t>
      </w:r>
    </w:p>
    <w:p w14:paraId="727D898C" w14:textId="77777777" w:rsidR="008D7E3A" w:rsidRDefault="008D7E3A" w:rsidP="008D7E3A">
      <w:pPr>
        <w:ind w:left="144" w:right="144"/>
        <w:rPr>
          <w:sz w:val="20"/>
          <w:szCs w:val="20"/>
        </w:rPr>
      </w:pPr>
      <w:r>
        <w:rPr>
          <w:sz w:val="20"/>
          <w:szCs w:val="20"/>
        </w:rPr>
        <w:t> </w:t>
      </w:r>
    </w:p>
    <w:p w14:paraId="5512C648" w14:textId="77777777" w:rsidR="008D7E3A" w:rsidRDefault="008D7E3A" w:rsidP="008D7E3A">
      <w:pPr>
        <w:ind w:left="144" w:right="144"/>
        <w:jc w:val="center"/>
        <w:rPr>
          <w:sz w:val="20"/>
          <w:szCs w:val="20"/>
        </w:rPr>
      </w:pPr>
      <w:r>
        <w:rPr>
          <w:b/>
          <w:bCs/>
          <w:sz w:val="20"/>
          <w:szCs w:val="20"/>
        </w:rPr>
        <w:t>(678) 384-7220</w:t>
      </w:r>
    </w:p>
    <w:p w14:paraId="4C4D8CE6" w14:textId="77777777" w:rsidR="008D7E3A" w:rsidRDefault="008D7E3A" w:rsidP="008D7E3A">
      <w:pPr>
        <w:ind w:left="144" w:right="144"/>
        <w:jc w:val="center"/>
        <w:rPr>
          <w:sz w:val="20"/>
          <w:szCs w:val="20"/>
        </w:rPr>
      </w:pPr>
      <w:r>
        <w:rPr>
          <w:b/>
          <w:bCs/>
          <w:sz w:val="20"/>
          <w:szCs w:val="20"/>
        </w:rPr>
        <w:t>(Registrant’s telephone number, including area code)</w:t>
      </w:r>
    </w:p>
    <w:p w14:paraId="56233E1A" w14:textId="77777777" w:rsidR="008D7E3A" w:rsidRDefault="008D7E3A" w:rsidP="008D7E3A">
      <w:pPr>
        <w:ind w:left="144" w:right="144"/>
        <w:rPr>
          <w:sz w:val="20"/>
          <w:szCs w:val="20"/>
        </w:rPr>
      </w:pPr>
      <w:r>
        <w:rPr>
          <w:sz w:val="20"/>
          <w:szCs w:val="20"/>
        </w:rPr>
        <w:t>  </w:t>
      </w:r>
    </w:p>
    <w:p w14:paraId="21125087" w14:textId="77777777" w:rsidR="008D7E3A" w:rsidRDefault="008D7E3A" w:rsidP="008D7E3A">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56A7FFCB" w14:textId="77777777" w:rsidR="008D7E3A" w:rsidRDefault="008D7E3A" w:rsidP="008D7E3A">
      <w:pPr>
        <w:ind w:left="144" w:right="144"/>
        <w:rPr>
          <w:sz w:val="20"/>
          <w:szCs w:val="20"/>
        </w:rPr>
      </w:pPr>
      <w:r>
        <w:rPr>
          <w:sz w:val="20"/>
          <w:szCs w:val="20"/>
        </w:rPr>
        <w:t> </w:t>
      </w:r>
    </w:p>
    <w:p w14:paraId="060CE3CB"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378B9C71" w14:textId="77777777" w:rsidR="008D7E3A" w:rsidRDefault="008D7E3A" w:rsidP="008D7E3A">
      <w:pPr>
        <w:ind w:left="144" w:right="144"/>
        <w:rPr>
          <w:sz w:val="20"/>
          <w:szCs w:val="20"/>
        </w:rPr>
      </w:pPr>
      <w:r>
        <w:rPr>
          <w:sz w:val="20"/>
          <w:szCs w:val="20"/>
        </w:rPr>
        <w:t> </w:t>
      </w:r>
    </w:p>
    <w:p w14:paraId="01FD6FA6"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72B0E98D" w14:textId="77777777" w:rsidR="008D7E3A" w:rsidRDefault="008D7E3A" w:rsidP="008D7E3A">
      <w:pPr>
        <w:ind w:left="144" w:right="144"/>
        <w:rPr>
          <w:sz w:val="20"/>
          <w:szCs w:val="20"/>
        </w:rPr>
      </w:pPr>
      <w:r>
        <w:rPr>
          <w:sz w:val="20"/>
          <w:szCs w:val="20"/>
        </w:rPr>
        <w:t> </w:t>
      </w:r>
    </w:p>
    <w:p w14:paraId="07FCB38D"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0480CCDE" w14:textId="77777777" w:rsidR="008D7E3A" w:rsidRDefault="008D7E3A" w:rsidP="008D7E3A">
      <w:pPr>
        <w:ind w:left="144" w:right="144"/>
        <w:rPr>
          <w:sz w:val="20"/>
          <w:szCs w:val="20"/>
        </w:rPr>
      </w:pPr>
      <w:r>
        <w:rPr>
          <w:sz w:val="20"/>
          <w:szCs w:val="20"/>
        </w:rPr>
        <w:t> </w:t>
      </w:r>
    </w:p>
    <w:p w14:paraId="5C400D4E"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204B4D11" w14:textId="77777777" w:rsidR="008D7E3A" w:rsidRDefault="008D7E3A" w:rsidP="008D7E3A">
      <w:pPr>
        <w:ind w:left="144" w:right="144"/>
        <w:rPr>
          <w:sz w:val="20"/>
          <w:szCs w:val="20"/>
        </w:rPr>
      </w:pPr>
      <w:r>
        <w:rPr>
          <w:sz w:val="20"/>
          <w:szCs w:val="20"/>
        </w:rPr>
        <w:t> </w:t>
      </w:r>
    </w:p>
    <w:p w14:paraId="03D855F4" w14:textId="77777777" w:rsidR="008D7E3A" w:rsidRDefault="008D7E3A" w:rsidP="008D7E3A">
      <w:pPr>
        <w:ind w:left="144" w:right="144"/>
        <w:rPr>
          <w:sz w:val="20"/>
          <w:szCs w:val="20"/>
        </w:rPr>
      </w:pPr>
      <w:r>
        <w:rPr>
          <w:sz w:val="20"/>
          <w:szCs w:val="20"/>
        </w:rPr>
        <w:t>Securities registered pursuant to Section 12(b) of the Act:</w:t>
      </w:r>
    </w:p>
    <w:p w14:paraId="1D661DC7" w14:textId="77777777" w:rsidR="008D7E3A" w:rsidRDefault="008D7E3A" w:rsidP="008D7E3A">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8D7E3A" w14:paraId="27B326FD" w14:textId="77777777" w:rsidTr="008D7E3A">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71910E3E" w14:textId="77777777" w:rsidR="008D7E3A" w:rsidRDefault="008D7E3A">
            <w:pPr>
              <w:jc w:val="center"/>
              <w:rPr>
                <w:color w:val="000000"/>
                <w:sz w:val="20"/>
                <w:szCs w:val="20"/>
              </w:rPr>
            </w:pPr>
            <w:r>
              <w:rPr>
                <w:color w:val="000000"/>
                <w:sz w:val="20"/>
                <w:szCs w:val="20"/>
              </w:rPr>
              <w:t>Title of each class</w:t>
            </w:r>
          </w:p>
        </w:tc>
        <w:tc>
          <w:tcPr>
            <w:tcW w:w="900" w:type="pct"/>
            <w:tcBorders>
              <w:top w:val="nil"/>
              <w:left w:val="nil"/>
              <w:bottom w:val="single" w:sz="6" w:space="0" w:color="000000"/>
              <w:right w:val="nil"/>
            </w:tcBorders>
            <w:tcMar>
              <w:top w:w="5" w:type="dxa"/>
              <w:left w:w="5" w:type="dxa"/>
              <w:bottom w:w="8" w:type="dxa"/>
              <w:right w:w="5" w:type="dxa"/>
            </w:tcMar>
            <w:vAlign w:val="bottom"/>
            <w:hideMark/>
          </w:tcPr>
          <w:p w14:paraId="64DC4E24" w14:textId="77777777" w:rsidR="008D7E3A" w:rsidRDefault="008D7E3A">
            <w:pPr>
              <w:jc w:val="center"/>
              <w:rPr>
                <w:color w:val="000000"/>
                <w:sz w:val="20"/>
                <w:szCs w:val="20"/>
              </w:rPr>
            </w:pPr>
            <w:r>
              <w:rPr>
                <w:color w:val="000000"/>
                <w:sz w:val="20"/>
                <w:szCs w:val="20"/>
              </w:rPr>
              <w:t>Trading</w:t>
            </w:r>
          </w:p>
          <w:p w14:paraId="72AEB163" w14:textId="77777777" w:rsidR="008D7E3A" w:rsidRDefault="008D7E3A">
            <w:pPr>
              <w:jc w:val="center"/>
              <w:rPr>
                <w:color w:val="000000"/>
                <w:sz w:val="20"/>
                <w:szCs w:val="20"/>
              </w:rPr>
            </w:pPr>
            <w:r>
              <w:rPr>
                <w:color w:val="000000"/>
                <w:sz w:val="20"/>
                <w:szCs w:val="20"/>
              </w:rPr>
              <w:t>Symbol(s)</w:t>
            </w:r>
          </w:p>
        </w:tc>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32D81BE6" w14:textId="77777777" w:rsidR="008D7E3A" w:rsidRDefault="008D7E3A">
            <w:pPr>
              <w:jc w:val="center"/>
              <w:rPr>
                <w:color w:val="000000"/>
                <w:sz w:val="20"/>
                <w:szCs w:val="20"/>
              </w:rPr>
            </w:pPr>
            <w:r>
              <w:rPr>
                <w:color w:val="000000"/>
                <w:sz w:val="20"/>
                <w:szCs w:val="20"/>
              </w:rPr>
              <w:t>Name of each exchange on which registered</w:t>
            </w:r>
          </w:p>
        </w:tc>
      </w:tr>
      <w:tr w:rsidR="008D7E3A" w14:paraId="1A046CA1" w14:textId="77777777" w:rsidTr="008D7E3A">
        <w:tc>
          <w:tcPr>
            <w:tcW w:w="2050" w:type="pct"/>
            <w:tcMar>
              <w:top w:w="5" w:type="dxa"/>
              <w:left w:w="5" w:type="dxa"/>
              <w:bottom w:w="5" w:type="dxa"/>
              <w:right w:w="5" w:type="dxa"/>
            </w:tcMar>
            <w:vAlign w:val="center"/>
            <w:hideMark/>
          </w:tcPr>
          <w:p w14:paraId="1EEB88FC" w14:textId="77777777" w:rsidR="008D7E3A" w:rsidRDefault="008D7E3A">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4CF2F38D" w14:textId="77777777" w:rsidR="008D7E3A" w:rsidRDefault="008D7E3A">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1F76576B" w14:textId="77777777" w:rsidR="008D7E3A" w:rsidRDefault="008D7E3A">
            <w:pPr>
              <w:jc w:val="center"/>
              <w:rPr>
                <w:color w:val="000000"/>
                <w:sz w:val="20"/>
                <w:szCs w:val="20"/>
              </w:rPr>
            </w:pPr>
            <w:r>
              <w:rPr>
                <w:color w:val="000000"/>
                <w:sz w:val="20"/>
                <w:szCs w:val="20"/>
              </w:rPr>
              <w:t>The Nasdaq Capital Market</w:t>
            </w:r>
          </w:p>
        </w:tc>
      </w:tr>
      <w:tr w:rsidR="008D7E3A" w14:paraId="67135A27" w14:textId="77777777" w:rsidTr="008D7E3A">
        <w:tc>
          <w:tcPr>
            <w:tcW w:w="2050" w:type="pct"/>
            <w:tcMar>
              <w:top w:w="5" w:type="dxa"/>
              <w:left w:w="5" w:type="dxa"/>
              <w:bottom w:w="5" w:type="dxa"/>
              <w:right w:w="5" w:type="dxa"/>
            </w:tcMar>
            <w:vAlign w:val="center"/>
            <w:hideMark/>
          </w:tcPr>
          <w:p w14:paraId="36C81E47" w14:textId="77777777" w:rsidR="008D7E3A" w:rsidRDefault="008D7E3A">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363E4FB4" w14:textId="77777777" w:rsidR="008D7E3A" w:rsidRDefault="008D7E3A">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0F8471ED" w14:textId="77777777" w:rsidR="008D7E3A" w:rsidRDefault="008D7E3A">
            <w:pPr>
              <w:jc w:val="center"/>
              <w:rPr>
                <w:color w:val="000000"/>
                <w:sz w:val="20"/>
                <w:szCs w:val="20"/>
              </w:rPr>
            </w:pPr>
            <w:r>
              <w:rPr>
                <w:color w:val="000000"/>
                <w:sz w:val="20"/>
                <w:szCs w:val="20"/>
              </w:rPr>
              <w:t>The Nasdaq Capital Market</w:t>
            </w:r>
          </w:p>
        </w:tc>
      </w:tr>
    </w:tbl>
    <w:p w14:paraId="6C7667D3" w14:textId="77777777" w:rsidR="008D7E3A" w:rsidRDefault="008D7E3A" w:rsidP="008D7E3A">
      <w:pPr>
        <w:ind w:left="144" w:right="144"/>
        <w:rPr>
          <w:sz w:val="20"/>
          <w:szCs w:val="20"/>
        </w:rPr>
      </w:pPr>
      <w:r>
        <w:rPr>
          <w:sz w:val="20"/>
          <w:szCs w:val="20"/>
        </w:rPr>
        <w:t> </w:t>
      </w:r>
    </w:p>
    <w:p w14:paraId="157A0BCE" w14:textId="77777777" w:rsidR="008D7E3A" w:rsidRDefault="008D7E3A" w:rsidP="008D7E3A">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0623A4F2" w14:textId="77777777" w:rsidR="008D7E3A" w:rsidRDefault="008D7E3A" w:rsidP="008D7E3A">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207B99DA" w14:textId="77777777" w:rsidR="008D7E3A" w:rsidRDefault="008D7E3A" w:rsidP="008D7E3A">
      <w:pPr>
        <w:ind w:left="144" w:right="144"/>
        <w:rPr>
          <w:sz w:val="20"/>
          <w:szCs w:val="20"/>
        </w:rPr>
      </w:pPr>
      <w:r>
        <w:rPr>
          <w:sz w:val="20"/>
          <w:szCs w:val="20"/>
        </w:rPr>
        <w:t> </w:t>
      </w:r>
    </w:p>
    <w:p w14:paraId="40CA140A" w14:textId="77777777" w:rsidR="008D7E3A" w:rsidRDefault="008D7E3A" w:rsidP="008D7E3A">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236FA74A" w14:textId="77777777" w:rsidR="008D7E3A" w:rsidRDefault="008D7E3A" w:rsidP="008D7E3A">
      <w:pPr>
        <w:ind w:left="144" w:right="144"/>
        <w:rPr>
          <w:sz w:val="20"/>
          <w:szCs w:val="20"/>
        </w:rPr>
      </w:pPr>
      <w:r>
        <w:rPr>
          <w:sz w:val="20"/>
          <w:szCs w:val="20"/>
        </w:rPr>
        <w:t> </w:t>
      </w:r>
    </w:p>
    <w:p w14:paraId="5808B58E" w14:textId="77777777" w:rsidR="008D7E3A" w:rsidRDefault="008D7E3A" w:rsidP="008D7E3A">
      <w:pPr>
        <w:ind w:left="144" w:right="144"/>
        <w:rPr>
          <w:sz w:val="20"/>
          <w:szCs w:val="20"/>
        </w:rPr>
      </w:pPr>
      <w:r>
        <w:rPr>
          <w:sz w:val="20"/>
          <w:szCs w:val="20"/>
        </w:rPr>
        <w:br w:type="page"/>
      </w:r>
      <w:r>
        <w:rPr>
          <w:sz w:val="20"/>
          <w:szCs w:val="20"/>
        </w:rPr>
        <w:lastRenderedPageBreak/>
        <w:t> </w:t>
      </w:r>
    </w:p>
    <w:p w14:paraId="2B28EAC3" w14:textId="025EC905" w:rsidR="00CB3D5C" w:rsidRDefault="008D7E3A" w:rsidP="00C36B57">
      <w:pPr>
        <w:ind w:left="144" w:right="144"/>
        <w:rPr>
          <w:sz w:val="20"/>
          <w:szCs w:val="20"/>
        </w:rPr>
      </w:pPr>
      <w:r>
        <w:rPr>
          <w:sz w:val="20"/>
          <w:szCs w:val="20"/>
        </w:rPr>
        <w:t> </w:t>
      </w:r>
    </w:p>
    <w:p w14:paraId="70E7D6C4" w14:textId="506709B3" w:rsidR="008D7E3A" w:rsidRDefault="008D7E3A" w:rsidP="005108D6">
      <w:pPr>
        <w:ind w:left="180" w:right="144"/>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41B57D0A" w14:textId="77777777" w:rsidTr="008D7E3A">
        <w:tc>
          <w:tcPr>
            <w:tcW w:w="1260" w:type="dxa"/>
            <w:tcMar>
              <w:top w:w="5" w:type="dxa"/>
              <w:left w:w="5" w:type="dxa"/>
              <w:bottom w:w="5" w:type="dxa"/>
              <w:right w:w="5" w:type="dxa"/>
            </w:tcMar>
            <w:hideMark/>
          </w:tcPr>
          <w:p w14:paraId="09270D4D" w14:textId="47D2588C" w:rsidR="008D7E3A" w:rsidRDefault="008D7E3A" w:rsidP="00A7711D">
            <w:pPr>
              <w:rPr>
                <w:color w:val="000000"/>
                <w:sz w:val="20"/>
                <w:szCs w:val="20"/>
              </w:rPr>
            </w:pPr>
            <w:r>
              <w:rPr>
                <w:b/>
                <w:bCs/>
                <w:color w:val="000000"/>
                <w:sz w:val="20"/>
                <w:szCs w:val="20"/>
              </w:rPr>
              <w:t xml:space="preserve">Item </w:t>
            </w:r>
            <w:r w:rsidR="00A7711D">
              <w:rPr>
                <w:b/>
                <w:bCs/>
                <w:color w:val="000000"/>
                <w:sz w:val="20"/>
                <w:szCs w:val="20"/>
              </w:rPr>
              <w:t>7</w:t>
            </w:r>
            <w:r w:rsidR="00FD1599">
              <w:rPr>
                <w:b/>
                <w:bCs/>
                <w:color w:val="000000"/>
                <w:sz w:val="20"/>
                <w:szCs w:val="20"/>
              </w:rPr>
              <w:t>.01</w:t>
            </w:r>
            <w:r>
              <w:rPr>
                <w:b/>
                <w:bCs/>
                <w:color w:val="000000"/>
                <w:sz w:val="20"/>
                <w:szCs w:val="20"/>
              </w:rPr>
              <w:t xml:space="preserve"> </w:t>
            </w:r>
          </w:p>
        </w:tc>
        <w:tc>
          <w:tcPr>
            <w:tcW w:w="0" w:type="auto"/>
            <w:tcMar>
              <w:top w:w="5" w:type="dxa"/>
              <w:left w:w="5" w:type="dxa"/>
              <w:bottom w:w="5" w:type="dxa"/>
              <w:right w:w="5" w:type="dxa"/>
            </w:tcMar>
            <w:hideMark/>
          </w:tcPr>
          <w:p w14:paraId="3A35EC42" w14:textId="17FF7B04" w:rsidR="008D7E3A" w:rsidRDefault="00087359">
            <w:pPr>
              <w:rPr>
                <w:color w:val="000000"/>
                <w:sz w:val="20"/>
                <w:szCs w:val="20"/>
              </w:rPr>
            </w:pPr>
            <w:r>
              <w:rPr>
                <w:b/>
                <w:bCs/>
                <w:color w:val="000000"/>
                <w:sz w:val="20"/>
                <w:szCs w:val="20"/>
              </w:rPr>
              <w:t>Regulation FD Disclosure</w:t>
            </w:r>
            <w:r w:rsidR="008D7E3A">
              <w:rPr>
                <w:b/>
                <w:bCs/>
                <w:color w:val="000000"/>
                <w:sz w:val="20"/>
                <w:szCs w:val="20"/>
              </w:rPr>
              <w:t>.</w:t>
            </w:r>
          </w:p>
        </w:tc>
      </w:tr>
    </w:tbl>
    <w:p w14:paraId="6A8AB309" w14:textId="77777777" w:rsidR="008D7E3A" w:rsidRDefault="008D7E3A" w:rsidP="008D7E3A">
      <w:pPr>
        <w:ind w:left="144" w:right="144"/>
        <w:rPr>
          <w:sz w:val="20"/>
          <w:szCs w:val="20"/>
        </w:rPr>
      </w:pPr>
      <w:r>
        <w:rPr>
          <w:b/>
          <w:bCs/>
          <w:i/>
          <w:iCs/>
          <w:sz w:val="20"/>
          <w:szCs w:val="20"/>
        </w:rPr>
        <w:t> </w:t>
      </w:r>
      <w:r>
        <w:rPr>
          <w:sz w:val="20"/>
          <w:szCs w:val="20"/>
        </w:rPr>
        <w:t> </w:t>
      </w:r>
    </w:p>
    <w:p w14:paraId="41513F6C" w14:textId="7E958289" w:rsidR="00087359" w:rsidRDefault="00087359" w:rsidP="005108D6">
      <w:pPr>
        <w:ind w:left="144" w:right="144"/>
        <w:jc w:val="both"/>
        <w:rPr>
          <w:sz w:val="20"/>
          <w:szCs w:val="20"/>
        </w:rPr>
      </w:pPr>
      <w:r>
        <w:rPr>
          <w:bCs/>
          <w:sz w:val="20"/>
          <w:szCs w:val="20"/>
        </w:rPr>
        <w:t xml:space="preserve">On </w:t>
      </w:r>
      <w:r w:rsidR="002E60D1">
        <w:rPr>
          <w:bCs/>
          <w:sz w:val="20"/>
          <w:szCs w:val="20"/>
        </w:rPr>
        <w:t>Dec</w:t>
      </w:r>
      <w:r w:rsidR="005108D6">
        <w:rPr>
          <w:bCs/>
          <w:sz w:val="20"/>
          <w:szCs w:val="20"/>
        </w:rPr>
        <w:t>ember</w:t>
      </w:r>
      <w:r w:rsidR="004D4E0A">
        <w:rPr>
          <w:bCs/>
          <w:sz w:val="20"/>
          <w:szCs w:val="20"/>
        </w:rPr>
        <w:t xml:space="preserve"> </w:t>
      </w:r>
      <w:r w:rsidR="00A733F8">
        <w:rPr>
          <w:bCs/>
          <w:sz w:val="20"/>
          <w:szCs w:val="20"/>
        </w:rPr>
        <w:t>15</w:t>
      </w:r>
      <w:r>
        <w:rPr>
          <w:bCs/>
          <w:sz w:val="20"/>
          <w:szCs w:val="20"/>
        </w:rPr>
        <w:t xml:space="preserve">, 2021, </w:t>
      </w:r>
      <w:r w:rsidR="002E60D1">
        <w:rPr>
          <w:bCs/>
          <w:sz w:val="20"/>
          <w:szCs w:val="20"/>
        </w:rPr>
        <w:t xml:space="preserve">GeoVax Labs, Inc. (“GeoVax” or the “Company”) </w:t>
      </w:r>
      <w:r>
        <w:rPr>
          <w:bCs/>
          <w:sz w:val="20"/>
          <w:szCs w:val="20"/>
        </w:rPr>
        <w:t xml:space="preserve">issued a press release </w:t>
      </w:r>
      <w:r w:rsidR="002E60D1">
        <w:rPr>
          <w:bCs/>
          <w:sz w:val="20"/>
          <w:szCs w:val="20"/>
        </w:rPr>
        <w:t xml:space="preserve">announcing the initiation of the Phase 2 trial </w:t>
      </w:r>
      <w:r w:rsidR="002E60D1" w:rsidRPr="002E60D1">
        <w:rPr>
          <w:bCs/>
          <w:sz w:val="20"/>
          <w:szCs w:val="20"/>
        </w:rPr>
        <w:t>of COH04S1, a multi-antigenic SARS-CoV-2 investigational vaccine, to evaluate its use as a universal booster t</w:t>
      </w:r>
      <w:r w:rsidR="002E60D1">
        <w:rPr>
          <w:bCs/>
          <w:sz w:val="20"/>
          <w:szCs w:val="20"/>
        </w:rPr>
        <w:t>o current FDA-approved vaccines</w:t>
      </w:r>
      <w:r w:rsidR="006F2242">
        <w:rPr>
          <w:bCs/>
          <w:sz w:val="20"/>
          <w:szCs w:val="20"/>
        </w:rPr>
        <w:t>.</w:t>
      </w:r>
      <w:r w:rsidRPr="00BB7014">
        <w:rPr>
          <w:sz w:val="20"/>
          <w:szCs w:val="20"/>
        </w:rPr>
        <w:t xml:space="preserve"> </w:t>
      </w:r>
      <w:r w:rsidRPr="00A7711D">
        <w:rPr>
          <w:sz w:val="20"/>
          <w:szCs w:val="20"/>
        </w:rPr>
        <w:t>A copy of the press release is being furnished a</w:t>
      </w:r>
      <w:r>
        <w:rPr>
          <w:sz w:val="20"/>
          <w:szCs w:val="20"/>
        </w:rPr>
        <w:t>s Exhibit 99.1 to this Current Report on Form 8-K</w:t>
      </w:r>
      <w:r w:rsidRPr="00BB7014">
        <w:rPr>
          <w:sz w:val="20"/>
          <w:szCs w:val="20"/>
        </w:rPr>
        <w:t>.</w:t>
      </w:r>
      <w:r>
        <w:rPr>
          <w:sz w:val="20"/>
          <w:szCs w:val="20"/>
        </w:rPr>
        <w:t xml:space="preserve"> </w:t>
      </w:r>
    </w:p>
    <w:p w14:paraId="64FAE1BB" w14:textId="77777777" w:rsidR="00087359" w:rsidRDefault="00087359" w:rsidP="00087359">
      <w:pPr>
        <w:ind w:right="144"/>
        <w:jc w:val="both"/>
        <w:rPr>
          <w:sz w:val="20"/>
          <w:szCs w:val="20"/>
        </w:rPr>
      </w:pPr>
    </w:p>
    <w:p w14:paraId="3D95F5B0" w14:textId="6FA0615F" w:rsidR="00F100FC" w:rsidRDefault="00087359" w:rsidP="00087359">
      <w:pPr>
        <w:ind w:left="144" w:right="144"/>
        <w:jc w:val="both"/>
        <w:rPr>
          <w:sz w:val="20"/>
          <w:szCs w:val="20"/>
        </w:rPr>
      </w:pPr>
      <w:r w:rsidRPr="00A7711D">
        <w:rPr>
          <w:sz w:val="20"/>
          <w:szCs w:val="20"/>
        </w:rPr>
        <w:t>The information in Item 7.01 of this Current Report on Form 8-K and Exhibit 99.1 attached hereto shall not be deemed “filed” for purposes of Section 18 of the Securities Exchange Act of 1934, as amended (the “Exchange Act”), or otherwise subject to liability under that section, nor shall it be deemed incorporated by reference in any filing under the Securities Act, or the Exchange Act, except as expressly set forth by spec</w:t>
      </w:r>
      <w:r>
        <w:rPr>
          <w:sz w:val="20"/>
          <w:szCs w:val="20"/>
        </w:rPr>
        <w:t>ific reference in such a filing.</w:t>
      </w:r>
      <w:r w:rsidR="00BB7014">
        <w:rPr>
          <w:sz w:val="20"/>
          <w:szCs w:val="20"/>
        </w:rPr>
        <w:t xml:space="preserve"> </w:t>
      </w:r>
    </w:p>
    <w:p w14:paraId="61F9BF5C" w14:textId="6AEF9D11" w:rsidR="00C36B57" w:rsidRDefault="00C36B57" w:rsidP="007B5113">
      <w:pPr>
        <w:ind w:right="144"/>
        <w:jc w:val="both"/>
        <w:rPr>
          <w:sz w:val="20"/>
          <w:szCs w:val="20"/>
        </w:rPr>
      </w:pPr>
    </w:p>
    <w:p w14:paraId="6C6BBE48" w14:textId="6BE471E8" w:rsidR="00C36B57" w:rsidRPr="00C36B57" w:rsidRDefault="00C36B57" w:rsidP="00C36B57">
      <w:pPr>
        <w:ind w:left="144" w:right="144"/>
        <w:jc w:val="both"/>
        <w:rPr>
          <w:b/>
          <w:sz w:val="20"/>
          <w:szCs w:val="20"/>
        </w:rPr>
      </w:pPr>
      <w:r w:rsidRPr="00C36B57">
        <w:rPr>
          <w:b/>
          <w:sz w:val="20"/>
          <w:szCs w:val="20"/>
        </w:rPr>
        <w:t>Forward-Looking Statements</w:t>
      </w:r>
    </w:p>
    <w:p w14:paraId="3C522C64" w14:textId="77777777" w:rsidR="00C36B57" w:rsidRDefault="00C36B57" w:rsidP="00C36B57">
      <w:pPr>
        <w:ind w:left="144" w:right="144"/>
        <w:jc w:val="both"/>
        <w:rPr>
          <w:sz w:val="20"/>
          <w:szCs w:val="20"/>
        </w:rPr>
      </w:pPr>
    </w:p>
    <w:p w14:paraId="39555BAE" w14:textId="6098AB0F" w:rsidR="00C36B57" w:rsidRDefault="00C36B57" w:rsidP="00C36B57">
      <w:pPr>
        <w:ind w:left="144" w:right="144"/>
        <w:jc w:val="both"/>
        <w:rPr>
          <w:sz w:val="20"/>
          <w:szCs w:val="20"/>
        </w:rPr>
      </w:pPr>
      <w:r>
        <w:rPr>
          <w:sz w:val="20"/>
          <w:szCs w:val="20"/>
        </w:rPr>
        <w:t xml:space="preserve">This Current Report on Form 8-K and other reports filed by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w:t>
      </w:r>
      <w:r w:rsidR="00314FC4">
        <w:rPr>
          <w:sz w:val="20"/>
          <w:szCs w:val="20"/>
        </w:rPr>
        <w:t>“</w:t>
      </w:r>
      <w:r w:rsidR="00314FC4" w:rsidRPr="00314FC4">
        <w:rPr>
          <w:sz w:val="20"/>
          <w:szCs w:val="20"/>
        </w:rPr>
        <w:t>believe,” “look forward to,” “may,” “estimate,” “continue,” “anticipate,” “intend,” “should,” “plan,” “could,” “target,” “potential,” “is likely,” “will,” “expect”</w:t>
      </w:r>
      <w:r w:rsidR="00314FC4">
        <w:rPr>
          <w:sz w:val="20"/>
          <w:szCs w:val="20"/>
        </w:rPr>
        <w:t xml:space="preserve"> </w:t>
      </w:r>
      <w:r>
        <w:rPr>
          <w:sz w:val="20"/>
          <w:szCs w:val="20"/>
        </w:rPr>
        <w:t xml:space="preserve">or the negative of these terms and similar expressions as they relate to the Company or the Company’s management identify forward looking statements.  Such statements reflect the current view of the Company with respect to future events and are subject to risks, uncertainties, </w:t>
      </w:r>
      <w:proofErr w:type="gramStart"/>
      <w:r>
        <w:rPr>
          <w:sz w:val="20"/>
          <w:szCs w:val="20"/>
        </w:rPr>
        <w:t>assumptions</w:t>
      </w:r>
      <w:proofErr w:type="gramEnd"/>
      <w:r>
        <w:rPr>
          <w:sz w:val="20"/>
          <w:szCs w:val="20"/>
        </w:rPr>
        <w:t xml:space="preserve">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Company does not undertake to update its forward-looking statements.</w:t>
      </w:r>
    </w:p>
    <w:p w14:paraId="13F1E109" w14:textId="77777777" w:rsidR="00C36B57" w:rsidRDefault="00C36B57" w:rsidP="00F100FC">
      <w:pPr>
        <w:ind w:left="144" w:right="144"/>
        <w:jc w:val="both"/>
        <w:rPr>
          <w:sz w:val="20"/>
          <w:szCs w:val="20"/>
        </w:rPr>
      </w:pPr>
    </w:p>
    <w:p w14:paraId="413D330F" w14:textId="77777777" w:rsidR="00BB7014" w:rsidRDefault="00BB7014" w:rsidP="00F100FC">
      <w:pPr>
        <w:ind w:right="144"/>
        <w:jc w:val="both"/>
        <w:rPr>
          <w:sz w:val="20"/>
          <w:szCs w:val="20"/>
        </w:rPr>
      </w:pP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188F57B2" w14:textId="77777777" w:rsidTr="008D7E3A">
        <w:tc>
          <w:tcPr>
            <w:tcW w:w="1260" w:type="dxa"/>
            <w:tcMar>
              <w:top w:w="5" w:type="dxa"/>
              <w:left w:w="5" w:type="dxa"/>
              <w:bottom w:w="5" w:type="dxa"/>
              <w:right w:w="5" w:type="dxa"/>
            </w:tcMar>
            <w:hideMark/>
          </w:tcPr>
          <w:p w14:paraId="3842769B" w14:textId="77777777" w:rsidR="008D7E3A" w:rsidRDefault="008D7E3A">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68CCEC3A" w14:textId="77777777" w:rsidR="008D7E3A" w:rsidRDefault="008D7E3A">
            <w:pPr>
              <w:rPr>
                <w:color w:val="000000"/>
                <w:sz w:val="20"/>
                <w:szCs w:val="20"/>
              </w:rPr>
            </w:pPr>
            <w:r>
              <w:rPr>
                <w:b/>
                <w:bCs/>
                <w:color w:val="000000"/>
                <w:sz w:val="20"/>
                <w:szCs w:val="20"/>
              </w:rPr>
              <w:t>Financial Statements and Exhibits.</w:t>
            </w:r>
          </w:p>
        </w:tc>
      </w:tr>
    </w:tbl>
    <w:p w14:paraId="4E240D59" w14:textId="77777777" w:rsidR="008D7E3A" w:rsidRDefault="008D7E3A" w:rsidP="008D7E3A">
      <w:pPr>
        <w:ind w:left="144" w:right="144"/>
        <w:rPr>
          <w:sz w:val="20"/>
          <w:szCs w:val="20"/>
        </w:rPr>
      </w:pPr>
      <w:r>
        <w:rPr>
          <w:b/>
          <w:bCs/>
          <w:sz w:val="20"/>
          <w:szCs w:val="20"/>
        </w:rPr>
        <w:t> </w:t>
      </w:r>
    </w:p>
    <w:p w14:paraId="5820E653" w14:textId="77777777" w:rsidR="008D7E3A" w:rsidRDefault="008D7E3A" w:rsidP="008D7E3A">
      <w:pPr>
        <w:ind w:left="144" w:right="144"/>
        <w:rPr>
          <w:sz w:val="20"/>
          <w:szCs w:val="20"/>
        </w:rPr>
      </w:pPr>
      <w:r>
        <w:rPr>
          <w:sz w:val="20"/>
          <w:szCs w:val="20"/>
        </w:rPr>
        <w:t>(d)     Exhibits</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8D7E3A" w14:paraId="30A37310" w14:textId="77777777" w:rsidTr="008D7E3A">
        <w:tc>
          <w:tcPr>
            <w:tcW w:w="600" w:type="pct"/>
            <w:tcMar>
              <w:top w:w="5" w:type="dxa"/>
              <w:left w:w="5" w:type="dxa"/>
              <w:bottom w:w="5" w:type="dxa"/>
              <w:right w:w="5" w:type="dxa"/>
            </w:tcMar>
            <w:hideMark/>
          </w:tcPr>
          <w:p w14:paraId="49316493" w14:textId="762331DA" w:rsidR="008D7E3A" w:rsidRDefault="008D7E3A">
            <w:pPr>
              <w:ind w:left="180"/>
              <w:rPr>
                <w:color w:val="000000"/>
                <w:sz w:val="20"/>
                <w:szCs w:val="20"/>
              </w:rPr>
            </w:pPr>
            <w:r>
              <w:rPr>
                <w:sz w:val="20"/>
                <w:szCs w:val="20"/>
              </w:rPr>
              <w:t> </w:t>
            </w:r>
            <w:r>
              <w:rPr>
                <w:color w:val="000000"/>
                <w:sz w:val="20"/>
                <w:szCs w:val="20"/>
                <w:u w:val="single" w:color="000000"/>
              </w:rPr>
              <w:t>Exhibit No.</w:t>
            </w:r>
          </w:p>
        </w:tc>
        <w:tc>
          <w:tcPr>
            <w:tcW w:w="4400" w:type="pct"/>
            <w:tcMar>
              <w:top w:w="5" w:type="dxa"/>
              <w:left w:w="5" w:type="dxa"/>
              <w:bottom w:w="5" w:type="dxa"/>
              <w:right w:w="5" w:type="dxa"/>
            </w:tcMar>
            <w:hideMark/>
          </w:tcPr>
          <w:p w14:paraId="06EC41C2" w14:textId="77777777" w:rsidR="008D7E3A" w:rsidRDefault="008D7E3A">
            <w:pPr>
              <w:rPr>
                <w:color w:val="000000"/>
                <w:sz w:val="20"/>
                <w:szCs w:val="20"/>
              </w:rPr>
            </w:pPr>
            <w:r>
              <w:rPr>
                <w:color w:val="000000"/>
                <w:sz w:val="20"/>
                <w:szCs w:val="20"/>
                <w:u w:val="single" w:color="000000"/>
              </w:rPr>
              <w:t>Description</w:t>
            </w:r>
          </w:p>
        </w:tc>
      </w:tr>
      <w:tr w:rsidR="008D7E3A" w14:paraId="32E025F6" w14:textId="77777777" w:rsidTr="008D7E3A">
        <w:tc>
          <w:tcPr>
            <w:tcW w:w="600" w:type="pct"/>
            <w:tcMar>
              <w:top w:w="5" w:type="dxa"/>
              <w:left w:w="5" w:type="dxa"/>
              <w:bottom w:w="5" w:type="dxa"/>
              <w:right w:w="5" w:type="dxa"/>
            </w:tcMar>
            <w:hideMark/>
          </w:tcPr>
          <w:p w14:paraId="09820083" w14:textId="77777777" w:rsidR="008D7E3A" w:rsidRDefault="008D7E3A">
            <w:pPr>
              <w:ind w:left="180"/>
              <w:rPr>
                <w:sz w:val="20"/>
                <w:szCs w:val="20"/>
              </w:rPr>
            </w:pPr>
            <w:r>
              <w:rPr>
                <w:sz w:val="20"/>
                <w:szCs w:val="20"/>
              </w:rPr>
              <w:t>99.1</w:t>
            </w:r>
          </w:p>
        </w:tc>
        <w:tc>
          <w:tcPr>
            <w:tcW w:w="4400" w:type="pct"/>
            <w:tcMar>
              <w:top w:w="5" w:type="dxa"/>
              <w:left w:w="5" w:type="dxa"/>
              <w:bottom w:w="5" w:type="dxa"/>
              <w:right w:w="5" w:type="dxa"/>
            </w:tcMar>
            <w:hideMark/>
          </w:tcPr>
          <w:p w14:paraId="5B5A50F1" w14:textId="27CD19BD" w:rsidR="008D7E3A" w:rsidRDefault="008D7E3A" w:rsidP="00A7711D">
            <w:pPr>
              <w:rPr>
                <w:sz w:val="20"/>
                <w:szCs w:val="20"/>
              </w:rPr>
            </w:pPr>
            <w:r>
              <w:rPr>
                <w:sz w:val="20"/>
                <w:szCs w:val="20"/>
              </w:rPr>
              <w:t xml:space="preserve">Press release dated </w:t>
            </w:r>
            <w:r w:rsidR="002E60D1">
              <w:rPr>
                <w:sz w:val="20"/>
                <w:szCs w:val="20"/>
              </w:rPr>
              <w:t>Dec</w:t>
            </w:r>
            <w:r w:rsidR="005108D6">
              <w:rPr>
                <w:sz w:val="20"/>
                <w:szCs w:val="20"/>
              </w:rPr>
              <w:t>ember</w:t>
            </w:r>
            <w:r w:rsidR="004D4E0A">
              <w:rPr>
                <w:sz w:val="20"/>
                <w:szCs w:val="20"/>
              </w:rPr>
              <w:t xml:space="preserve"> </w:t>
            </w:r>
            <w:r w:rsidR="00A733F8">
              <w:rPr>
                <w:sz w:val="20"/>
                <w:szCs w:val="20"/>
              </w:rPr>
              <w:t>15</w:t>
            </w:r>
            <w:r>
              <w:rPr>
                <w:sz w:val="20"/>
                <w:szCs w:val="20"/>
              </w:rPr>
              <w:t>, 2021</w:t>
            </w:r>
          </w:p>
        </w:tc>
      </w:tr>
      <w:tr w:rsidR="00A7711D" w14:paraId="2D4C5F1F" w14:textId="77777777" w:rsidTr="008D7E3A">
        <w:tc>
          <w:tcPr>
            <w:tcW w:w="600" w:type="pct"/>
            <w:tcMar>
              <w:top w:w="5" w:type="dxa"/>
              <w:left w:w="5" w:type="dxa"/>
              <w:bottom w:w="5" w:type="dxa"/>
              <w:right w:w="5" w:type="dxa"/>
            </w:tcMar>
          </w:tcPr>
          <w:p w14:paraId="21AF7946" w14:textId="40C001CF" w:rsidR="00A7711D" w:rsidRDefault="00A7711D">
            <w:pPr>
              <w:ind w:left="180"/>
              <w:rPr>
                <w:sz w:val="20"/>
                <w:szCs w:val="20"/>
              </w:rPr>
            </w:pPr>
            <w:r>
              <w:rPr>
                <w:sz w:val="20"/>
                <w:szCs w:val="20"/>
              </w:rPr>
              <w:t>104</w:t>
            </w:r>
          </w:p>
        </w:tc>
        <w:tc>
          <w:tcPr>
            <w:tcW w:w="4400" w:type="pct"/>
            <w:tcMar>
              <w:top w:w="5" w:type="dxa"/>
              <w:left w:w="5" w:type="dxa"/>
              <w:bottom w:w="5" w:type="dxa"/>
              <w:right w:w="5" w:type="dxa"/>
            </w:tcMar>
          </w:tcPr>
          <w:p w14:paraId="63CC3CFB" w14:textId="584ABFD9" w:rsidR="00A7711D" w:rsidRDefault="00A7711D" w:rsidP="00A7711D">
            <w:pPr>
              <w:rPr>
                <w:sz w:val="20"/>
                <w:szCs w:val="20"/>
              </w:rPr>
            </w:pPr>
            <w:r w:rsidRPr="00A7711D">
              <w:rPr>
                <w:sz w:val="20"/>
                <w:szCs w:val="20"/>
              </w:rPr>
              <w:t>Cover Page Interactive Data File (embedded within the Inline XBRL document)</w:t>
            </w:r>
          </w:p>
        </w:tc>
      </w:tr>
    </w:tbl>
    <w:p w14:paraId="3B0F25FB" w14:textId="77777777" w:rsidR="00BB7014" w:rsidRDefault="00BB7014" w:rsidP="008D7E3A">
      <w:pPr>
        <w:ind w:left="144" w:right="144"/>
        <w:jc w:val="center"/>
        <w:rPr>
          <w:b/>
          <w:bCs/>
          <w:sz w:val="20"/>
          <w:szCs w:val="20"/>
        </w:rPr>
      </w:pPr>
    </w:p>
    <w:p w14:paraId="21C94549" w14:textId="77777777" w:rsidR="00BB7014" w:rsidRDefault="00BB7014" w:rsidP="008D7E3A">
      <w:pPr>
        <w:ind w:left="144" w:right="144"/>
        <w:jc w:val="center"/>
        <w:rPr>
          <w:b/>
          <w:bCs/>
          <w:sz w:val="20"/>
          <w:szCs w:val="20"/>
        </w:rPr>
      </w:pPr>
    </w:p>
    <w:p w14:paraId="11D34B34" w14:textId="77777777" w:rsidR="00BB7014" w:rsidRDefault="00BB7014" w:rsidP="008D7E3A">
      <w:pPr>
        <w:ind w:left="144" w:right="144"/>
        <w:jc w:val="center"/>
        <w:rPr>
          <w:b/>
          <w:bCs/>
          <w:sz w:val="20"/>
          <w:szCs w:val="20"/>
        </w:rPr>
      </w:pPr>
    </w:p>
    <w:p w14:paraId="7154307C" w14:textId="77777777" w:rsidR="00BB7014" w:rsidRDefault="00BB7014" w:rsidP="008D7E3A">
      <w:pPr>
        <w:ind w:left="144" w:right="144"/>
        <w:jc w:val="center"/>
        <w:rPr>
          <w:b/>
          <w:bCs/>
          <w:sz w:val="20"/>
          <w:szCs w:val="20"/>
        </w:rPr>
      </w:pPr>
    </w:p>
    <w:p w14:paraId="637EFEC5" w14:textId="770EB990" w:rsidR="00C36B57" w:rsidRDefault="00C36B57">
      <w:pPr>
        <w:rPr>
          <w:b/>
          <w:bCs/>
          <w:sz w:val="20"/>
          <w:szCs w:val="20"/>
        </w:rPr>
      </w:pPr>
      <w:r>
        <w:rPr>
          <w:b/>
          <w:bCs/>
          <w:sz w:val="20"/>
          <w:szCs w:val="20"/>
        </w:rPr>
        <w:br w:type="page"/>
      </w:r>
    </w:p>
    <w:p w14:paraId="7F943D3B" w14:textId="4471F98A" w:rsidR="008D7E3A" w:rsidRDefault="008D7E3A" w:rsidP="008D7E3A">
      <w:pPr>
        <w:ind w:left="144" w:right="144"/>
        <w:jc w:val="center"/>
        <w:rPr>
          <w:sz w:val="20"/>
          <w:szCs w:val="20"/>
        </w:rPr>
      </w:pPr>
      <w:r>
        <w:rPr>
          <w:b/>
          <w:bCs/>
          <w:sz w:val="20"/>
          <w:szCs w:val="20"/>
        </w:rPr>
        <w:lastRenderedPageBreak/>
        <w:t>SIGNATURE</w:t>
      </w:r>
    </w:p>
    <w:p w14:paraId="74FE07D3" w14:textId="77777777" w:rsidR="008D7E3A" w:rsidRDefault="008D7E3A" w:rsidP="008D7E3A">
      <w:pPr>
        <w:ind w:left="144" w:right="144"/>
        <w:rPr>
          <w:sz w:val="20"/>
          <w:szCs w:val="20"/>
        </w:rPr>
      </w:pPr>
      <w:r>
        <w:rPr>
          <w:sz w:val="20"/>
          <w:szCs w:val="20"/>
        </w:rPr>
        <w:t> </w:t>
      </w:r>
    </w:p>
    <w:p w14:paraId="507F328C" w14:textId="77777777" w:rsidR="008D7E3A" w:rsidRDefault="008D7E3A" w:rsidP="008D7E3A">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3AC2F94E" w14:textId="77777777" w:rsidR="008D7E3A" w:rsidRDefault="008D7E3A" w:rsidP="008D7E3A">
      <w:pPr>
        <w:ind w:left="144" w:right="144"/>
        <w:rPr>
          <w:sz w:val="20"/>
          <w:szCs w:val="20"/>
        </w:rPr>
      </w:pPr>
      <w:r>
        <w:rPr>
          <w:sz w:val="20"/>
          <w:szCs w:val="20"/>
        </w:rPr>
        <w:t> </w:t>
      </w:r>
    </w:p>
    <w:p w14:paraId="64E2F402" w14:textId="3A465195" w:rsidR="008D7E3A" w:rsidRDefault="008D7E3A" w:rsidP="008D7E3A">
      <w:pPr>
        <w:ind w:left="144" w:right="144"/>
        <w:rPr>
          <w:sz w:val="20"/>
          <w:szCs w:val="20"/>
        </w:rPr>
      </w:pPr>
      <w:r>
        <w:rPr>
          <w:sz w:val="20"/>
          <w:szCs w:val="20"/>
        </w:rPr>
        <w:t xml:space="preserve">Date: </w:t>
      </w:r>
      <w:r w:rsidR="002E60D1">
        <w:rPr>
          <w:sz w:val="20"/>
          <w:szCs w:val="20"/>
        </w:rPr>
        <w:t>December</w:t>
      </w:r>
      <w:r w:rsidR="004D4E0A">
        <w:rPr>
          <w:sz w:val="20"/>
          <w:szCs w:val="20"/>
        </w:rPr>
        <w:t xml:space="preserve"> </w:t>
      </w:r>
      <w:r w:rsidR="00A733F8">
        <w:rPr>
          <w:sz w:val="20"/>
          <w:szCs w:val="20"/>
        </w:rPr>
        <w:t>15</w:t>
      </w:r>
      <w:r>
        <w:rPr>
          <w:sz w:val="20"/>
          <w:szCs w:val="20"/>
        </w:rPr>
        <w:t>, 2021</w:t>
      </w:r>
    </w:p>
    <w:p w14:paraId="71B7E649"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8D7E3A" w14:paraId="30F84C9B" w14:textId="77777777" w:rsidTr="008D7E3A">
        <w:tc>
          <w:tcPr>
            <w:tcW w:w="2500" w:type="pct"/>
            <w:tcMar>
              <w:top w:w="5" w:type="dxa"/>
              <w:left w:w="5" w:type="dxa"/>
              <w:bottom w:w="5" w:type="dxa"/>
              <w:right w:w="5" w:type="dxa"/>
            </w:tcMar>
            <w:hideMark/>
          </w:tcPr>
          <w:p w14:paraId="370A7E7F"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8A3B145" w14:textId="77777777" w:rsidR="008D7E3A" w:rsidRDefault="008D7E3A">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2AD46375" w14:textId="77777777" w:rsidR="008D7E3A" w:rsidRDefault="008D7E3A">
            <w:pPr>
              <w:rPr>
                <w:color w:val="000000"/>
                <w:sz w:val="20"/>
                <w:szCs w:val="20"/>
              </w:rPr>
            </w:pPr>
            <w:r>
              <w:rPr>
                <w:color w:val="000000"/>
                <w:sz w:val="20"/>
                <w:szCs w:val="20"/>
              </w:rPr>
              <w:t> </w:t>
            </w:r>
          </w:p>
        </w:tc>
      </w:tr>
      <w:tr w:rsidR="008D7E3A" w14:paraId="3738A2D0" w14:textId="77777777" w:rsidTr="008D7E3A">
        <w:tc>
          <w:tcPr>
            <w:tcW w:w="2500" w:type="pct"/>
            <w:tcMar>
              <w:top w:w="5" w:type="dxa"/>
              <w:left w:w="5" w:type="dxa"/>
              <w:bottom w:w="5" w:type="dxa"/>
              <w:right w:w="5" w:type="dxa"/>
            </w:tcMar>
            <w:hideMark/>
          </w:tcPr>
          <w:p w14:paraId="409FACA0"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48AE598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3AE77D9" w14:textId="77777777" w:rsidR="008D7E3A" w:rsidRDefault="008D7E3A">
            <w:pPr>
              <w:rPr>
                <w:color w:val="000000"/>
                <w:sz w:val="20"/>
                <w:szCs w:val="20"/>
              </w:rPr>
            </w:pPr>
            <w:r>
              <w:rPr>
                <w:color w:val="000000"/>
                <w:sz w:val="20"/>
                <w:szCs w:val="20"/>
              </w:rPr>
              <w:t> </w:t>
            </w:r>
          </w:p>
        </w:tc>
      </w:tr>
      <w:tr w:rsidR="008D7E3A" w14:paraId="4F849B23" w14:textId="77777777" w:rsidTr="008D7E3A">
        <w:tc>
          <w:tcPr>
            <w:tcW w:w="2500" w:type="pct"/>
            <w:tcMar>
              <w:top w:w="5" w:type="dxa"/>
              <w:left w:w="5" w:type="dxa"/>
              <w:bottom w:w="5" w:type="dxa"/>
              <w:right w:w="5" w:type="dxa"/>
            </w:tcMar>
            <w:hideMark/>
          </w:tcPr>
          <w:p w14:paraId="12CADD62"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0B9BA796"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D78D4B2" w14:textId="77777777" w:rsidR="008D7E3A" w:rsidRDefault="008D7E3A">
            <w:pPr>
              <w:rPr>
                <w:color w:val="000000"/>
                <w:sz w:val="20"/>
                <w:szCs w:val="20"/>
              </w:rPr>
            </w:pPr>
            <w:r>
              <w:rPr>
                <w:color w:val="000000"/>
                <w:sz w:val="20"/>
                <w:szCs w:val="20"/>
              </w:rPr>
              <w:t> </w:t>
            </w:r>
          </w:p>
        </w:tc>
      </w:tr>
      <w:tr w:rsidR="008D7E3A" w14:paraId="04C3C72F" w14:textId="77777777" w:rsidTr="008D7E3A">
        <w:tc>
          <w:tcPr>
            <w:tcW w:w="2500" w:type="pct"/>
            <w:tcMar>
              <w:top w:w="5" w:type="dxa"/>
              <w:left w:w="5" w:type="dxa"/>
              <w:bottom w:w="5" w:type="dxa"/>
              <w:right w:w="5" w:type="dxa"/>
            </w:tcMar>
            <w:hideMark/>
          </w:tcPr>
          <w:p w14:paraId="2D406BE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B783CC2" w14:textId="77777777" w:rsidR="008D7E3A" w:rsidRDefault="008D7E3A">
            <w:pPr>
              <w:rPr>
                <w:color w:val="000000"/>
                <w:sz w:val="20"/>
                <w:szCs w:val="20"/>
              </w:rPr>
            </w:pPr>
            <w:r>
              <w:rPr>
                <w:color w:val="000000"/>
                <w:sz w:val="20"/>
                <w:szCs w:val="20"/>
              </w:rPr>
              <w:t>By:</w:t>
            </w:r>
          </w:p>
        </w:tc>
        <w:tc>
          <w:tcPr>
            <w:tcW w:w="1750" w:type="pct"/>
            <w:tcBorders>
              <w:top w:val="nil"/>
              <w:left w:val="nil"/>
              <w:bottom w:val="single" w:sz="6" w:space="0" w:color="000000"/>
              <w:right w:val="nil"/>
            </w:tcBorders>
            <w:tcMar>
              <w:top w:w="5" w:type="dxa"/>
              <w:left w:w="5" w:type="dxa"/>
              <w:bottom w:w="8" w:type="dxa"/>
              <w:right w:w="5" w:type="dxa"/>
            </w:tcMar>
            <w:hideMark/>
          </w:tcPr>
          <w:p w14:paraId="6EBFAF06" w14:textId="77777777" w:rsidR="008D7E3A" w:rsidRDefault="008D7E3A">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4AAA5D22" w14:textId="77777777" w:rsidR="008D7E3A" w:rsidRDefault="008D7E3A">
            <w:pPr>
              <w:rPr>
                <w:color w:val="000000"/>
                <w:sz w:val="20"/>
                <w:szCs w:val="20"/>
              </w:rPr>
            </w:pPr>
            <w:r>
              <w:rPr>
                <w:color w:val="000000"/>
                <w:sz w:val="20"/>
                <w:szCs w:val="20"/>
              </w:rPr>
              <w:t> </w:t>
            </w:r>
          </w:p>
        </w:tc>
      </w:tr>
      <w:tr w:rsidR="008D7E3A" w14:paraId="70400E79" w14:textId="77777777" w:rsidTr="008D7E3A">
        <w:tc>
          <w:tcPr>
            <w:tcW w:w="2500" w:type="pct"/>
            <w:tcMar>
              <w:top w:w="5" w:type="dxa"/>
              <w:left w:w="5" w:type="dxa"/>
              <w:bottom w:w="5" w:type="dxa"/>
              <w:right w:w="5" w:type="dxa"/>
            </w:tcMar>
            <w:hideMark/>
          </w:tcPr>
          <w:p w14:paraId="65BD03C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F46E1DB"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7D534BFF" w14:textId="77777777" w:rsidR="008D7E3A" w:rsidRDefault="008D7E3A">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F9773BD" w14:textId="77777777" w:rsidR="008D7E3A" w:rsidRDefault="008D7E3A">
            <w:pPr>
              <w:rPr>
                <w:color w:val="000000"/>
                <w:sz w:val="20"/>
                <w:szCs w:val="20"/>
              </w:rPr>
            </w:pPr>
            <w:r>
              <w:rPr>
                <w:color w:val="000000"/>
                <w:sz w:val="20"/>
                <w:szCs w:val="20"/>
              </w:rPr>
              <w:t> </w:t>
            </w:r>
          </w:p>
        </w:tc>
      </w:tr>
      <w:tr w:rsidR="008D7E3A" w14:paraId="1A236024" w14:textId="77777777" w:rsidTr="008D7E3A">
        <w:tc>
          <w:tcPr>
            <w:tcW w:w="2500" w:type="pct"/>
            <w:tcMar>
              <w:top w:w="5" w:type="dxa"/>
              <w:left w:w="5" w:type="dxa"/>
              <w:bottom w:w="5" w:type="dxa"/>
              <w:right w:w="5" w:type="dxa"/>
            </w:tcMar>
            <w:hideMark/>
          </w:tcPr>
          <w:p w14:paraId="647818B0"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E5804F5"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41C30FDC" w14:textId="77777777" w:rsidR="008D7E3A" w:rsidRDefault="008D7E3A">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73443147" w14:textId="77777777" w:rsidR="008D7E3A" w:rsidRDefault="008D7E3A">
            <w:pPr>
              <w:rPr>
                <w:color w:val="000000"/>
                <w:sz w:val="20"/>
                <w:szCs w:val="20"/>
              </w:rPr>
            </w:pPr>
            <w:r>
              <w:rPr>
                <w:color w:val="000000"/>
                <w:sz w:val="20"/>
                <w:szCs w:val="20"/>
              </w:rPr>
              <w:t> </w:t>
            </w:r>
          </w:p>
        </w:tc>
      </w:tr>
      <w:tr w:rsidR="008D7E3A" w14:paraId="0ED9B5DF" w14:textId="77777777" w:rsidTr="008D7E3A">
        <w:tc>
          <w:tcPr>
            <w:tcW w:w="2500" w:type="pct"/>
            <w:tcMar>
              <w:top w:w="5" w:type="dxa"/>
              <w:left w:w="5" w:type="dxa"/>
              <w:bottom w:w="5" w:type="dxa"/>
              <w:right w:w="5" w:type="dxa"/>
            </w:tcMar>
            <w:hideMark/>
          </w:tcPr>
          <w:p w14:paraId="5A2BF58E"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78366E"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5CCFEB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74557E43" w14:textId="77777777" w:rsidR="008D7E3A" w:rsidRDefault="008D7E3A">
            <w:pPr>
              <w:rPr>
                <w:color w:val="000000"/>
                <w:sz w:val="20"/>
                <w:szCs w:val="20"/>
              </w:rPr>
            </w:pPr>
            <w:r>
              <w:rPr>
                <w:color w:val="000000"/>
                <w:sz w:val="20"/>
                <w:szCs w:val="20"/>
              </w:rPr>
              <w:t> </w:t>
            </w:r>
          </w:p>
        </w:tc>
      </w:tr>
    </w:tbl>
    <w:p w14:paraId="5122E448" w14:textId="77777777" w:rsidR="008D7E3A" w:rsidRDefault="008D7E3A" w:rsidP="008D7E3A">
      <w:pPr>
        <w:ind w:left="144" w:right="144"/>
        <w:rPr>
          <w:sz w:val="20"/>
          <w:szCs w:val="20"/>
        </w:rPr>
      </w:pPr>
    </w:p>
    <w:p w14:paraId="2445D071" w14:textId="77777777" w:rsidR="006F4852" w:rsidRDefault="006F4852" w:rsidP="008D7E3A">
      <w:pPr>
        <w:sectPr w:rsidR="006F4852">
          <w:footerReference w:type="default" r:id="rId8"/>
          <w:pgSz w:w="12240" w:h="15840"/>
          <w:pgMar w:top="576" w:right="720" w:bottom="576" w:left="720" w:header="144" w:footer="432" w:gutter="0"/>
          <w:cols w:space="720"/>
        </w:sectPr>
      </w:pPr>
    </w:p>
    <w:p w14:paraId="63879528" w14:textId="3275FE48" w:rsidR="006F4852" w:rsidRDefault="006F4852" w:rsidP="006F4852">
      <w:pPr>
        <w:rPr>
          <w:b/>
          <w:color w:val="000000" w:themeColor="text1"/>
          <w:sz w:val="22"/>
          <w:szCs w:val="22"/>
        </w:rPr>
      </w:pPr>
      <w:r>
        <w:rPr>
          <w:noProof/>
        </w:rPr>
        <w:lastRenderedPageBreak/>
        <mc:AlternateContent>
          <mc:Choice Requires="wps">
            <w:drawing>
              <wp:anchor distT="45720" distB="45720" distL="114300" distR="114300" simplePos="0" relativeHeight="251659264" behindDoc="1" locked="0" layoutInCell="1" allowOverlap="1" wp14:anchorId="448281F4" wp14:editId="04B49733">
                <wp:simplePos x="0" y="0"/>
                <wp:positionH relativeFrom="margin">
                  <wp:align>right</wp:align>
                </wp:positionH>
                <wp:positionV relativeFrom="paragraph">
                  <wp:posOffset>-339725</wp:posOffset>
                </wp:positionV>
                <wp:extent cx="990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p w14:paraId="4583932E" w14:textId="77777777" w:rsidR="006F4852" w:rsidRPr="006F4852" w:rsidRDefault="006F4852" w:rsidP="006F4852">
                            <w:pPr>
                              <w:rPr>
                                <w:b/>
                                <w:bCs/>
                              </w:rPr>
                            </w:pPr>
                            <w:r w:rsidRPr="006F4852">
                              <w:rPr>
                                <w:b/>
                                <w:bCs/>
                              </w:rPr>
                              <w:t>Exhibit 99.1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281F4" id="_x0000_t202" coordsize="21600,21600" o:spt="202" path="m,l,21600r21600,l21600,xe">
                <v:stroke joinstyle="miter"/>
                <v:path gradientshapeok="t" o:connecttype="rect"/>
              </v:shapetype>
              <v:shape id="Text Box 2" o:spid="_x0000_s1026" type="#_x0000_t202" style="position:absolute;margin-left:26.8pt;margin-top:-26.75pt;width:78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B3Cw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" stroked="f">
                <v:textbox style="mso-fit-shape-to-text:t">
                  <w:txbxContent>
                    <w:p w14:paraId="4583932E" w14:textId="77777777" w:rsidR="006F4852" w:rsidRPr="006F4852" w:rsidRDefault="006F4852" w:rsidP="006F4852">
                      <w:pPr>
                        <w:rPr>
                          <w:b/>
                          <w:bCs/>
                        </w:rPr>
                      </w:pPr>
                      <w:r w:rsidRPr="006F4852">
                        <w:rPr>
                          <w:b/>
                          <w:bCs/>
                        </w:rPr>
                        <w:t>Exhibit 99.1</w:t>
                      </w:r>
                    </w:p>
                  </w:txbxContent>
                </v:textbox>
                <w10:wrap anchorx="margin"/>
              </v:shape>
            </w:pict>
          </mc:Fallback>
        </mc:AlternateContent>
      </w:r>
    </w:p>
    <w:p w14:paraId="637214A4" w14:textId="75BE561D" w:rsidR="006F4852" w:rsidRDefault="006F4852" w:rsidP="006F4852">
      <w:pPr>
        <w:jc w:val="center"/>
        <w:rPr>
          <w:b/>
          <w:color w:val="000000" w:themeColor="text1"/>
          <w:sz w:val="36"/>
          <w:szCs w:val="36"/>
        </w:rPr>
      </w:pPr>
      <w:r>
        <w:rPr>
          <w:b/>
          <w:color w:val="000000" w:themeColor="text1"/>
          <w:sz w:val="36"/>
          <w:szCs w:val="36"/>
        </w:rPr>
        <w:t>GeoVax Announces Initiation of Phase 2 Clinical Trial</w:t>
      </w:r>
    </w:p>
    <w:p w14:paraId="2A8ED41C" w14:textId="5BE9C6A1" w:rsidR="006F4852" w:rsidRDefault="006F4852" w:rsidP="006F4852">
      <w:pPr>
        <w:jc w:val="center"/>
        <w:rPr>
          <w:b/>
          <w:color w:val="000000" w:themeColor="text1"/>
          <w:sz w:val="36"/>
          <w:szCs w:val="36"/>
        </w:rPr>
      </w:pPr>
      <w:r>
        <w:rPr>
          <w:b/>
          <w:color w:val="000000" w:themeColor="text1"/>
          <w:sz w:val="36"/>
          <w:szCs w:val="36"/>
        </w:rPr>
        <w:t>for COVID-19 Vaccine Booster</w:t>
      </w:r>
    </w:p>
    <w:p w14:paraId="446C0BAA" w14:textId="474F4ED3" w:rsidR="006F4852" w:rsidRDefault="006F4852" w:rsidP="006F4852">
      <w:pPr>
        <w:jc w:val="center"/>
        <w:rPr>
          <w:b/>
          <w:i/>
          <w:iCs/>
          <w:color w:val="000000" w:themeColor="text1"/>
          <w:sz w:val="28"/>
          <w:szCs w:val="28"/>
        </w:rPr>
      </w:pPr>
    </w:p>
    <w:p w14:paraId="00085C44" w14:textId="77777777" w:rsidR="006F4852" w:rsidRDefault="006F4852" w:rsidP="006F4852">
      <w:pPr>
        <w:jc w:val="center"/>
        <w:rPr>
          <w:b/>
          <w:bCs/>
          <w:i/>
          <w:iCs/>
          <w:color w:val="000000" w:themeColor="text1"/>
          <w:sz w:val="28"/>
          <w:szCs w:val="28"/>
        </w:rPr>
      </w:pPr>
      <w:r>
        <w:rPr>
          <w:b/>
          <w:bCs/>
          <w:i/>
          <w:iCs/>
          <w:color w:val="000000" w:themeColor="text1"/>
          <w:sz w:val="28"/>
          <w:szCs w:val="28"/>
        </w:rPr>
        <w:t>Ongoing Phase 1/2 Trial Advancing to Phase 2 Evaluation of Multi-Antigen Vaccine, Targeting both Spike and Nucleocapsid Proteins, as a Universal Booster to Current FDA-Approved Vaccines</w:t>
      </w:r>
    </w:p>
    <w:p w14:paraId="5BC85892" w14:textId="77777777" w:rsidR="006F4852" w:rsidRDefault="006F4852" w:rsidP="006F4852">
      <w:pPr>
        <w:jc w:val="center"/>
        <w:rPr>
          <w:b/>
          <w:bCs/>
          <w:i/>
          <w:iCs/>
          <w:color w:val="000000" w:themeColor="text1"/>
          <w:sz w:val="28"/>
          <w:szCs w:val="28"/>
        </w:rPr>
      </w:pPr>
    </w:p>
    <w:p w14:paraId="2FFAB7E7" w14:textId="77777777" w:rsidR="006F4852" w:rsidRDefault="006F4852" w:rsidP="006F4852">
      <w:pPr>
        <w:jc w:val="center"/>
        <w:rPr>
          <w:b/>
          <w:i/>
          <w:iCs/>
          <w:color w:val="000000" w:themeColor="text1"/>
          <w:sz w:val="28"/>
          <w:szCs w:val="28"/>
        </w:rPr>
      </w:pPr>
    </w:p>
    <w:p w14:paraId="406DD862" w14:textId="77777777" w:rsidR="006F4852" w:rsidRDefault="006F4852" w:rsidP="006F4852">
      <w:pPr>
        <w:jc w:val="both"/>
        <w:rPr>
          <w:sz w:val="22"/>
          <w:szCs w:val="22"/>
        </w:rPr>
      </w:pPr>
      <w:r w:rsidRPr="00A14B7F">
        <w:rPr>
          <w:b/>
          <w:bCs/>
          <w:sz w:val="22"/>
          <w:szCs w:val="22"/>
        </w:rPr>
        <w:t xml:space="preserve">ATLANTA, GA, December </w:t>
      </w:r>
      <w:r>
        <w:rPr>
          <w:b/>
          <w:bCs/>
          <w:sz w:val="22"/>
          <w:szCs w:val="22"/>
        </w:rPr>
        <w:t>15</w:t>
      </w:r>
      <w:r w:rsidRPr="00A14B7F">
        <w:rPr>
          <w:b/>
          <w:bCs/>
          <w:sz w:val="22"/>
          <w:szCs w:val="22"/>
        </w:rPr>
        <w:t>, 2021</w:t>
      </w:r>
      <w:r w:rsidRPr="00A14B7F">
        <w:rPr>
          <w:sz w:val="22"/>
          <w:szCs w:val="22"/>
        </w:rPr>
        <w:t xml:space="preserve"> — GeoVax Labs</w:t>
      </w:r>
      <w:r>
        <w:rPr>
          <w:sz w:val="22"/>
          <w:szCs w:val="22"/>
        </w:rPr>
        <w:t>,</w:t>
      </w:r>
      <w:r w:rsidRPr="00A14B7F">
        <w:rPr>
          <w:sz w:val="22"/>
          <w:szCs w:val="22"/>
        </w:rPr>
        <w:t xml:space="preserve"> Inc. (Nasdaq: GOVX), a biotechnology company specializing in developing human vaccines and cancer immunotherapies, today announced </w:t>
      </w:r>
      <w:r>
        <w:rPr>
          <w:sz w:val="22"/>
          <w:szCs w:val="22"/>
        </w:rPr>
        <w:t>the initiation of vaccine dosing in the Phase 2 portion</w:t>
      </w:r>
      <w:r w:rsidRPr="00A14B7F">
        <w:rPr>
          <w:sz w:val="22"/>
          <w:szCs w:val="22"/>
        </w:rPr>
        <w:t xml:space="preserve"> </w:t>
      </w:r>
      <w:r>
        <w:rPr>
          <w:sz w:val="22"/>
          <w:szCs w:val="22"/>
        </w:rPr>
        <w:t>of its</w:t>
      </w:r>
      <w:r w:rsidRPr="00A14B7F">
        <w:rPr>
          <w:sz w:val="22"/>
          <w:szCs w:val="22"/>
        </w:rPr>
        <w:t xml:space="preserve"> Phase 1/2 clinical trial of COH04S1</w:t>
      </w:r>
      <w:r w:rsidRPr="00A14B7F">
        <w:rPr>
          <w:rFonts w:eastAsia="SimSun"/>
          <w:sz w:val="22"/>
          <w:szCs w:val="22"/>
        </w:rPr>
        <w:t xml:space="preserve">, </w:t>
      </w:r>
      <w:r w:rsidRPr="00A14B7F">
        <w:rPr>
          <w:sz w:val="22"/>
          <w:szCs w:val="22"/>
        </w:rPr>
        <w:t xml:space="preserve">a multi-antigenic SARS-CoV-2 investigational vaccine, </w:t>
      </w:r>
      <w:r>
        <w:rPr>
          <w:sz w:val="22"/>
          <w:szCs w:val="22"/>
        </w:rPr>
        <w:t xml:space="preserve">designed to target both the spike (S) and nucleocapsid (N) proteins, </w:t>
      </w:r>
      <w:r w:rsidRPr="00A14B7F">
        <w:rPr>
          <w:sz w:val="22"/>
          <w:szCs w:val="22"/>
        </w:rPr>
        <w:t>to evaluate its use as a universal booster to current FDA-approved vaccines.</w:t>
      </w:r>
    </w:p>
    <w:p w14:paraId="5112FBAC" w14:textId="77777777" w:rsidR="006F4852" w:rsidRPr="00A14B7F" w:rsidRDefault="006F4852" w:rsidP="006F4852">
      <w:pPr>
        <w:jc w:val="both"/>
        <w:rPr>
          <w:sz w:val="22"/>
          <w:szCs w:val="22"/>
        </w:rPr>
      </w:pPr>
    </w:p>
    <w:p w14:paraId="604DC7AE" w14:textId="77777777" w:rsidR="006F4852" w:rsidRPr="00A14B7F" w:rsidRDefault="006F4852" w:rsidP="006F4852">
      <w:pPr>
        <w:jc w:val="both"/>
        <w:rPr>
          <w:sz w:val="22"/>
          <w:szCs w:val="22"/>
        </w:rPr>
      </w:pPr>
      <w:r w:rsidRPr="00A14B7F">
        <w:rPr>
          <w:sz w:val="22"/>
          <w:szCs w:val="22"/>
        </w:rPr>
        <w:t>The clinical trial</w:t>
      </w:r>
      <w:r>
        <w:rPr>
          <w:sz w:val="22"/>
          <w:szCs w:val="22"/>
        </w:rPr>
        <w:t xml:space="preserve">, titled </w:t>
      </w:r>
      <w:r w:rsidRPr="00A14B7F">
        <w:rPr>
          <w:sz w:val="22"/>
          <w:szCs w:val="22"/>
        </w:rPr>
        <w:t xml:space="preserve">“Phase 1/2 Dose Escalation Study to Evaluate the Safety and Biologically Effective Dose of COH04S1, a Synthetic MVA-based SARS-CoV-2 Vaccine, Administered as One or Two Injections or as a Booster to Healthy Adult Volunteers” </w:t>
      </w:r>
      <w:r>
        <w:rPr>
          <w:sz w:val="22"/>
          <w:szCs w:val="22"/>
        </w:rPr>
        <w:t>is being</w:t>
      </w:r>
      <w:r w:rsidRPr="00A14B7F">
        <w:rPr>
          <w:sz w:val="22"/>
          <w:szCs w:val="22"/>
        </w:rPr>
        <w:t xml:space="preserve"> conducted at City of Hope</w:t>
      </w:r>
      <w:r>
        <w:rPr>
          <w:sz w:val="22"/>
          <w:szCs w:val="22"/>
        </w:rPr>
        <w:t xml:space="preserve">, </w:t>
      </w:r>
      <w:r w:rsidRPr="006C3AA2">
        <w:rPr>
          <w:sz w:val="22"/>
          <w:szCs w:val="22"/>
        </w:rPr>
        <w:t>a world-renowned cancer research and treatment organization</w:t>
      </w:r>
      <w:r w:rsidRPr="00A14B7F">
        <w:rPr>
          <w:sz w:val="22"/>
          <w:szCs w:val="22"/>
        </w:rPr>
        <w:t xml:space="preserve"> </w:t>
      </w:r>
      <w:r>
        <w:rPr>
          <w:sz w:val="22"/>
          <w:szCs w:val="22"/>
        </w:rPr>
        <w:t>near Los Angeles</w:t>
      </w:r>
      <w:r w:rsidRPr="00A14B7F">
        <w:rPr>
          <w:sz w:val="22"/>
          <w:szCs w:val="22"/>
        </w:rPr>
        <w:t xml:space="preserve">. </w:t>
      </w:r>
    </w:p>
    <w:p w14:paraId="22F24204" w14:textId="77777777" w:rsidR="006F4852" w:rsidRDefault="006F4852" w:rsidP="006F4852">
      <w:pPr>
        <w:jc w:val="both"/>
        <w:rPr>
          <w:sz w:val="22"/>
          <w:szCs w:val="22"/>
        </w:rPr>
      </w:pPr>
    </w:p>
    <w:p w14:paraId="42DB6B32" w14:textId="77777777" w:rsidR="006F4852" w:rsidRPr="00A14B7F" w:rsidRDefault="006F4852" w:rsidP="006F4852">
      <w:pPr>
        <w:jc w:val="both"/>
        <w:rPr>
          <w:sz w:val="22"/>
          <w:szCs w:val="22"/>
        </w:rPr>
      </w:pPr>
      <w:r w:rsidRPr="00A14B7F">
        <w:rPr>
          <w:sz w:val="22"/>
          <w:szCs w:val="22"/>
        </w:rPr>
        <w:t>The</w:t>
      </w:r>
      <w:r>
        <w:rPr>
          <w:sz w:val="22"/>
          <w:szCs w:val="22"/>
        </w:rPr>
        <w:t xml:space="preserve"> </w:t>
      </w:r>
      <w:r w:rsidRPr="00A14B7F">
        <w:rPr>
          <w:sz w:val="22"/>
          <w:szCs w:val="22"/>
        </w:rPr>
        <w:t>Phase 1 portion of the trial</w:t>
      </w:r>
      <w:r>
        <w:rPr>
          <w:sz w:val="22"/>
          <w:szCs w:val="22"/>
        </w:rPr>
        <w:t xml:space="preserve"> </w:t>
      </w:r>
      <w:r w:rsidRPr="00A14B7F">
        <w:rPr>
          <w:sz w:val="22"/>
          <w:szCs w:val="22"/>
        </w:rPr>
        <w:t xml:space="preserve">was designed as </w:t>
      </w:r>
      <w:r>
        <w:rPr>
          <w:sz w:val="22"/>
          <w:szCs w:val="22"/>
        </w:rPr>
        <w:t xml:space="preserve">a </w:t>
      </w:r>
      <w:r w:rsidRPr="00A14B7F">
        <w:rPr>
          <w:sz w:val="22"/>
          <w:szCs w:val="22"/>
        </w:rPr>
        <w:t>dose-escalation safety study in healthy individuals</w:t>
      </w:r>
      <w:r>
        <w:rPr>
          <w:sz w:val="22"/>
          <w:szCs w:val="22"/>
        </w:rPr>
        <w:t xml:space="preserve"> between the ages of</w:t>
      </w:r>
      <w:r w:rsidRPr="00A14B7F">
        <w:rPr>
          <w:sz w:val="22"/>
          <w:szCs w:val="22"/>
        </w:rPr>
        <w:t xml:space="preserve"> 18</w:t>
      </w:r>
      <w:r>
        <w:rPr>
          <w:sz w:val="22"/>
          <w:szCs w:val="22"/>
        </w:rPr>
        <w:t xml:space="preserve"> to </w:t>
      </w:r>
      <w:r w:rsidRPr="00A14B7F">
        <w:rPr>
          <w:sz w:val="22"/>
          <w:szCs w:val="22"/>
        </w:rPr>
        <w:t>55</w:t>
      </w:r>
      <w:r>
        <w:rPr>
          <w:sz w:val="22"/>
          <w:szCs w:val="22"/>
        </w:rPr>
        <w:t>, who had not been previously infected with SARS-CoV-2</w:t>
      </w:r>
      <w:r w:rsidRPr="00A14B7F">
        <w:rPr>
          <w:sz w:val="22"/>
          <w:szCs w:val="22"/>
        </w:rPr>
        <w:t>. The primary objective</w:t>
      </w:r>
      <w:r>
        <w:rPr>
          <w:sz w:val="22"/>
          <w:szCs w:val="22"/>
        </w:rPr>
        <w:t>s</w:t>
      </w:r>
      <w:r w:rsidRPr="00A14B7F">
        <w:rPr>
          <w:sz w:val="22"/>
          <w:szCs w:val="22"/>
        </w:rPr>
        <w:t xml:space="preserve"> w</w:t>
      </w:r>
      <w:r>
        <w:rPr>
          <w:sz w:val="22"/>
          <w:szCs w:val="22"/>
        </w:rPr>
        <w:t>ere</w:t>
      </w:r>
      <w:r w:rsidRPr="00A14B7F">
        <w:rPr>
          <w:sz w:val="22"/>
          <w:szCs w:val="22"/>
        </w:rPr>
        <w:t xml:space="preserve"> to evaluate the safety</w:t>
      </w:r>
      <w:r>
        <w:rPr>
          <w:sz w:val="22"/>
          <w:szCs w:val="22"/>
        </w:rPr>
        <w:t>,</w:t>
      </w:r>
      <w:r w:rsidRPr="00A14B7F">
        <w:rPr>
          <w:sz w:val="22"/>
          <w:szCs w:val="22"/>
        </w:rPr>
        <w:t xml:space="preserve"> </w:t>
      </w:r>
      <w:proofErr w:type="gramStart"/>
      <w:r w:rsidRPr="00A14B7F">
        <w:rPr>
          <w:sz w:val="22"/>
          <w:szCs w:val="22"/>
        </w:rPr>
        <w:t>tolerability</w:t>
      </w:r>
      <w:proofErr w:type="gramEnd"/>
      <w:r w:rsidRPr="00A14B7F">
        <w:rPr>
          <w:sz w:val="22"/>
          <w:szCs w:val="22"/>
        </w:rPr>
        <w:t xml:space="preserve"> </w:t>
      </w:r>
      <w:r>
        <w:rPr>
          <w:sz w:val="22"/>
          <w:szCs w:val="22"/>
        </w:rPr>
        <w:t xml:space="preserve">and immunogenicity </w:t>
      </w:r>
      <w:r w:rsidRPr="00A14B7F">
        <w:rPr>
          <w:sz w:val="22"/>
          <w:szCs w:val="22"/>
        </w:rPr>
        <w:t xml:space="preserve">of the COH04S1 vaccine in healthy volunteers </w:t>
      </w:r>
      <w:r>
        <w:rPr>
          <w:sz w:val="22"/>
          <w:szCs w:val="22"/>
        </w:rPr>
        <w:t xml:space="preserve">who were administered the vaccine </w:t>
      </w:r>
      <w:r w:rsidRPr="00A14B7F">
        <w:rPr>
          <w:sz w:val="22"/>
          <w:szCs w:val="22"/>
        </w:rPr>
        <w:t xml:space="preserve">at three different dose levels by intramuscular (IM) injection. </w:t>
      </w:r>
      <w:r>
        <w:rPr>
          <w:sz w:val="22"/>
          <w:szCs w:val="22"/>
        </w:rPr>
        <w:t xml:space="preserve">Follow-up studies of the volunteers are continuing </w:t>
      </w:r>
      <w:proofErr w:type="gramStart"/>
      <w:r>
        <w:rPr>
          <w:sz w:val="22"/>
          <w:szCs w:val="22"/>
        </w:rPr>
        <w:t>in order to</w:t>
      </w:r>
      <w:proofErr w:type="gramEnd"/>
      <w:r>
        <w:rPr>
          <w:sz w:val="22"/>
          <w:szCs w:val="22"/>
        </w:rPr>
        <w:t xml:space="preserve"> better assess duration of immune responses and scientific presentations, and publications of results are planned for early 2022.</w:t>
      </w:r>
    </w:p>
    <w:p w14:paraId="76AC2B89" w14:textId="77777777" w:rsidR="006F4852" w:rsidRPr="00A14B7F" w:rsidRDefault="006F4852" w:rsidP="006F4852">
      <w:pPr>
        <w:jc w:val="both"/>
        <w:rPr>
          <w:sz w:val="22"/>
          <w:szCs w:val="22"/>
        </w:rPr>
      </w:pPr>
    </w:p>
    <w:p w14:paraId="460F26D2" w14:textId="77777777" w:rsidR="006F4852" w:rsidRPr="00A14B7F" w:rsidRDefault="006F4852" w:rsidP="006F4852">
      <w:pPr>
        <w:jc w:val="both"/>
        <w:rPr>
          <w:sz w:val="22"/>
          <w:szCs w:val="22"/>
        </w:rPr>
      </w:pPr>
      <w:r w:rsidRPr="00A14B7F">
        <w:rPr>
          <w:sz w:val="22"/>
          <w:szCs w:val="22"/>
        </w:rPr>
        <w:t xml:space="preserve">The Phase 2 booster study, </w:t>
      </w:r>
      <w:r>
        <w:rPr>
          <w:sz w:val="22"/>
          <w:szCs w:val="22"/>
        </w:rPr>
        <w:t>for which vaccination is now underway, will include</w:t>
      </w:r>
      <w:r w:rsidRPr="00A14B7F">
        <w:rPr>
          <w:sz w:val="22"/>
          <w:szCs w:val="22"/>
        </w:rPr>
        <w:t xml:space="preserve"> 60 healthy individuals</w:t>
      </w:r>
      <w:r>
        <w:rPr>
          <w:sz w:val="22"/>
          <w:szCs w:val="22"/>
        </w:rPr>
        <w:t>,</w:t>
      </w:r>
      <w:r w:rsidRPr="00A14B7F">
        <w:rPr>
          <w:sz w:val="22"/>
          <w:szCs w:val="22"/>
        </w:rPr>
        <w:t xml:space="preserve"> 18</w:t>
      </w:r>
      <w:r>
        <w:rPr>
          <w:sz w:val="22"/>
          <w:szCs w:val="22"/>
        </w:rPr>
        <w:t xml:space="preserve"> </w:t>
      </w:r>
      <w:r w:rsidRPr="00A14B7F">
        <w:rPr>
          <w:sz w:val="22"/>
          <w:szCs w:val="22"/>
        </w:rPr>
        <w:t>years of age</w:t>
      </w:r>
      <w:r>
        <w:rPr>
          <w:sz w:val="22"/>
          <w:szCs w:val="22"/>
        </w:rPr>
        <w:t xml:space="preserve"> and older, who were previously vaccinated</w:t>
      </w:r>
      <w:r w:rsidRPr="00A14B7F">
        <w:rPr>
          <w:sz w:val="22"/>
          <w:szCs w:val="22"/>
        </w:rPr>
        <w:t xml:space="preserve"> </w:t>
      </w:r>
      <w:r>
        <w:rPr>
          <w:sz w:val="22"/>
          <w:szCs w:val="22"/>
        </w:rPr>
        <w:t xml:space="preserve">with one of the FDA-approved SARS-CoV-2 mRNA vaccines. The study is </w:t>
      </w:r>
      <w:r w:rsidRPr="00A14B7F">
        <w:rPr>
          <w:sz w:val="22"/>
          <w:szCs w:val="22"/>
        </w:rPr>
        <w:t xml:space="preserve">designed as a </w:t>
      </w:r>
      <w:r>
        <w:rPr>
          <w:sz w:val="22"/>
          <w:szCs w:val="22"/>
        </w:rPr>
        <w:t xml:space="preserve">dose-escalation </w:t>
      </w:r>
      <w:r w:rsidRPr="00A14B7F">
        <w:rPr>
          <w:sz w:val="22"/>
          <w:szCs w:val="22"/>
        </w:rPr>
        <w:t xml:space="preserve">trial to </w:t>
      </w:r>
      <w:r>
        <w:rPr>
          <w:sz w:val="22"/>
          <w:szCs w:val="22"/>
        </w:rPr>
        <w:t xml:space="preserve">specifically </w:t>
      </w:r>
      <w:r w:rsidRPr="00A14B7F">
        <w:rPr>
          <w:sz w:val="22"/>
          <w:szCs w:val="22"/>
        </w:rPr>
        <w:t xml:space="preserve">evaluate the safety profile </w:t>
      </w:r>
      <w:r>
        <w:rPr>
          <w:sz w:val="22"/>
          <w:szCs w:val="22"/>
        </w:rPr>
        <w:t xml:space="preserve">and immunogenicity </w:t>
      </w:r>
      <w:r w:rsidRPr="00A14B7F">
        <w:rPr>
          <w:sz w:val="22"/>
          <w:szCs w:val="22"/>
        </w:rPr>
        <w:t>of COH04S1 as a booster shot. The immunological response</w:t>
      </w:r>
      <w:r>
        <w:rPr>
          <w:sz w:val="22"/>
          <w:szCs w:val="22"/>
        </w:rPr>
        <w:t xml:space="preserve">s measured throughout the study will </w:t>
      </w:r>
      <w:r w:rsidRPr="00A14B7F">
        <w:rPr>
          <w:sz w:val="22"/>
          <w:szCs w:val="22"/>
        </w:rPr>
        <w:t>includ</w:t>
      </w:r>
      <w:r>
        <w:rPr>
          <w:sz w:val="22"/>
          <w:szCs w:val="22"/>
        </w:rPr>
        <w:t>e</w:t>
      </w:r>
      <w:r w:rsidRPr="00A14B7F">
        <w:rPr>
          <w:sz w:val="22"/>
          <w:szCs w:val="22"/>
        </w:rPr>
        <w:t xml:space="preserve"> both the level of SARS-CoV-2 neutralizing antibodies </w:t>
      </w:r>
      <w:r>
        <w:rPr>
          <w:sz w:val="22"/>
          <w:szCs w:val="22"/>
        </w:rPr>
        <w:t xml:space="preserve">against SARS-CoV-2 variants of concern (VOC), including the newly identified Omicron VOC, </w:t>
      </w:r>
      <w:r w:rsidRPr="00A14B7F">
        <w:rPr>
          <w:sz w:val="22"/>
          <w:szCs w:val="22"/>
        </w:rPr>
        <w:t>and specific T-cell responses</w:t>
      </w:r>
      <w:r>
        <w:rPr>
          <w:sz w:val="22"/>
          <w:szCs w:val="22"/>
        </w:rPr>
        <w:t>.</w:t>
      </w:r>
    </w:p>
    <w:p w14:paraId="4E513076" w14:textId="77777777" w:rsidR="006F4852" w:rsidRPr="00A14B7F" w:rsidRDefault="006F4852" w:rsidP="006F4852">
      <w:pPr>
        <w:jc w:val="both"/>
        <w:rPr>
          <w:sz w:val="22"/>
          <w:szCs w:val="22"/>
        </w:rPr>
      </w:pPr>
    </w:p>
    <w:p w14:paraId="1BBD0778" w14:textId="77777777" w:rsidR="006F4852" w:rsidRPr="00A14B7F" w:rsidRDefault="006F4852" w:rsidP="006F4852">
      <w:pPr>
        <w:jc w:val="both"/>
        <w:rPr>
          <w:sz w:val="22"/>
          <w:szCs w:val="22"/>
        </w:rPr>
      </w:pPr>
      <w:r w:rsidRPr="00A14B7F">
        <w:rPr>
          <w:sz w:val="22"/>
          <w:szCs w:val="22"/>
        </w:rPr>
        <w:t xml:space="preserve">Mark Newman, PhD, GeoVax Chief Scientific Officer, commented, “Due to </w:t>
      </w:r>
      <w:r>
        <w:rPr>
          <w:sz w:val="22"/>
          <w:szCs w:val="22"/>
        </w:rPr>
        <w:t xml:space="preserve">concerns with the duration of vaccine-induced neutralizing antibodies and </w:t>
      </w:r>
      <w:r w:rsidRPr="00A14B7F">
        <w:rPr>
          <w:sz w:val="22"/>
          <w:szCs w:val="22"/>
        </w:rPr>
        <w:t>the spread of SARS-CoV-2 variants</w:t>
      </w:r>
      <w:r>
        <w:rPr>
          <w:sz w:val="22"/>
          <w:szCs w:val="22"/>
        </w:rPr>
        <w:t xml:space="preserve"> – such as the newly identified Omicron –</w:t>
      </w:r>
      <w:r w:rsidRPr="00A14B7F">
        <w:rPr>
          <w:sz w:val="22"/>
          <w:szCs w:val="22"/>
        </w:rPr>
        <w:t xml:space="preserve"> </w:t>
      </w:r>
      <w:r>
        <w:rPr>
          <w:sz w:val="22"/>
          <w:szCs w:val="22"/>
        </w:rPr>
        <w:t xml:space="preserve">health officials are now advocating </w:t>
      </w:r>
      <w:r w:rsidRPr="00A14B7F">
        <w:rPr>
          <w:sz w:val="22"/>
          <w:szCs w:val="22"/>
        </w:rPr>
        <w:t xml:space="preserve">booster vaccinations </w:t>
      </w:r>
      <w:r>
        <w:rPr>
          <w:sz w:val="22"/>
          <w:szCs w:val="22"/>
        </w:rPr>
        <w:t>for</w:t>
      </w:r>
      <w:r w:rsidRPr="00A14B7F">
        <w:rPr>
          <w:sz w:val="22"/>
          <w:szCs w:val="22"/>
        </w:rPr>
        <w:t xml:space="preserve"> the current FDA-approved mRNA vaccines. We believe that the COH04S1 vaccine, when administered as a heterologous booster,</w:t>
      </w:r>
      <w:r>
        <w:rPr>
          <w:sz w:val="22"/>
          <w:szCs w:val="22"/>
        </w:rPr>
        <w:t xml:space="preserve"> targeting both the S and N proteins,</w:t>
      </w:r>
      <w:r w:rsidRPr="00A14B7F">
        <w:rPr>
          <w:sz w:val="22"/>
          <w:szCs w:val="22"/>
        </w:rPr>
        <w:t xml:space="preserve"> will provide additional </w:t>
      </w:r>
      <w:r>
        <w:rPr>
          <w:sz w:val="22"/>
          <w:szCs w:val="22"/>
        </w:rPr>
        <w:t xml:space="preserve">beneficial </w:t>
      </w:r>
      <w:r w:rsidRPr="00A14B7F">
        <w:rPr>
          <w:sz w:val="22"/>
          <w:szCs w:val="22"/>
        </w:rPr>
        <w:t xml:space="preserve">elements </w:t>
      </w:r>
      <w:r>
        <w:rPr>
          <w:sz w:val="22"/>
          <w:szCs w:val="22"/>
        </w:rPr>
        <w:t xml:space="preserve">for </w:t>
      </w:r>
      <w:r w:rsidRPr="00A14B7F">
        <w:rPr>
          <w:sz w:val="22"/>
          <w:szCs w:val="22"/>
        </w:rPr>
        <w:t>immune system</w:t>
      </w:r>
      <w:r>
        <w:rPr>
          <w:sz w:val="22"/>
          <w:szCs w:val="22"/>
        </w:rPr>
        <w:t xml:space="preserve"> recognition</w:t>
      </w:r>
      <w:r w:rsidRPr="00A14B7F">
        <w:rPr>
          <w:sz w:val="22"/>
          <w:szCs w:val="22"/>
        </w:rPr>
        <w:t xml:space="preserve"> </w:t>
      </w:r>
      <w:r>
        <w:rPr>
          <w:sz w:val="22"/>
          <w:szCs w:val="22"/>
        </w:rPr>
        <w:t>versus</w:t>
      </w:r>
      <w:r w:rsidRPr="00A14B7F">
        <w:rPr>
          <w:sz w:val="22"/>
          <w:szCs w:val="22"/>
        </w:rPr>
        <w:t xml:space="preserve"> a homologous boost </w:t>
      </w:r>
      <w:r>
        <w:rPr>
          <w:sz w:val="22"/>
          <w:szCs w:val="22"/>
        </w:rPr>
        <w:t>using a vaccine based solely on the SARS-CoV-2 S protein. By inducing immune responses to both the S and N antigens, the</w:t>
      </w:r>
      <w:r w:rsidRPr="00A14B7F">
        <w:rPr>
          <w:sz w:val="22"/>
          <w:szCs w:val="22"/>
        </w:rPr>
        <w:t xml:space="preserve"> COH04S1 </w:t>
      </w:r>
      <w:r>
        <w:rPr>
          <w:sz w:val="22"/>
          <w:szCs w:val="22"/>
        </w:rPr>
        <w:t xml:space="preserve">vaccine </w:t>
      </w:r>
      <w:r w:rsidRPr="00A14B7F">
        <w:rPr>
          <w:sz w:val="22"/>
          <w:szCs w:val="22"/>
        </w:rPr>
        <w:t xml:space="preserve">may offer greater protection against the significant sequence variation observed with the </w:t>
      </w:r>
      <w:r>
        <w:rPr>
          <w:sz w:val="22"/>
          <w:szCs w:val="22"/>
        </w:rPr>
        <w:t>S</w:t>
      </w:r>
      <w:r w:rsidRPr="00A14B7F">
        <w:rPr>
          <w:sz w:val="22"/>
          <w:szCs w:val="22"/>
        </w:rPr>
        <w:t xml:space="preserve"> antigen</w:t>
      </w:r>
      <w:r>
        <w:rPr>
          <w:sz w:val="22"/>
          <w:szCs w:val="22"/>
        </w:rPr>
        <w:t>, especially with the newly identified Omicron VOC that has more than 30 mutations in its S protein</w:t>
      </w:r>
      <w:r w:rsidRPr="00A14B7F">
        <w:rPr>
          <w:sz w:val="22"/>
          <w:szCs w:val="22"/>
        </w:rPr>
        <w:t xml:space="preserve">. The COH04S1 vaccine’s MVA backbone </w:t>
      </w:r>
      <w:r>
        <w:rPr>
          <w:sz w:val="22"/>
          <w:szCs w:val="22"/>
        </w:rPr>
        <w:t>should</w:t>
      </w:r>
      <w:r w:rsidRPr="00A14B7F">
        <w:rPr>
          <w:sz w:val="22"/>
          <w:szCs w:val="22"/>
        </w:rPr>
        <w:t xml:space="preserve"> </w:t>
      </w:r>
      <w:r>
        <w:rPr>
          <w:sz w:val="22"/>
          <w:szCs w:val="22"/>
        </w:rPr>
        <w:t xml:space="preserve">also </w:t>
      </w:r>
      <w:r w:rsidRPr="00A14B7F">
        <w:rPr>
          <w:sz w:val="22"/>
          <w:szCs w:val="22"/>
        </w:rPr>
        <w:t xml:space="preserve">be more effective at inducing </w:t>
      </w:r>
      <w:r>
        <w:rPr>
          <w:sz w:val="22"/>
          <w:szCs w:val="22"/>
        </w:rPr>
        <w:t>SARS-CoV-2</w:t>
      </w:r>
      <w:r w:rsidRPr="00A14B7F">
        <w:rPr>
          <w:sz w:val="22"/>
          <w:szCs w:val="22"/>
        </w:rPr>
        <w:t xml:space="preserve"> </w:t>
      </w:r>
      <w:r>
        <w:rPr>
          <w:sz w:val="22"/>
          <w:szCs w:val="22"/>
        </w:rPr>
        <w:t xml:space="preserve">cellular </w:t>
      </w:r>
      <w:r w:rsidRPr="00A14B7F">
        <w:rPr>
          <w:sz w:val="22"/>
          <w:szCs w:val="22"/>
        </w:rPr>
        <w:t>immunity</w:t>
      </w:r>
      <w:r>
        <w:rPr>
          <w:sz w:val="22"/>
          <w:szCs w:val="22"/>
        </w:rPr>
        <w:t>,</w:t>
      </w:r>
      <w:r w:rsidRPr="00A14B7F">
        <w:rPr>
          <w:sz w:val="22"/>
          <w:szCs w:val="22"/>
        </w:rPr>
        <w:t xml:space="preserve"> since MVA strongly induces T cell responses</w:t>
      </w:r>
      <w:r>
        <w:rPr>
          <w:sz w:val="22"/>
          <w:szCs w:val="22"/>
        </w:rPr>
        <w:t>,</w:t>
      </w:r>
      <w:r w:rsidRPr="00A14B7F">
        <w:rPr>
          <w:sz w:val="22"/>
          <w:szCs w:val="22"/>
        </w:rPr>
        <w:t xml:space="preserve"> even in </w:t>
      </w:r>
      <w:r>
        <w:rPr>
          <w:sz w:val="22"/>
          <w:szCs w:val="22"/>
        </w:rPr>
        <w:t>immunocompromised individuals</w:t>
      </w:r>
      <w:r w:rsidRPr="00A14B7F">
        <w:rPr>
          <w:sz w:val="22"/>
          <w:szCs w:val="22"/>
        </w:rPr>
        <w:t xml:space="preserve">.” </w:t>
      </w:r>
    </w:p>
    <w:p w14:paraId="3DD44FF3" w14:textId="77777777" w:rsidR="006F4852" w:rsidRPr="00A14B7F" w:rsidRDefault="006F4852" w:rsidP="006F4852">
      <w:pPr>
        <w:jc w:val="both"/>
        <w:rPr>
          <w:sz w:val="22"/>
          <w:szCs w:val="22"/>
        </w:rPr>
      </w:pPr>
    </w:p>
    <w:p w14:paraId="150BF073" w14:textId="77777777" w:rsidR="006F4852" w:rsidRPr="00A14B7F" w:rsidRDefault="006F4852" w:rsidP="006F4852">
      <w:pPr>
        <w:jc w:val="both"/>
        <w:rPr>
          <w:sz w:val="22"/>
          <w:szCs w:val="22"/>
        </w:rPr>
      </w:pPr>
      <w:r w:rsidRPr="00A14B7F">
        <w:rPr>
          <w:sz w:val="22"/>
          <w:szCs w:val="22"/>
        </w:rPr>
        <w:t xml:space="preserve">David Dodd, GeoVax President and CEO, </w:t>
      </w:r>
      <w:r>
        <w:rPr>
          <w:sz w:val="22"/>
          <w:szCs w:val="22"/>
        </w:rPr>
        <w:t>added</w:t>
      </w:r>
      <w:r w:rsidRPr="00A14B7F">
        <w:rPr>
          <w:sz w:val="22"/>
          <w:szCs w:val="22"/>
        </w:rPr>
        <w:t>, “</w:t>
      </w:r>
      <w:bookmarkStart w:id="0" w:name="bFAQ26"/>
      <w:bookmarkEnd w:id="0"/>
      <w:r w:rsidRPr="00A14B7F">
        <w:rPr>
          <w:sz w:val="22"/>
          <w:szCs w:val="22"/>
        </w:rPr>
        <w:t>We are excited to begin this important study and look forward to sharing progress reports going forward on this trial, as well as the ongoing Phase 2 trial of COH04S1 in immunocompromised</w:t>
      </w:r>
      <w:r>
        <w:rPr>
          <w:sz w:val="22"/>
          <w:szCs w:val="22"/>
        </w:rPr>
        <w:t xml:space="preserve"> and other</w:t>
      </w:r>
      <w:r w:rsidRPr="00A14B7F">
        <w:rPr>
          <w:sz w:val="22"/>
          <w:szCs w:val="22"/>
        </w:rPr>
        <w:t xml:space="preserve"> patients. </w:t>
      </w:r>
      <w:r>
        <w:rPr>
          <w:sz w:val="22"/>
          <w:szCs w:val="22"/>
        </w:rPr>
        <w:t xml:space="preserve">We believe the COH04S1 vaccine, containing the two antigens, S and </w:t>
      </w:r>
      <w:r>
        <w:rPr>
          <w:sz w:val="22"/>
          <w:szCs w:val="22"/>
        </w:rPr>
        <w:lastRenderedPageBreak/>
        <w:t>N, along with the recognized antibody and cellular immune responses resulting from the MVA approach, has the potential to offer greater booster protection than that from the current vaccines in use, as well as provide a greater degree of protection within immunocompromised patients. In addition, our pan-coronavirus vaccine candidate, GEO-CM04, continues to progress, demonstrating promising preclinical data results.”</w:t>
      </w:r>
    </w:p>
    <w:p w14:paraId="06143716" w14:textId="77777777" w:rsidR="006F4852" w:rsidRPr="00A14B7F" w:rsidRDefault="006F4852" w:rsidP="006F4852">
      <w:pPr>
        <w:jc w:val="both"/>
        <w:rPr>
          <w:sz w:val="22"/>
          <w:szCs w:val="22"/>
        </w:rPr>
      </w:pPr>
    </w:p>
    <w:p w14:paraId="5091E929" w14:textId="77777777" w:rsidR="006F4852" w:rsidRPr="00A14B7F" w:rsidRDefault="006F4852" w:rsidP="006F4852">
      <w:pPr>
        <w:jc w:val="both"/>
        <w:rPr>
          <w:b/>
          <w:bCs/>
          <w:sz w:val="22"/>
          <w:szCs w:val="22"/>
        </w:rPr>
      </w:pPr>
      <w:r w:rsidRPr="00A14B7F">
        <w:rPr>
          <w:b/>
          <w:bCs/>
          <w:sz w:val="22"/>
          <w:szCs w:val="22"/>
        </w:rPr>
        <w:t>About COH04S1</w:t>
      </w:r>
    </w:p>
    <w:p w14:paraId="08AA9D25" w14:textId="77777777" w:rsidR="006F4852" w:rsidRPr="00A14B7F" w:rsidRDefault="006F4852" w:rsidP="006F4852">
      <w:pPr>
        <w:jc w:val="both"/>
        <w:rPr>
          <w:sz w:val="22"/>
          <w:szCs w:val="22"/>
        </w:rPr>
      </w:pPr>
    </w:p>
    <w:p w14:paraId="145B405A" w14:textId="77777777" w:rsidR="006F4852" w:rsidRDefault="006F4852" w:rsidP="006F4852">
      <w:pPr>
        <w:jc w:val="both"/>
        <w:rPr>
          <w:rFonts w:eastAsia="SimSun"/>
          <w:sz w:val="22"/>
          <w:szCs w:val="22"/>
        </w:rPr>
      </w:pPr>
      <w:r w:rsidRPr="00A14B7F">
        <w:rPr>
          <w:rFonts w:eastAsia="SimSun"/>
          <w:sz w:val="22"/>
          <w:szCs w:val="22"/>
        </w:rPr>
        <w:t>COH04S1, a synthetic, attenuated modified vaccinia Ankara (</w:t>
      </w:r>
      <w:proofErr w:type="spellStart"/>
      <w:r w:rsidRPr="00A14B7F">
        <w:rPr>
          <w:rFonts w:eastAsia="SimSun"/>
          <w:sz w:val="22"/>
          <w:szCs w:val="22"/>
        </w:rPr>
        <w:t>sMVA</w:t>
      </w:r>
      <w:proofErr w:type="spellEnd"/>
      <w:r w:rsidRPr="00A14B7F">
        <w:rPr>
          <w:rFonts w:eastAsia="SimSun"/>
          <w:sz w:val="22"/>
          <w:szCs w:val="22"/>
        </w:rPr>
        <w:t xml:space="preserve">) vector expressing </w:t>
      </w:r>
      <w:r>
        <w:rPr>
          <w:rFonts w:eastAsia="SimSun"/>
          <w:sz w:val="22"/>
          <w:szCs w:val="22"/>
        </w:rPr>
        <w:t>s</w:t>
      </w:r>
      <w:r w:rsidRPr="00A14B7F">
        <w:rPr>
          <w:rFonts w:eastAsia="SimSun"/>
          <w:sz w:val="22"/>
          <w:szCs w:val="22"/>
        </w:rPr>
        <w:t>pike</w:t>
      </w:r>
      <w:r>
        <w:rPr>
          <w:rFonts w:eastAsia="SimSun"/>
          <w:sz w:val="22"/>
          <w:szCs w:val="22"/>
        </w:rPr>
        <w:t xml:space="preserve"> (S)</w:t>
      </w:r>
      <w:r w:rsidRPr="00A14B7F">
        <w:rPr>
          <w:rFonts w:eastAsia="SimSun"/>
          <w:sz w:val="22"/>
          <w:szCs w:val="22"/>
        </w:rPr>
        <w:t xml:space="preserve"> and </w:t>
      </w:r>
      <w:r>
        <w:rPr>
          <w:rFonts w:eastAsia="SimSun"/>
          <w:sz w:val="22"/>
          <w:szCs w:val="22"/>
        </w:rPr>
        <w:t>n</w:t>
      </w:r>
      <w:r w:rsidRPr="00A14B7F">
        <w:rPr>
          <w:rFonts w:eastAsia="SimSun"/>
          <w:sz w:val="22"/>
          <w:szCs w:val="22"/>
        </w:rPr>
        <w:t xml:space="preserve">ucleocapsid </w:t>
      </w:r>
      <w:r>
        <w:rPr>
          <w:rFonts w:eastAsia="SimSun"/>
          <w:sz w:val="22"/>
          <w:szCs w:val="22"/>
        </w:rPr>
        <w:t xml:space="preserve">(N) </w:t>
      </w:r>
      <w:r w:rsidRPr="00A14B7F">
        <w:rPr>
          <w:rFonts w:eastAsia="SimSun"/>
          <w:sz w:val="22"/>
          <w:szCs w:val="22"/>
        </w:rPr>
        <w:t xml:space="preserve">antigens of the SARS-CoV-2 virus, was initially </w:t>
      </w:r>
      <w:r w:rsidRPr="00A14B7F">
        <w:rPr>
          <w:sz w:val="22"/>
          <w:szCs w:val="22"/>
        </w:rPr>
        <w:t xml:space="preserve">developed at City of Hope for immunocompromised </w:t>
      </w:r>
      <w:r>
        <w:rPr>
          <w:sz w:val="22"/>
          <w:szCs w:val="22"/>
        </w:rPr>
        <w:t xml:space="preserve">and other </w:t>
      </w:r>
      <w:r w:rsidRPr="00A14B7F">
        <w:rPr>
          <w:sz w:val="22"/>
          <w:szCs w:val="22"/>
        </w:rPr>
        <w:t>patients.</w:t>
      </w:r>
      <w:r w:rsidRPr="00A14B7F">
        <w:rPr>
          <w:rFonts w:eastAsia="SimSun"/>
          <w:sz w:val="22"/>
          <w:szCs w:val="22"/>
        </w:rPr>
        <w:t xml:space="preserve"> On November 9, 2021, GeoVax entered into a</w:t>
      </w:r>
      <w:r>
        <w:rPr>
          <w:rFonts w:eastAsia="SimSun"/>
          <w:sz w:val="22"/>
          <w:szCs w:val="22"/>
        </w:rPr>
        <w:t>n exclusive</w:t>
      </w:r>
      <w:r w:rsidRPr="00A14B7F">
        <w:rPr>
          <w:rFonts w:eastAsia="SimSun"/>
          <w:sz w:val="22"/>
          <w:szCs w:val="22"/>
        </w:rPr>
        <w:t xml:space="preserve"> license agreement with C</w:t>
      </w:r>
      <w:r>
        <w:rPr>
          <w:rFonts w:eastAsia="SimSun"/>
          <w:sz w:val="22"/>
          <w:szCs w:val="22"/>
        </w:rPr>
        <w:t>ity of Hope</w:t>
      </w:r>
      <w:r w:rsidRPr="00A14B7F">
        <w:rPr>
          <w:rFonts w:eastAsia="SimSun"/>
          <w:sz w:val="22"/>
          <w:szCs w:val="22"/>
        </w:rPr>
        <w:t xml:space="preserve">, granting GeoVax </w:t>
      </w:r>
      <w:r>
        <w:rPr>
          <w:rFonts w:eastAsia="SimSun"/>
          <w:sz w:val="22"/>
          <w:szCs w:val="22"/>
        </w:rPr>
        <w:t>world-wide</w:t>
      </w:r>
      <w:r w:rsidRPr="00A14B7F">
        <w:rPr>
          <w:rFonts w:eastAsia="SimSun"/>
          <w:sz w:val="22"/>
          <w:szCs w:val="22"/>
        </w:rPr>
        <w:t xml:space="preserve"> rights</w:t>
      </w:r>
      <w:r>
        <w:rPr>
          <w:rFonts w:eastAsia="SimSun"/>
          <w:sz w:val="22"/>
          <w:szCs w:val="22"/>
        </w:rPr>
        <w:t xml:space="preserve"> </w:t>
      </w:r>
      <w:r w:rsidRPr="006E09BA">
        <w:rPr>
          <w:rFonts w:eastAsia="SimSun"/>
          <w:sz w:val="22"/>
          <w:szCs w:val="22"/>
        </w:rPr>
        <w:t>to the patents covering COH04S1</w:t>
      </w:r>
      <w:r>
        <w:rPr>
          <w:rFonts w:eastAsia="SimSun"/>
          <w:sz w:val="22"/>
          <w:szCs w:val="22"/>
        </w:rPr>
        <w:t xml:space="preserve"> and</w:t>
      </w:r>
      <w:r w:rsidRPr="00A14B7F">
        <w:rPr>
          <w:rFonts w:eastAsia="SimSun"/>
          <w:sz w:val="22"/>
          <w:szCs w:val="22"/>
        </w:rPr>
        <w:t xml:space="preserve"> to further develop and commercialize COH04S1.</w:t>
      </w:r>
    </w:p>
    <w:p w14:paraId="0BC0811C" w14:textId="77777777" w:rsidR="006F4852" w:rsidRPr="00A14B7F" w:rsidRDefault="006F4852" w:rsidP="006F4852">
      <w:pPr>
        <w:jc w:val="both"/>
        <w:rPr>
          <w:rFonts w:eastAsia="SimSun"/>
          <w:sz w:val="22"/>
          <w:szCs w:val="22"/>
        </w:rPr>
      </w:pPr>
    </w:p>
    <w:p w14:paraId="7325BC6D" w14:textId="77777777" w:rsidR="006F4852" w:rsidRPr="00A14B7F" w:rsidRDefault="006F4852" w:rsidP="006F4852">
      <w:pPr>
        <w:jc w:val="both"/>
        <w:rPr>
          <w:sz w:val="22"/>
          <w:szCs w:val="22"/>
        </w:rPr>
      </w:pPr>
      <w:r w:rsidRPr="00A14B7F">
        <w:rPr>
          <w:rFonts w:eastAsia="SimSun"/>
          <w:sz w:val="22"/>
          <w:szCs w:val="22"/>
        </w:rPr>
        <w:t>In addition to the Phase 1/2 booster trial</w:t>
      </w:r>
      <w:r>
        <w:rPr>
          <w:rFonts w:eastAsia="SimSun"/>
          <w:sz w:val="22"/>
          <w:szCs w:val="22"/>
        </w:rPr>
        <w:t xml:space="preserve"> in healthy volunteers</w:t>
      </w:r>
      <w:r w:rsidRPr="00A14B7F">
        <w:rPr>
          <w:rFonts w:eastAsia="SimSun"/>
          <w:sz w:val="22"/>
          <w:szCs w:val="22"/>
        </w:rPr>
        <w:t xml:space="preserve">, </w:t>
      </w:r>
      <w:r w:rsidRPr="007E715C">
        <w:rPr>
          <w:rFonts w:eastAsia="SimSun"/>
          <w:sz w:val="22"/>
          <w:szCs w:val="22"/>
        </w:rPr>
        <w:t>COH04S1 is being studied in an ongoing Phase 2 clinical trial to evaluate its safety and immunogenicity, compared to the Pfizer mRNA-based vaccine, in patients who have previously received either an allogeneic hematopoietic cell transplant, an autologous hematopoietic cell transplant</w:t>
      </w:r>
      <w:r>
        <w:rPr>
          <w:rFonts w:eastAsia="SimSun"/>
          <w:sz w:val="22"/>
          <w:szCs w:val="22"/>
        </w:rPr>
        <w:t>,</w:t>
      </w:r>
      <w:r w:rsidRPr="007E715C">
        <w:rPr>
          <w:rFonts w:eastAsia="SimSun"/>
          <w:sz w:val="22"/>
          <w:szCs w:val="22"/>
        </w:rPr>
        <w:t xml:space="preserve"> or chimeric antigen receptor (CAR) T cell therapy</w:t>
      </w:r>
      <w:r w:rsidRPr="00A14B7F">
        <w:rPr>
          <w:rFonts w:eastAsia="SimSun"/>
          <w:sz w:val="22"/>
          <w:szCs w:val="22"/>
        </w:rPr>
        <w:t xml:space="preserve">. COH04S1 is the only COVID-19 vaccine that includes both SARS-CoV-2 </w:t>
      </w:r>
      <w:r>
        <w:rPr>
          <w:rFonts w:eastAsia="SimSun"/>
          <w:sz w:val="22"/>
          <w:szCs w:val="22"/>
        </w:rPr>
        <w:t xml:space="preserve">S </w:t>
      </w:r>
      <w:r w:rsidRPr="00A14B7F">
        <w:rPr>
          <w:rFonts w:eastAsia="SimSun"/>
          <w:sz w:val="22"/>
          <w:szCs w:val="22"/>
        </w:rPr>
        <w:t xml:space="preserve">and </w:t>
      </w:r>
      <w:r>
        <w:rPr>
          <w:rFonts w:eastAsia="SimSun"/>
          <w:sz w:val="22"/>
          <w:szCs w:val="22"/>
        </w:rPr>
        <w:t xml:space="preserve">N </w:t>
      </w:r>
      <w:r w:rsidRPr="00A14B7F">
        <w:rPr>
          <w:rFonts w:eastAsia="SimSun"/>
          <w:sz w:val="22"/>
          <w:szCs w:val="22"/>
        </w:rPr>
        <w:t xml:space="preserve">proteins to advance to a Phase 2 trial in cancer patients. Such vaccines also tend to produce an immune response quickly – in less than 14 days – with only mild side effects. The trial is also the first to compare an investigational multi-antigenic COVID-19 vaccine to the current Food and Drug Administration (FDA)-approved mRNA vaccine from Pfizer/BioNTech in people who are immunocompromised. Such patients have often shown a weak antibody response after receiving currently available COVID-19 vaccines. </w:t>
      </w:r>
    </w:p>
    <w:p w14:paraId="09BA96B7" w14:textId="77777777" w:rsidR="006F4852" w:rsidRDefault="006F4852" w:rsidP="006F4852">
      <w:pPr>
        <w:jc w:val="both"/>
        <w:rPr>
          <w:bCs/>
          <w:color w:val="000000" w:themeColor="text1"/>
          <w:sz w:val="22"/>
          <w:szCs w:val="22"/>
        </w:rPr>
      </w:pPr>
    </w:p>
    <w:p w14:paraId="56349A5C" w14:textId="77777777" w:rsidR="006F4852" w:rsidRDefault="006F4852" w:rsidP="006F4852">
      <w:pPr>
        <w:jc w:val="both"/>
        <w:rPr>
          <w:rFonts w:eastAsia="SimSun"/>
          <w:b/>
          <w:bCs/>
          <w:color w:val="000000" w:themeColor="text1"/>
          <w:sz w:val="22"/>
          <w:szCs w:val="22"/>
        </w:rPr>
      </w:pPr>
      <w:r>
        <w:rPr>
          <w:rFonts w:eastAsia="SimSun"/>
          <w:b/>
          <w:bCs/>
          <w:color w:val="000000" w:themeColor="text1"/>
          <w:sz w:val="22"/>
          <w:szCs w:val="22"/>
        </w:rPr>
        <w:t>About GeoVax</w:t>
      </w:r>
      <w:bookmarkStart w:id="1" w:name="_Hlk514326477"/>
    </w:p>
    <w:p w14:paraId="3B1297E2" w14:textId="77777777" w:rsidR="006F4852" w:rsidRPr="00A36477" w:rsidRDefault="006F4852" w:rsidP="006F4852">
      <w:pPr>
        <w:jc w:val="both"/>
        <w:rPr>
          <w:rFonts w:eastAsia="SimSun"/>
          <w:color w:val="000000" w:themeColor="text1"/>
          <w:sz w:val="22"/>
          <w:szCs w:val="22"/>
        </w:rPr>
      </w:pPr>
    </w:p>
    <w:p w14:paraId="5359987C" w14:textId="77777777" w:rsidR="006F4852" w:rsidRPr="00A36477" w:rsidRDefault="006F4852" w:rsidP="006F4852">
      <w:pPr>
        <w:jc w:val="both"/>
        <w:rPr>
          <w:rFonts w:eastAsia="SimSun"/>
          <w:b/>
          <w:bCs/>
          <w:color w:val="000000" w:themeColor="text1"/>
          <w:sz w:val="22"/>
          <w:szCs w:val="22"/>
        </w:rPr>
      </w:pPr>
      <w:r w:rsidRPr="00A36477">
        <w:rPr>
          <w:rFonts w:eastAsia="SimSun"/>
          <w:sz w:val="22"/>
          <w:szCs w:val="22"/>
        </w:rPr>
        <w:t>GeoVax Labs, Inc. is a clinical-stage biotechnology company developing human vaccines and immunotherapies against infectious diseases and cancer using novel proprietary platforms. The Company’s portfolio of wholly owned, co-owned, and in-licensed intellectual property stands at over 70 granted or pending patent applications spread over 20 patent families.</w:t>
      </w:r>
    </w:p>
    <w:p w14:paraId="2F3BAFA7" w14:textId="77777777" w:rsidR="006F4852" w:rsidRPr="00A36477" w:rsidRDefault="006F4852" w:rsidP="006F4852">
      <w:pPr>
        <w:widowControl w:val="0"/>
        <w:autoSpaceDE w:val="0"/>
        <w:autoSpaceDN w:val="0"/>
        <w:adjustRightInd w:val="0"/>
        <w:jc w:val="both"/>
        <w:rPr>
          <w:rFonts w:eastAsia="SimSun"/>
          <w:sz w:val="22"/>
          <w:szCs w:val="22"/>
        </w:rPr>
      </w:pPr>
    </w:p>
    <w:p w14:paraId="1FCE7502" w14:textId="77777777" w:rsidR="006F4852" w:rsidRPr="00A36477" w:rsidRDefault="006F4852" w:rsidP="006F4852">
      <w:pPr>
        <w:widowControl w:val="0"/>
        <w:autoSpaceDE w:val="0"/>
        <w:autoSpaceDN w:val="0"/>
        <w:adjustRightInd w:val="0"/>
        <w:jc w:val="both"/>
        <w:rPr>
          <w:rFonts w:eastAsia="SimSun"/>
          <w:sz w:val="22"/>
          <w:szCs w:val="22"/>
        </w:rPr>
      </w:pPr>
      <w:proofErr w:type="spellStart"/>
      <w:r w:rsidRPr="00A36477">
        <w:rPr>
          <w:rFonts w:eastAsia="SimSun"/>
          <w:bCs/>
          <w:sz w:val="22"/>
          <w:szCs w:val="22"/>
        </w:rPr>
        <w:t>GeoVax’s</w:t>
      </w:r>
      <w:proofErr w:type="spellEnd"/>
      <w:r w:rsidRPr="00A36477">
        <w:rPr>
          <w:rFonts w:eastAsia="SimSun"/>
          <w:bCs/>
          <w:sz w:val="22"/>
          <w:szCs w:val="22"/>
        </w:rPr>
        <w:t xml:space="preserve"> product pipeline includes ongoing human clinical trials in COVID-19, </w:t>
      </w:r>
      <w:r w:rsidRPr="00A36477">
        <w:rPr>
          <w:rFonts w:eastAsia="SimSun"/>
          <w:sz w:val="22"/>
          <w:szCs w:val="22"/>
        </w:rPr>
        <w:t>head and neck cancer, and HIV. Additional research and development programs include preventive vaccines against Zika Virus, hemorrhagic fever viruses (Ebola, Sudan, Marburg, and Lassa)</w:t>
      </w:r>
      <w:r>
        <w:rPr>
          <w:rFonts w:eastAsia="SimSun"/>
          <w:sz w:val="22"/>
          <w:szCs w:val="22"/>
        </w:rPr>
        <w:t>,</w:t>
      </w:r>
      <w:r w:rsidRPr="00A36477">
        <w:rPr>
          <w:rFonts w:eastAsia="SimSun"/>
          <w:sz w:val="22"/>
          <w:szCs w:val="22"/>
        </w:rPr>
        <w:t xml:space="preserve"> and malaria, as well as immunotherapies for multiple solid tumors. </w:t>
      </w:r>
    </w:p>
    <w:p w14:paraId="4E6B9150" w14:textId="77777777" w:rsidR="006F4852" w:rsidRDefault="006F4852" w:rsidP="006F4852">
      <w:pPr>
        <w:widowControl w:val="0"/>
        <w:autoSpaceDE w:val="0"/>
        <w:autoSpaceDN w:val="0"/>
        <w:adjustRightInd w:val="0"/>
        <w:jc w:val="both"/>
        <w:rPr>
          <w:rFonts w:eastAsia="SimSun"/>
          <w:bCs/>
          <w:sz w:val="22"/>
          <w:szCs w:val="22"/>
        </w:rPr>
      </w:pPr>
    </w:p>
    <w:p w14:paraId="0FB27DC3" w14:textId="77777777" w:rsidR="006F4852" w:rsidRPr="00A36477" w:rsidRDefault="006F4852" w:rsidP="006F4852">
      <w:pPr>
        <w:widowControl w:val="0"/>
        <w:autoSpaceDE w:val="0"/>
        <w:autoSpaceDN w:val="0"/>
        <w:adjustRightInd w:val="0"/>
        <w:jc w:val="both"/>
        <w:rPr>
          <w:rFonts w:eastAsia="SimSun"/>
          <w:bCs/>
          <w:sz w:val="22"/>
          <w:szCs w:val="22"/>
        </w:rPr>
      </w:pPr>
      <w:r w:rsidRPr="00A36477">
        <w:rPr>
          <w:rFonts w:eastAsia="SimSun"/>
          <w:bCs/>
          <w:sz w:val="22"/>
          <w:szCs w:val="22"/>
        </w:rPr>
        <w:t xml:space="preserve">For additional information about GeoVax, visit our website: </w:t>
      </w:r>
      <w:hyperlink r:id="rId9" w:history="1">
        <w:r w:rsidRPr="00A36477">
          <w:rPr>
            <w:rStyle w:val="Hyperlink"/>
            <w:rFonts w:eastAsia="SimSun"/>
            <w:bCs/>
            <w:sz w:val="22"/>
            <w:szCs w:val="22"/>
          </w:rPr>
          <w:t>www.geovax.com</w:t>
        </w:r>
      </w:hyperlink>
      <w:r w:rsidRPr="00A36477">
        <w:rPr>
          <w:rFonts w:eastAsia="SimSun"/>
          <w:bCs/>
          <w:sz w:val="22"/>
          <w:szCs w:val="22"/>
        </w:rPr>
        <w:t>.</w:t>
      </w:r>
    </w:p>
    <w:p w14:paraId="4D8F5132" w14:textId="77777777" w:rsidR="006F4852" w:rsidRDefault="006F4852" w:rsidP="006F4852">
      <w:pPr>
        <w:widowControl w:val="0"/>
        <w:autoSpaceDE w:val="0"/>
        <w:autoSpaceDN w:val="0"/>
        <w:adjustRightInd w:val="0"/>
        <w:jc w:val="both"/>
        <w:outlineLvl w:val="0"/>
        <w:rPr>
          <w:rFonts w:eastAsia="SimSun"/>
          <w:b/>
          <w:i/>
          <w:sz w:val="22"/>
          <w:szCs w:val="22"/>
        </w:rPr>
      </w:pPr>
    </w:p>
    <w:bookmarkEnd w:id="1"/>
    <w:p w14:paraId="0E2ABD37" w14:textId="77777777" w:rsidR="006F4852" w:rsidRDefault="006F4852" w:rsidP="006F4852">
      <w:pPr>
        <w:widowControl w:val="0"/>
        <w:autoSpaceDE w:val="0"/>
        <w:autoSpaceDN w:val="0"/>
        <w:adjustRightInd w:val="0"/>
        <w:jc w:val="both"/>
        <w:outlineLvl w:val="0"/>
        <w:rPr>
          <w:rFonts w:eastAsia="SimSun"/>
          <w:b/>
          <w:i/>
          <w:sz w:val="22"/>
          <w:szCs w:val="22"/>
        </w:rPr>
      </w:pPr>
      <w:r>
        <w:rPr>
          <w:rFonts w:eastAsia="SimSun"/>
          <w:b/>
          <w:i/>
          <w:sz w:val="22"/>
          <w:szCs w:val="22"/>
        </w:rPr>
        <w:t>Forward-Looking Statements</w:t>
      </w:r>
    </w:p>
    <w:p w14:paraId="18A9967D" w14:textId="77777777" w:rsidR="006F4852" w:rsidRDefault="006F4852" w:rsidP="006F4852">
      <w:pPr>
        <w:widowControl w:val="0"/>
        <w:shd w:val="clear" w:color="auto" w:fill="FFFFFF"/>
        <w:autoSpaceDE w:val="0"/>
        <w:autoSpaceDN w:val="0"/>
        <w:adjustRightInd w:val="0"/>
        <w:jc w:val="both"/>
        <w:rPr>
          <w:rFonts w:eastAsia="SimSun"/>
          <w:i/>
          <w:sz w:val="22"/>
          <w:szCs w:val="22"/>
        </w:rPr>
      </w:pPr>
      <w:bookmarkStart w:id="2" w:name="_Hlk66205167"/>
    </w:p>
    <w:p w14:paraId="3CFEF308" w14:textId="77777777" w:rsidR="006F4852" w:rsidRDefault="006F4852" w:rsidP="006F4852">
      <w:pPr>
        <w:widowControl w:val="0"/>
        <w:shd w:val="clear" w:color="auto" w:fill="FFFFFF"/>
        <w:autoSpaceDE w:val="0"/>
        <w:autoSpaceDN w:val="0"/>
        <w:adjustRightInd w:val="0"/>
        <w:jc w:val="both"/>
        <w:rPr>
          <w:rFonts w:eastAsia="SimSun"/>
          <w:i/>
          <w:sz w:val="22"/>
          <w:szCs w:val="22"/>
        </w:rPr>
      </w:pPr>
      <w:r>
        <w:rPr>
          <w:rFonts w:eastAsia="SimSun"/>
          <w:i/>
          <w:sz w:val="22"/>
          <w:szCs w:val="22"/>
        </w:rPr>
        <w:t xml:space="preserve">This release contains forward-looking statements regarding </w:t>
      </w:r>
      <w:proofErr w:type="spellStart"/>
      <w:r>
        <w:rPr>
          <w:rFonts w:eastAsia="SimSun"/>
          <w:i/>
          <w:sz w:val="22"/>
          <w:szCs w:val="22"/>
        </w:rPr>
        <w:t>GeoVax’s</w:t>
      </w:r>
      <w:proofErr w:type="spellEnd"/>
      <w:r>
        <w:rPr>
          <w:rFonts w:eastAsia="SimSun"/>
          <w:i/>
          <w:sz w:val="22"/>
          <w:szCs w:val="22"/>
        </w:rPr>
        <w:t xml:space="preserve"> business plans. The words “believe,” “look forward to,”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is able to</w:t>
      </w:r>
      <w:r>
        <w:rPr>
          <w:sz w:val="22"/>
          <w:szCs w:val="22"/>
        </w:rPr>
        <w:t xml:space="preserve"> </w:t>
      </w:r>
      <w:r>
        <w:rPr>
          <w:rFonts w:eastAsia="SimSun"/>
          <w:i/>
          <w:sz w:val="22"/>
          <w:szCs w:val="22"/>
        </w:rPr>
        <w:t xml:space="preserve">obtain acceptable results from the current Phase 2 clinical trial involving </w:t>
      </w:r>
      <w:r w:rsidRPr="00F25E47">
        <w:rPr>
          <w:rFonts w:eastAsia="SimSun"/>
          <w:i/>
          <w:sz w:val="22"/>
          <w:szCs w:val="22"/>
        </w:rPr>
        <w:t>COH04S1</w:t>
      </w:r>
      <w:r>
        <w:rPr>
          <w:rFonts w:eastAsia="SimSun"/>
          <w:i/>
          <w:sz w:val="22"/>
          <w:szCs w:val="22"/>
        </w:rPr>
        <w:t xml:space="preserve"> or additional ongoing or future clinical trials of its investigational products, </w:t>
      </w:r>
      <w:proofErr w:type="spellStart"/>
      <w:r>
        <w:rPr>
          <w:rFonts w:eastAsia="SimSun"/>
          <w:i/>
          <w:sz w:val="22"/>
          <w:szCs w:val="22"/>
        </w:rPr>
        <w:t>GeoVax’s</w:t>
      </w:r>
      <w:proofErr w:type="spellEnd"/>
      <w:r>
        <w:rPr>
          <w:rFonts w:eastAsia="SimSun"/>
          <w:i/>
          <w:sz w:val="22"/>
          <w:szCs w:val="22"/>
        </w:rPr>
        <w:t xml:space="preserve"> immuno-oncology products and preventative vaccines can provoke the desired responses, and those products or vaccines can be used effectively, </w:t>
      </w:r>
      <w:proofErr w:type="spellStart"/>
      <w:r>
        <w:rPr>
          <w:rFonts w:eastAsia="SimSun"/>
          <w:i/>
          <w:sz w:val="22"/>
          <w:szCs w:val="22"/>
        </w:rPr>
        <w:t>GeoVax’s</w:t>
      </w:r>
      <w:proofErr w:type="spellEnd"/>
      <w:r>
        <w:rPr>
          <w:rFonts w:eastAsia="SimSun"/>
          <w:i/>
          <w:sz w:val="22"/>
          <w:szCs w:val="22"/>
        </w:rPr>
        <w:t xml:space="preserve"> viral vector technology adequately amplifies immune responses to cancer antigens, GeoVax can develop and manufacture its immuno-oncology products and preventative vaccines with the desired characteristics in a timely manner, </w:t>
      </w:r>
      <w:proofErr w:type="spellStart"/>
      <w:r>
        <w:rPr>
          <w:rFonts w:eastAsia="SimSun"/>
          <w:i/>
          <w:sz w:val="22"/>
          <w:szCs w:val="22"/>
        </w:rPr>
        <w:t>GeoVax’s</w:t>
      </w:r>
      <w:proofErr w:type="spellEnd"/>
      <w:r>
        <w:rPr>
          <w:rFonts w:eastAsia="SimSun"/>
          <w:i/>
          <w:sz w:val="22"/>
          <w:szCs w:val="22"/>
        </w:rPr>
        <w:t xml:space="preserve"> immuno-oncology products and preventative vaccines will be safe for human use, </w:t>
      </w:r>
      <w:proofErr w:type="spellStart"/>
      <w:r>
        <w:rPr>
          <w:rFonts w:eastAsia="SimSun"/>
          <w:i/>
          <w:sz w:val="22"/>
          <w:szCs w:val="22"/>
        </w:rPr>
        <w:t>GeoVax’s</w:t>
      </w:r>
      <w:proofErr w:type="spellEnd"/>
      <w:r>
        <w:rPr>
          <w:rFonts w:eastAsia="SimSun"/>
          <w:i/>
          <w:sz w:val="22"/>
          <w:szCs w:val="22"/>
        </w:rPr>
        <w:t xml:space="preserve"> vaccines will effectively prevent targeted infections in humans, </w:t>
      </w:r>
      <w:proofErr w:type="spellStart"/>
      <w:r>
        <w:rPr>
          <w:rFonts w:eastAsia="SimSun"/>
          <w:i/>
          <w:sz w:val="22"/>
          <w:szCs w:val="22"/>
        </w:rPr>
        <w:t>GeoVax’s</w:t>
      </w:r>
      <w:proofErr w:type="spellEnd"/>
      <w:r>
        <w:rPr>
          <w:rFonts w:eastAsia="SimSun"/>
          <w:i/>
          <w:sz w:val="22"/>
          <w:szCs w:val="22"/>
        </w:rPr>
        <w:t xml:space="preserve"> immuno-oncology products and preventative vaccines will receive regulatory approvals necessary to be licensed and marketed, GeoVax raises required </w:t>
      </w:r>
      <w:r>
        <w:rPr>
          <w:rFonts w:eastAsia="SimSun"/>
          <w:i/>
          <w:sz w:val="22"/>
          <w:szCs w:val="22"/>
        </w:rPr>
        <w:lastRenderedPageBreak/>
        <w:t xml:space="preserve">capital to complete development, there is development of competitive products that may be more effective or easier to use than </w:t>
      </w:r>
      <w:proofErr w:type="spellStart"/>
      <w:r>
        <w:rPr>
          <w:rFonts w:eastAsia="SimSun"/>
          <w:i/>
          <w:sz w:val="22"/>
          <w:szCs w:val="22"/>
        </w:rPr>
        <w:t>GeoVax’s</w:t>
      </w:r>
      <w:proofErr w:type="spellEnd"/>
      <w:r>
        <w:rPr>
          <w:rFonts w:eastAsia="SimSun"/>
          <w:i/>
          <w:sz w:val="22"/>
          <w:szCs w:val="22"/>
        </w:rPr>
        <w:t xml:space="preserve"> products, GeoVax will be able to enter into favorable manufacturing and distribution agreements, and other factors, over which GeoVax has no control. </w:t>
      </w:r>
    </w:p>
    <w:p w14:paraId="1BBE4789" w14:textId="77777777" w:rsidR="006F4852" w:rsidRDefault="006F4852" w:rsidP="006F4852">
      <w:pPr>
        <w:widowControl w:val="0"/>
        <w:shd w:val="clear" w:color="auto" w:fill="FFFFFF"/>
        <w:autoSpaceDE w:val="0"/>
        <w:autoSpaceDN w:val="0"/>
        <w:adjustRightInd w:val="0"/>
        <w:jc w:val="both"/>
        <w:rPr>
          <w:rFonts w:eastAsia="SimSun"/>
          <w:i/>
          <w:sz w:val="22"/>
          <w:szCs w:val="22"/>
        </w:rPr>
      </w:pPr>
    </w:p>
    <w:p w14:paraId="6DCB0D23" w14:textId="77777777" w:rsidR="006F4852" w:rsidRDefault="006F4852" w:rsidP="006F4852">
      <w:pPr>
        <w:widowControl w:val="0"/>
        <w:shd w:val="clear" w:color="auto" w:fill="FFFFFF"/>
        <w:autoSpaceDE w:val="0"/>
        <w:autoSpaceDN w:val="0"/>
        <w:adjustRightInd w:val="0"/>
        <w:jc w:val="both"/>
        <w:rPr>
          <w:rFonts w:eastAsia="SimSun"/>
          <w:i/>
          <w:sz w:val="22"/>
          <w:szCs w:val="22"/>
        </w:rPr>
      </w:pPr>
      <w:r>
        <w:rPr>
          <w:rFonts w:eastAsia="SimSun"/>
          <w:i/>
          <w:sz w:val="22"/>
          <w:szCs w:val="22"/>
        </w:rPr>
        <w:t xml:space="preserve">Further information on our risk factors is contained in our registration statement on Form S-3 and the periodic reports on Form 10-Q and Form 10-K that we have filed and will file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Pr>
          <w:rFonts w:eastAsia="SimSun"/>
          <w:i/>
          <w:sz w:val="22"/>
          <w:szCs w:val="22"/>
        </w:rPr>
        <w:t>as a result of</w:t>
      </w:r>
      <w:proofErr w:type="gramEnd"/>
      <w:r>
        <w:rPr>
          <w:rFonts w:eastAsia="SimSun"/>
          <w:i/>
          <w:sz w:val="22"/>
          <w:szCs w:val="22"/>
        </w:rPr>
        <w:t xml:space="preserve"> new information, future developments or otherwise, except as may be required by U.S. federal securities law.</w:t>
      </w:r>
      <w:r>
        <w:rPr>
          <w:rFonts w:eastAsia="SimSun"/>
          <w:b/>
          <w:bCs/>
          <w:i/>
          <w:sz w:val="22"/>
          <w:szCs w:val="22"/>
        </w:rPr>
        <w:t> </w:t>
      </w:r>
    </w:p>
    <w:bookmarkEnd w:id="2"/>
    <w:p w14:paraId="21C3E4AA" w14:textId="77777777" w:rsidR="006F4852" w:rsidRDefault="006F4852" w:rsidP="006F4852">
      <w:pPr>
        <w:rPr>
          <w:b/>
          <w:bCs/>
          <w:sz w:val="22"/>
          <w:szCs w:val="22"/>
        </w:rPr>
      </w:pPr>
    </w:p>
    <w:p w14:paraId="7328056D" w14:textId="77777777" w:rsidR="006F4852" w:rsidRDefault="006F4852" w:rsidP="006F4852">
      <w:pPr>
        <w:rPr>
          <w:sz w:val="22"/>
          <w:szCs w:val="22"/>
        </w:rPr>
      </w:pPr>
      <w:r>
        <w:rPr>
          <w:b/>
          <w:bCs/>
          <w:sz w:val="22"/>
          <w:szCs w:val="22"/>
        </w:rPr>
        <w:t>Contact:</w:t>
      </w:r>
    </w:p>
    <w:p w14:paraId="6165253A" w14:textId="77777777" w:rsidR="006F4852" w:rsidRDefault="006F4852" w:rsidP="006F4852">
      <w:pPr>
        <w:rPr>
          <w:sz w:val="22"/>
          <w:szCs w:val="22"/>
        </w:rPr>
      </w:pPr>
      <w:r>
        <w:rPr>
          <w:sz w:val="22"/>
          <w:szCs w:val="22"/>
        </w:rPr>
        <w:t>GeoVax Labs, Inc.</w:t>
      </w:r>
    </w:p>
    <w:p w14:paraId="0051FB04" w14:textId="77777777" w:rsidR="006F4852" w:rsidRDefault="006F4852" w:rsidP="006F4852">
      <w:pPr>
        <w:rPr>
          <w:sz w:val="22"/>
          <w:szCs w:val="22"/>
        </w:rPr>
      </w:pPr>
      <w:r>
        <w:rPr>
          <w:sz w:val="22"/>
          <w:szCs w:val="22"/>
        </w:rPr>
        <w:t>investor@geovax.com</w:t>
      </w:r>
    </w:p>
    <w:p w14:paraId="64176CDE" w14:textId="77777777" w:rsidR="006F4852" w:rsidRDefault="006F4852" w:rsidP="006F4852">
      <w:pPr>
        <w:rPr>
          <w:sz w:val="22"/>
          <w:szCs w:val="22"/>
        </w:rPr>
      </w:pPr>
      <w:r>
        <w:rPr>
          <w:sz w:val="22"/>
          <w:szCs w:val="22"/>
        </w:rPr>
        <w:t>678-384-7220</w:t>
      </w:r>
    </w:p>
    <w:p w14:paraId="71B86520" w14:textId="77777777" w:rsidR="006F4852" w:rsidRDefault="006F4852" w:rsidP="006F4852">
      <w:pPr>
        <w:rPr>
          <w:sz w:val="22"/>
          <w:szCs w:val="22"/>
        </w:rPr>
      </w:pPr>
    </w:p>
    <w:p w14:paraId="4A0C7B1B" w14:textId="77777777" w:rsidR="006F4852" w:rsidRDefault="006F4852" w:rsidP="006F4852">
      <w:pPr>
        <w:widowControl w:val="0"/>
        <w:shd w:val="clear" w:color="auto" w:fill="FFFFFF"/>
        <w:autoSpaceDE w:val="0"/>
        <w:autoSpaceDN w:val="0"/>
        <w:adjustRightInd w:val="0"/>
        <w:spacing w:after="120"/>
        <w:jc w:val="both"/>
        <w:rPr>
          <w:color w:val="000000" w:themeColor="text1"/>
          <w:sz w:val="22"/>
          <w:szCs w:val="22"/>
        </w:rPr>
      </w:pPr>
    </w:p>
    <w:p w14:paraId="2B519A86" w14:textId="5AD0FC18" w:rsidR="004B3179" w:rsidRPr="008D7E3A" w:rsidRDefault="004B3179" w:rsidP="008D7E3A"/>
    <w:sectPr w:rsidR="004B3179" w:rsidRPr="008D7E3A">
      <w:footerReference w:type="default" r:id="rId10"/>
      <w:headerReference w:type="first" r:id="rId11"/>
      <w:footerReference w:type="first" r:id="rId12"/>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BAA3" w14:textId="77777777" w:rsidR="00CC6077" w:rsidRDefault="00CC6077" w:rsidP="004422FB">
      <w:r>
        <w:separator/>
      </w:r>
    </w:p>
  </w:endnote>
  <w:endnote w:type="continuationSeparator" w:id="0">
    <w:p w14:paraId="5C8DBB81" w14:textId="77777777" w:rsidR="00CC6077" w:rsidRDefault="00CC6077" w:rsidP="004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5" w14:textId="7C00B8D4" w:rsidR="004422FB" w:rsidRDefault="00A7489D" w:rsidP="00A7489D">
    <w:pPr>
      <w:pStyle w:val="Footer"/>
      <w:jc w:val="center"/>
    </w:pPr>
    <w:r>
      <w:fldChar w:fldCharType="begin"/>
    </w:r>
    <w:r>
      <w:instrText xml:space="preserve"> PAGE   \* MERGEFORMAT </w:instrText>
    </w:r>
    <w:r>
      <w:fldChar w:fldCharType="separate"/>
    </w:r>
    <w:r w:rsidR="00314FC4">
      <w:rPr>
        <w:noProof/>
      </w:rPr>
      <w:t>3</w:t>
    </w:r>
    <w:r>
      <w:rPr>
        <w:noProof/>
      </w:rPr>
      <w:fldChar w:fldCharType="end"/>
    </w:r>
  </w:p>
  <w:p w14:paraId="22F65163" w14:textId="77777777" w:rsidR="008A5F28" w:rsidRDefault="008A5F28" w:rsidP="004422FB">
    <w:pPr>
      <w:pStyle w:val="Footer"/>
    </w:pPr>
  </w:p>
  <w:p w14:paraId="00D1A497" w14:textId="1D4A7FB1" w:rsidR="004422FB" w:rsidRDefault="004422FB" w:rsidP="008A5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85A9" w14:textId="77777777" w:rsidR="001D4479" w:rsidRDefault="006F4852">
    <w:pPr>
      <w:pStyle w:val="Footer"/>
      <w:jc w:val="center"/>
      <w:rPr>
        <w:b/>
      </w:rPr>
    </w:pPr>
    <w:r>
      <w:rPr>
        <w:b/>
      </w:rPr>
      <w:t>###</w:t>
    </w:r>
  </w:p>
  <w:p w14:paraId="0FA38FD8" w14:textId="77777777" w:rsidR="001D4479" w:rsidRDefault="006F4852">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3565" w14:textId="77777777" w:rsidR="001D4479" w:rsidRDefault="006F4852">
    <w:pPr>
      <w:pStyle w:val="Footer"/>
    </w:pPr>
  </w:p>
  <w:p w14:paraId="67134D90" w14:textId="77777777" w:rsidR="001D4479" w:rsidRDefault="006F4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4D84" w14:textId="77777777" w:rsidR="00CC6077" w:rsidRDefault="00CC6077" w:rsidP="004422FB">
      <w:r>
        <w:separator/>
      </w:r>
    </w:p>
  </w:footnote>
  <w:footnote w:type="continuationSeparator" w:id="0">
    <w:p w14:paraId="1E52C061" w14:textId="77777777" w:rsidR="00CC6077" w:rsidRDefault="00CC6077" w:rsidP="004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2A49" w14:textId="77777777" w:rsidR="001D4479" w:rsidRDefault="006F4852">
    <w:pPr>
      <w:pStyle w:val="Header"/>
    </w:pPr>
    <w:r>
      <w:rPr>
        <w:b/>
        <w:noProof/>
      </w:rPr>
      <w:drawing>
        <wp:inline distT="0" distB="0" distL="0" distR="0" wp14:anchorId="37B1C942" wp14:editId="3A82BAA6">
          <wp:extent cx="1892878" cy="501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s>
  <w:rsids>
    <w:rsidRoot w:val="004B3179"/>
    <w:rsid w:val="000520F7"/>
    <w:rsid w:val="000871C8"/>
    <w:rsid w:val="00087359"/>
    <w:rsid w:val="00096511"/>
    <w:rsid w:val="000E6508"/>
    <w:rsid w:val="001139A5"/>
    <w:rsid w:val="00134BBC"/>
    <w:rsid w:val="00172B54"/>
    <w:rsid w:val="001A687F"/>
    <w:rsid w:val="001B126A"/>
    <w:rsid w:val="001D3520"/>
    <w:rsid w:val="002049D0"/>
    <w:rsid w:val="00246139"/>
    <w:rsid w:val="00277674"/>
    <w:rsid w:val="00296BF7"/>
    <w:rsid w:val="002A45C0"/>
    <w:rsid w:val="002C4E4A"/>
    <w:rsid w:val="002E60D1"/>
    <w:rsid w:val="00304DE8"/>
    <w:rsid w:val="00314FC4"/>
    <w:rsid w:val="00315CD1"/>
    <w:rsid w:val="0034645B"/>
    <w:rsid w:val="00362F3D"/>
    <w:rsid w:val="0036369E"/>
    <w:rsid w:val="00376DEC"/>
    <w:rsid w:val="0037743D"/>
    <w:rsid w:val="003B670F"/>
    <w:rsid w:val="00401F33"/>
    <w:rsid w:val="004041FE"/>
    <w:rsid w:val="00404B0F"/>
    <w:rsid w:val="00415B30"/>
    <w:rsid w:val="0043642A"/>
    <w:rsid w:val="004422FB"/>
    <w:rsid w:val="004562CE"/>
    <w:rsid w:val="004759D1"/>
    <w:rsid w:val="00494777"/>
    <w:rsid w:val="004B3179"/>
    <w:rsid w:val="004D4E0A"/>
    <w:rsid w:val="004E6CB9"/>
    <w:rsid w:val="005108D6"/>
    <w:rsid w:val="0054576E"/>
    <w:rsid w:val="00552D47"/>
    <w:rsid w:val="00583D37"/>
    <w:rsid w:val="005A12FB"/>
    <w:rsid w:val="00652DCC"/>
    <w:rsid w:val="00654112"/>
    <w:rsid w:val="00677F25"/>
    <w:rsid w:val="00691E45"/>
    <w:rsid w:val="006A30B4"/>
    <w:rsid w:val="006B4011"/>
    <w:rsid w:val="006C4831"/>
    <w:rsid w:val="006C673A"/>
    <w:rsid w:val="006E7AA3"/>
    <w:rsid w:val="006F2242"/>
    <w:rsid w:val="006F4852"/>
    <w:rsid w:val="007150B5"/>
    <w:rsid w:val="00716A75"/>
    <w:rsid w:val="00734084"/>
    <w:rsid w:val="007578ED"/>
    <w:rsid w:val="00766EB9"/>
    <w:rsid w:val="00780E12"/>
    <w:rsid w:val="007B5113"/>
    <w:rsid w:val="0082793A"/>
    <w:rsid w:val="00883B50"/>
    <w:rsid w:val="0089446A"/>
    <w:rsid w:val="008A5F28"/>
    <w:rsid w:val="008B71BC"/>
    <w:rsid w:val="008B7616"/>
    <w:rsid w:val="008D3E76"/>
    <w:rsid w:val="008D7E3A"/>
    <w:rsid w:val="008E4E77"/>
    <w:rsid w:val="00903941"/>
    <w:rsid w:val="00922B4A"/>
    <w:rsid w:val="009B15B2"/>
    <w:rsid w:val="009F16FD"/>
    <w:rsid w:val="009F32C7"/>
    <w:rsid w:val="009F7B30"/>
    <w:rsid w:val="00A213F5"/>
    <w:rsid w:val="00A44E68"/>
    <w:rsid w:val="00A641D3"/>
    <w:rsid w:val="00A733F8"/>
    <w:rsid w:val="00A7343F"/>
    <w:rsid w:val="00A7489D"/>
    <w:rsid w:val="00A7711D"/>
    <w:rsid w:val="00A77550"/>
    <w:rsid w:val="00AA3D35"/>
    <w:rsid w:val="00B44E7B"/>
    <w:rsid w:val="00B4616E"/>
    <w:rsid w:val="00B51502"/>
    <w:rsid w:val="00B57F61"/>
    <w:rsid w:val="00B61191"/>
    <w:rsid w:val="00BA446A"/>
    <w:rsid w:val="00BB7014"/>
    <w:rsid w:val="00BC6551"/>
    <w:rsid w:val="00BE0F8F"/>
    <w:rsid w:val="00BF415F"/>
    <w:rsid w:val="00C36B57"/>
    <w:rsid w:val="00C53991"/>
    <w:rsid w:val="00C713DF"/>
    <w:rsid w:val="00C815CE"/>
    <w:rsid w:val="00CB1EAA"/>
    <w:rsid w:val="00CB3D5C"/>
    <w:rsid w:val="00CC52F4"/>
    <w:rsid w:val="00CC6077"/>
    <w:rsid w:val="00CD55C2"/>
    <w:rsid w:val="00CE3919"/>
    <w:rsid w:val="00D041E0"/>
    <w:rsid w:val="00D128D7"/>
    <w:rsid w:val="00D17971"/>
    <w:rsid w:val="00D215E7"/>
    <w:rsid w:val="00D53F6F"/>
    <w:rsid w:val="00D60567"/>
    <w:rsid w:val="00D95C48"/>
    <w:rsid w:val="00DE728B"/>
    <w:rsid w:val="00DE7BBA"/>
    <w:rsid w:val="00E115D3"/>
    <w:rsid w:val="00E30F6C"/>
    <w:rsid w:val="00E633E7"/>
    <w:rsid w:val="00E77BC6"/>
    <w:rsid w:val="00EB5CF9"/>
    <w:rsid w:val="00F073F4"/>
    <w:rsid w:val="00F100FC"/>
    <w:rsid w:val="00F10BB8"/>
    <w:rsid w:val="00F13A9C"/>
    <w:rsid w:val="00F2058C"/>
    <w:rsid w:val="00F23A64"/>
    <w:rsid w:val="00F27385"/>
    <w:rsid w:val="00F53643"/>
    <w:rsid w:val="00F65C64"/>
    <w:rsid w:val="00F737D0"/>
    <w:rsid w:val="00F92B94"/>
    <w:rsid w:val="00F958BB"/>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table" w:styleId="TableGrid">
    <w:name w:val="Table Grid"/>
    <w:basedOn w:val="TableNormal"/>
    <w:uiPriority w:val="59"/>
    <w:rsid w:val="00D1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422FB"/>
    <w:pPr>
      <w:tabs>
        <w:tab w:val="center" w:pos="4680"/>
        <w:tab w:val="right" w:pos="9360"/>
      </w:tabs>
    </w:pPr>
  </w:style>
  <w:style w:type="character" w:customStyle="1" w:styleId="HeaderChar">
    <w:name w:val="Header Char"/>
    <w:basedOn w:val="DefaultParagraphFont"/>
    <w:link w:val="Header"/>
    <w:rsid w:val="004422FB"/>
    <w:rPr>
      <w:sz w:val="24"/>
      <w:szCs w:val="24"/>
    </w:rPr>
  </w:style>
  <w:style w:type="paragraph" w:styleId="Footer">
    <w:name w:val="footer"/>
    <w:basedOn w:val="Normal"/>
    <w:link w:val="FooterChar"/>
    <w:unhideWhenUsed/>
    <w:rsid w:val="004422FB"/>
    <w:pPr>
      <w:tabs>
        <w:tab w:val="center" w:pos="4680"/>
        <w:tab w:val="right" w:pos="9360"/>
      </w:tabs>
    </w:pPr>
  </w:style>
  <w:style w:type="character" w:customStyle="1" w:styleId="FooterChar">
    <w:name w:val="Footer Char"/>
    <w:basedOn w:val="DefaultParagraphFont"/>
    <w:link w:val="Footer"/>
    <w:rsid w:val="004422FB"/>
    <w:rPr>
      <w:sz w:val="24"/>
      <w:szCs w:val="24"/>
    </w:rPr>
  </w:style>
  <w:style w:type="character" w:styleId="Hyperlink">
    <w:name w:val="Hyperlink"/>
    <w:basedOn w:val="DefaultParagraphFont"/>
    <w:uiPriority w:val="99"/>
    <w:unhideWhenUsed/>
    <w:rsid w:val="00F100FC"/>
    <w:rPr>
      <w:color w:val="0563C1" w:themeColor="hyperlink"/>
      <w:u w:val="single"/>
    </w:rPr>
  </w:style>
  <w:style w:type="character" w:customStyle="1" w:styleId="UnresolvedMention1">
    <w:name w:val="Unresolved Mention1"/>
    <w:basedOn w:val="DefaultParagraphFont"/>
    <w:uiPriority w:val="99"/>
    <w:semiHidden/>
    <w:unhideWhenUsed/>
    <w:rsid w:val="00F100FC"/>
    <w:rPr>
      <w:color w:val="605E5C"/>
      <w:shd w:val="clear" w:color="auto" w:fill="E1DFDD"/>
    </w:rPr>
  </w:style>
  <w:style w:type="paragraph" w:styleId="FootnoteText">
    <w:name w:val="footnote text"/>
    <w:basedOn w:val="Normal"/>
    <w:link w:val="FootnoteTextChar"/>
    <w:uiPriority w:val="99"/>
    <w:semiHidden/>
    <w:unhideWhenUsed/>
    <w:rsid w:val="00C36B57"/>
    <w:rPr>
      <w:sz w:val="20"/>
      <w:szCs w:val="20"/>
    </w:rPr>
  </w:style>
  <w:style w:type="character" w:customStyle="1" w:styleId="FootnoteTextChar">
    <w:name w:val="Footnote Text Char"/>
    <w:basedOn w:val="DefaultParagraphFont"/>
    <w:link w:val="FootnoteText"/>
    <w:uiPriority w:val="99"/>
    <w:semiHidden/>
    <w:rsid w:val="00C36B57"/>
  </w:style>
  <w:style w:type="character" w:styleId="FootnoteReference">
    <w:name w:val="footnote reference"/>
    <w:basedOn w:val="DefaultParagraphFont"/>
    <w:uiPriority w:val="99"/>
    <w:semiHidden/>
    <w:unhideWhenUsed/>
    <w:rsid w:val="00C36B57"/>
    <w:rPr>
      <w:vertAlign w:val="superscript"/>
    </w:rPr>
  </w:style>
  <w:style w:type="character" w:styleId="CommentReference">
    <w:name w:val="annotation reference"/>
    <w:basedOn w:val="DefaultParagraphFont"/>
    <w:uiPriority w:val="99"/>
    <w:semiHidden/>
    <w:unhideWhenUsed/>
    <w:rsid w:val="00BA446A"/>
    <w:rPr>
      <w:sz w:val="16"/>
      <w:szCs w:val="16"/>
    </w:rPr>
  </w:style>
  <w:style w:type="paragraph" w:styleId="CommentText">
    <w:name w:val="annotation text"/>
    <w:basedOn w:val="Normal"/>
    <w:link w:val="CommentTextChar"/>
    <w:uiPriority w:val="99"/>
    <w:semiHidden/>
    <w:unhideWhenUsed/>
    <w:rsid w:val="00BA446A"/>
    <w:rPr>
      <w:sz w:val="20"/>
      <w:szCs w:val="20"/>
    </w:rPr>
  </w:style>
  <w:style w:type="character" w:customStyle="1" w:styleId="CommentTextChar">
    <w:name w:val="Comment Text Char"/>
    <w:basedOn w:val="DefaultParagraphFont"/>
    <w:link w:val="CommentText"/>
    <w:uiPriority w:val="99"/>
    <w:semiHidden/>
    <w:rsid w:val="00BA446A"/>
  </w:style>
  <w:style w:type="paragraph" w:styleId="CommentSubject">
    <w:name w:val="annotation subject"/>
    <w:basedOn w:val="CommentText"/>
    <w:next w:val="CommentText"/>
    <w:link w:val="CommentSubjectChar"/>
    <w:uiPriority w:val="99"/>
    <w:semiHidden/>
    <w:unhideWhenUsed/>
    <w:rsid w:val="00BA446A"/>
    <w:rPr>
      <w:b/>
      <w:bCs/>
    </w:rPr>
  </w:style>
  <w:style w:type="character" w:customStyle="1" w:styleId="CommentSubjectChar">
    <w:name w:val="Comment Subject Char"/>
    <w:basedOn w:val="CommentTextChar"/>
    <w:link w:val="CommentSubject"/>
    <w:uiPriority w:val="99"/>
    <w:semiHidden/>
    <w:rsid w:val="00BA4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 w:id="1718511874">
      <w:bodyDiv w:val="1"/>
      <w:marLeft w:val="0"/>
      <w:marRight w:val="0"/>
      <w:marTop w:val="0"/>
      <w:marBottom w:val="0"/>
      <w:divBdr>
        <w:top w:val="none" w:sz="0" w:space="0" w:color="auto"/>
        <w:left w:val="none" w:sz="0" w:space="0" w:color="auto"/>
        <w:bottom w:val="none" w:sz="0" w:space="0" w:color="auto"/>
        <w:right w:val="none" w:sz="0" w:space="0" w:color="auto"/>
      </w:divBdr>
      <w:divsChild>
        <w:div w:id="1721703616">
          <w:marLeft w:val="144"/>
          <w:marRight w:val="144"/>
          <w:marTop w:val="60"/>
          <w:marBottom w:val="60"/>
          <w:divBdr>
            <w:top w:val="none" w:sz="0" w:space="0" w:color="auto"/>
            <w:left w:val="none" w:sz="0" w:space="0" w:color="auto"/>
            <w:bottom w:val="none" w:sz="0" w:space="0" w:color="auto"/>
            <w:right w:val="none" w:sz="0" w:space="0" w:color="auto"/>
          </w:divBdr>
        </w:div>
        <w:div w:id="89159179">
          <w:marLeft w:val="144"/>
          <w:marRight w:val="144"/>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eova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AE93-5E1D-4A24-8943-116365E3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2</cp:revision>
  <dcterms:created xsi:type="dcterms:W3CDTF">2021-12-15T21:10:00Z</dcterms:created>
  <dcterms:modified xsi:type="dcterms:W3CDTF">2021-12-15T21:10:00Z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54698183v1</vt:lpwstr>
  </property>
</Properties>
</file>