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F978B" w14:textId="77777777" w:rsidR="004B3179" w:rsidRDefault="00766EB9">
      <w:pPr>
        <w:ind w:left="144" w:right="144"/>
        <w:rPr>
          <w:sz w:val="20"/>
          <w:szCs w:val="20"/>
        </w:rPr>
      </w:pPr>
      <w:r>
        <w:rPr>
          <w:sz w:val="20"/>
          <w:szCs w:val="20"/>
        </w:rPr>
        <w:t> </w:t>
      </w:r>
    </w:p>
    <w:p w14:paraId="3DD5AEE0" w14:textId="77777777" w:rsidR="004B3179" w:rsidRDefault="00766EB9">
      <w:pPr>
        <w:ind w:left="144" w:right="144"/>
        <w:rPr>
          <w:sz w:val="20"/>
          <w:szCs w:val="20"/>
        </w:rPr>
      </w:pPr>
      <w:r>
        <w:rPr>
          <w:sz w:val="20"/>
          <w:szCs w:val="20"/>
        </w:rPr>
        <w:t> </w:t>
      </w:r>
    </w:p>
    <w:p w14:paraId="49A2991F" w14:textId="77777777" w:rsidR="004B3179" w:rsidRDefault="00766EB9">
      <w:pPr>
        <w:ind w:left="144" w:right="144"/>
        <w:jc w:val="center"/>
        <w:rPr>
          <w:sz w:val="36"/>
          <w:szCs w:val="36"/>
        </w:rPr>
      </w:pPr>
      <w:r>
        <w:rPr>
          <w:b/>
          <w:bCs/>
          <w:sz w:val="36"/>
          <w:szCs w:val="36"/>
        </w:rPr>
        <w:t>SECURITIES AND EXCHANGE COMMISSION</w:t>
      </w:r>
    </w:p>
    <w:p w14:paraId="7DD91A9E" w14:textId="77777777" w:rsidR="004B3179" w:rsidRDefault="00766EB9">
      <w:pPr>
        <w:ind w:left="144" w:right="144"/>
        <w:jc w:val="center"/>
        <w:rPr>
          <w:sz w:val="20"/>
          <w:szCs w:val="20"/>
        </w:rPr>
      </w:pPr>
      <w:r>
        <w:rPr>
          <w:b/>
          <w:bCs/>
          <w:sz w:val="20"/>
          <w:szCs w:val="20"/>
        </w:rPr>
        <w:t>WASHINGTON, D.C. 20549</w:t>
      </w:r>
      <w:r>
        <w:rPr>
          <w:sz w:val="20"/>
          <w:szCs w:val="20"/>
        </w:rPr>
        <w:t> </w:t>
      </w:r>
    </w:p>
    <w:p w14:paraId="0CDF0FDF" w14:textId="77777777" w:rsidR="004B3179" w:rsidRDefault="00766EB9">
      <w:pPr>
        <w:ind w:left="144" w:right="144"/>
        <w:jc w:val="center"/>
        <w:rPr>
          <w:sz w:val="20"/>
          <w:szCs w:val="20"/>
        </w:rPr>
      </w:pPr>
      <w:r>
        <w:rPr>
          <w:sz w:val="20"/>
          <w:szCs w:val="20"/>
        </w:rPr>
        <w:t> </w:t>
      </w:r>
    </w:p>
    <w:p w14:paraId="647083D9" w14:textId="77777777" w:rsidR="004B3179" w:rsidRDefault="00C602F3">
      <w:pPr>
        <w:spacing w:before="60" w:after="60"/>
        <w:ind w:left="144" w:right="144"/>
        <w:jc w:val="center"/>
        <w:rPr>
          <w:color w:val="000000"/>
          <w:sz w:val="20"/>
          <w:szCs w:val="20"/>
        </w:rPr>
      </w:pPr>
      <w:r>
        <w:pict w14:anchorId="74A1C624">
          <v:rect id="_x0000_i1025" style="width:117pt;height:.75pt" o:hrpct="250" o:hralign="center" o:hrstd="t" o:hrnoshade="t" o:hr="t" fillcolor="gray" stroked="f">
            <v:path strokeok="f"/>
          </v:rect>
        </w:pict>
      </w:r>
    </w:p>
    <w:p w14:paraId="4B7F119E" w14:textId="77777777" w:rsidR="004B3179" w:rsidRDefault="00766EB9">
      <w:pPr>
        <w:ind w:left="144" w:right="144"/>
        <w:jc w:val="center"/>
        <w:rPr>
          <w:sz w:val="20"/>
          <w:szCs w:val="20"/>
        </w:rPr>
      </w:pPr>
      <w:r>
        <w:rPr>
          <w:sz w:val="20"/>
          <w:szCs w:val="20"/>
        </w:rPr>
        <w:t> </w:t>
      </w:r>
    </w:p>
    <w:p w14:paraId="64D3C8EA" w14:textId="77777777" w:rsidR="004B3179" w:rsidRDefault="00766EB9">
      <w:pPr>
        <w:ind w:left="144" w:right="144"/>
        <w:jc w:val="center"/>
        <w:rPr>
          <w:sz w:val="36"/>
          <w:szCs w:val="36"/>
        </w:rPr>
      </w:pPr>
      <w:r>
        <w:rPr>
          <w:b/>
          <w:bCs/>
          <w:sz w:val="36"/>
          <w:szCs w:val="36"/>
        </w:rPr>
        <w:t>FORM 8-K</w:t>
      </w:r>
    </w:p>
    <w:p w14:paraId="2BCFB624" w14:textId="77777777" w:rsidR="004B3179" w:rsidRDefault="00766EB9">
      <w:pPr>
        <w:ind w:left="144" w:right="144"/>
        <w:rPr>
          <w:sz w:val="20"/>
          <w:szCs w:val="20"/>
        </w:rPr>
      </w:pPr>
      <w:r>
        <w:rPr>
          <w:sz w:val="20"/>
          <w:szCs w:val="20"/>
        </w:rPr>
        <w:t> </w:t>
      </w:r>
    </w:p>
    <w:p w14:paraId="5A8B4397" w14:textId="77777777" w:rsidR="004B3179" w:rsidRDefault="00766EB9">
      <w:pPr>
        <w:ind w:left="144" w:right="144"/>
        <w:jc w:val="center"/>
        <w:rPr>
          <w:sz w:val="20"/>
          <w:szCs w:val="20"/>
        </w:rPr>
      </w:pPr>
      <w:r>
        <w:rPr>
          <w:b/>
          <w:bCs/>
          <w:sz w:val="20"/>
          <w:szCs w:val="20"/>
        </w:rPr>
        <w:t>CURRENT REPORT</w:t>
      </w:r>
    </w:p>
    <w:p w14:paraId="2BACE0C2" w14:textId="77777777" w:rsidR="004B3179" w:rsidRDefault="00766EB9">
      <w:pPr>
        <w:ind w:left="144" w:right="144"/>
        <w:jc w:val="center"/>
        <w:rPr>
          <w:sz w:val="20"/>
          <w:szCs w:val="20"/>
        </w:rPr>
      </w:pPr>
      <w:r>
        <w:rPr>
          <w:b/>
          <w:bCs/>
          <w:sz w:val="20"/>
          <w:szCs w:val="20"/>
        </w:rPr>
        <w:t>Pursuant to Section 13 or 15(d) of the</w:t>
      </w:r>
    </w:p>
    <w:p w14:paraId="22373158" w14:textId="77777777" w:rsidR="004B3179" w:rsidRDefault="00766EB9">
      <w:pPr>
        <w:ind w:left="144" w:right="144"/>
        <w:jc w:val="center"/>
        <w:rPr>
          <w:sz w:val="20"/>
          <w:szCs w:val="20"/>
        </w:rPr>
      </w:pPr>
      <w:r>
        <w:rPr>
          <w:b/>
          <w:bCs/>
          <w:sz w:val="20"/>
          <w:szCs w:val="20"/>
        </w:rPr>
        <w:t>Securities Exchange Act of 1934</w:t>
      </w:r>
    </w:p>
    <w:p w14:paraId="3A6CBFA8" w14:textId="77777777" w:rsidR="004B3179" w:rsidRDefault="00766EB9">
      <w:pPr>
        <w:ind w:left="144" w:right="144"/>
        <w:rPr>
          <w:sz w:val="20"/>
          <w:szCs w:val="20"/>
        </w:rPr>
      </w:pPr>
      <w:r>
        <w:rPr>
          <w:sz w:val="20"/>
          <w:szCs w:val="20"/>
        </w:rPr>
        <w:t> </w:t>
      </w:r>
    </w:p>
    <w:p w14:paraId="79015CD4" w14:textId="3E3C007E" w:rsidR="004B3179" w:rsidRDefault="00766EB9">
      <w:pPr>
        <w:ind w:left="144" w:right="144"/>
        <w:jc w:val="center"/>
        <w:rPr>
          <w:sz w:val="20"/>
          <w:szCs w:val="20"/>
        </w:rPr>
      </w:pPr>
      <w:r>
        <w:rPr>
          <w:b/>
          <w:bCs/>
          <w:sz w:val="20"/>
          <w:szCs w:val="20"/>
        </w:rPr>
        <w:t>Date of report (Date of earliest event reported):  </w:t>
      </w:r>
      <w:r w:rsidR="00CC52F4">
        <w:rPr>
          <w:b/>
          <w:bCs/>
          <w:sz w:val="20"/>
          <w:szCs w:val="20"/>
        </w:rPr>
        <w:t>March</w:t>
      </w:r>
      <w:r>
        <w:rPr>
          <w:b/>
          <w:bCs/>
          <w:sz w:val="20"/>
          <w:szCs w:val="20"/>
        </w:rPr>
        <w:t xml:space="preserve"> </w:t>
      </w:r>
      <w:r w:rsidR="00CC52F4">
        <w:rPr>
          <w:b/>
          <w:bCs/>
          <w:sz w:val="20"/>
          <w:szCs w:val="20"/>
        </w:rPr>
        <w:t>23</w:t>
      </w:r>
      <w:r>
        <w:rPr>
          <w:b/>
          <w:bCs/>
          <w:sz w:val="20"/>
          <w:szCs w:val="20"/>
        </w:rPr>
        <w:t xml:space="preserve">, </w:t>
      </w:r>
      <w:proofErr w:type="gramStart"/>
      <w:r>
        <w:rPr>
          <w:b/>
          <w:bCs/>
          <w:sz w:val="20"/>
          <w:szCs w:val="20"/>
        </w:rPr>
        <w:t>202</w:t>
      </w:r>
      <w:r w:rsidR="00CC52F4">
        <w:rPr>
          <w:b/>
          <w:bCs/>
          <w:sz w:val="20"/>
          <w:szCs w:val="20"/>
        </w:rPr>
        <w:t>1</w:t>
      </w:r>
      <w:proofErr w:type="gramEnd"/>
      <w:r>
        <w:rPr>
          <w:sz w:val="20"/>
          <w:szCs w:val="20"/>
        </w:rPr>
        <w:t> </w:t>
      </w:r>
    </w:p>
    <w:p w14:paraId="44533830" w14:textId="77777777" w:rsidR="004B3179" w:rsidRDefault="00766EB9">
      <w:pPr>
        <w:ind w:left="144" w:right="144"/>
        <w:jc w:val="center"/>
        <w:rPr>
          <w:sz w:val="20"/>
          <w:szCs w:val="20"/>
        </w:rPr>
      </w:pPr>
      <w:r>
        <w:rPr>
          <w:sz w:val="20"/>
          <w:szCs w:val="20"/>
        </w:rPr>
        <w:t> </w:t>
      </w:r>
    </w:p>
    <w:p w14:paraId="479F56FD" w14:textId="77777777" w:rsidR="004B3179" w:rsidRDefault="00C602F3">
      <w:pPr>
        <w:spacing w:before="60" w:after="60"/>
        <w:ind w:left="144" w:right="144"/>
        <w:jc w:val="center"/>
        <w:rPr>
          <w:color w:val="000000"/>
          <w:sz w:val="20"/>
          <w:szCs w:val="20"/>
        </w:rPr>
      </w:pPr>
      <w:r>
        <w:pict w14:anchorId="7D3B4D82">
          <v:rect id="_x0000_i1026" style="width:117pt;height:.75pt" o:hrpct="250" o:hralign="center" o:hrstd="t" o:hrnoshade="t" o:hr="t" fillcolor="gray" stroked="f">
            <v:path strokeok="f"/>
          </v:rect>
        </w:pict>
      </w:r>
    </w:p>
    <w:p w14:paraId="46D901AD" w14:textId="77777777" w:rsidR="004B3179" w:rsidRDefault="00766EB9">
      <w:pPr>
        <w:ind w:left="144" w:right="144"/>
        <w:jc w:val="center"/>
        <w:rPr>
          <w:sz w:val="20"/>
          <w:szCs w:val="20"/>
        </w:rPr>
      </w:pPr>
      <w:r>
        <w:rPr>
          <w:sz w:val="20"/>
          <w:szCs w:val="20"/>
        </w:rPr>
        <w:t> </w:t>
      </w:r>
    </w:p>
    <w:p w14:paraId="0E22148E" w14:textId="77777777" w:rsidR="004B3179" w:rsidRDefault="00766EB9">
      <w:pPr>
        <w:ind w:left="144" w:right="144"/>
        <w:jc w:val="center"/>
        <w:rPr>
          <w:sz w:val="36"/>
          <w:szCs w:val="36"/>
        </w:rPr>
      </w:pPr>
      <w:r>
        <w:rPr>
          <w:b/>
          <w:bCs/>
          <w:sz w:val="36"/>
          <w:szCs w:val="36"/>
        </w:rPr>
        <w:t>GEOVAX LABS, INC.</w:t>
      </w:r>
    </w:p>
    <w:p w14:paraId="4C7B42BC" w14:textId="77777777" w:rsidR="004B3179" w:rsidRDefault="00766EB9">
      <w:pPr>
        <w:ind w:left="144" w:right="144"/>
        <w:jc w:val="center"/>
        <w:rPr>
          <w:sz w:val="20"/>
          <w:szCs w:val="20"/>
        </w:rPr>
      </w:pPr>
      <w:r>
        <w:rPr>
          <w:b/>
          <w:bCs/>
          <w:sz w:val="20"/>
          <w:szCs w:val="20"/>
        </w:rPr>
        <w:t>(Exact name of registrant as specified in its charter)</w:t>
      </w:r>
    </w:p>
    <w:p w14:paraId="2FBBF426"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456"/>
        <w:gridCol w:w="216"/>
        <w:gridCol w:w="3456"/>
        <w:gridCol w:w="216"/>
        <w:gridCol w:w="3456"/>
      </w:tblGrid>
      <w:tr w:rsidR="004B3179" w14:paraId="1E82631A" w14:textId="77777777">
        <w:tc>
          <w:tcPr>
            <w:tcW w:w="1600" w:type="pct"/>
            <w:tcMar>
              <w:top w:w="5" w:type="dxa"/>
              <w:left w:w="5" w:type="dxa"/>
              <w:bottom w:w="5" w:type="dxa"/>
              <w:right w:w="5" w:type="dxa"/>
            </w:tcMar>
            <w:hideMark/>
          </w:tcPr>
          <w:p w14:paraId="58922514" w14:textId="77777777" w:rsidR="004B3179" w:rsidRDefault="00766EB9">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79A550D8"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561B73D7" w14:textId="77777777" w:rsidR="004B3179" w:rsidRDefault="00766EB9">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7637E53B"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5961F860" w14:textId="77777777" w:rsidR="004B3179" w:rsidRDefault="00766EB9">
            <w:pPr>
              <w:jc w:val="center"/>
              <w:rPr>
                <w:color w:val="000000"/>
                <w:sz w:val="20"/>
                <w:szCs w:val="20"/>
              </w:rPr>
            </w:pPr>
            <w:r>
              <w:rPr>
                <w:b/>
                <w:bCs/>
                <w:color w:val="000000"/>
                <w:sz w:val="20"/>
                <w:szCs w:val="20"/>
              </w:rPr>
              <w:t>87-0455038</w:t>
            </w:r>
          </w:p>
        </w:tc>
      </w:tr>
      <w:tr w:rsidR="004B3179" w14:paraId="09074AA8" w14:textId="77777777">
        <w:tc>
          <w:tcPr>
            <w:tcW w:w="1600" w:type="pct"/>
            <w:tcMar>
              <w:top w:w="5" w:type="dxa"/>
              <w:left w:w="5" w:type="dxa"/>
              <w:bottom w:w="5" w:type="dxa"/>
              <w:right w:w="5" w:type="dxa"/>
            </w:tcMar>
            <w:hideMark/>
          </w:tcPr>
          <w:p w14:paraId="0B20A953" w14:textId="77777777" w:rsidR="004B3179" w:rsidRDefault="00766EB9">
            <w:pPr>
              <w:jc w:val="center"/>
              <w:rPr>
                <w:color w:val="000000"/>
                <w:sz w:val="20"/>
                <w:szCs w:val="20"/>
              </w:rPr>
            </w:pPr>
            <w:r>
              <w:rPr>
                <w:b/>
                <w:bCs/>
                <w:color w:val="000000"/>
                <w:sz w:val="20"/>
                <w:szCs w:val="20"/>
              </w:rPr>
              <w:t xml:space="preserve">(State or </w:t>
            </w:r>
            <w:proofErr w:type="gramStart"/>
            <w:r>
              <w:rPr>
                <w:b/>
                <w:bCs/>
                <w:color w:val="000000"/>
                <w:sz w:val="20"/>
                <w:szCs w:val="20"/>
              </w:rPr>
              <w:t>other</w:t>
            </w:r>
            <w:proofErr w:type="gramEnd"/>
            <w:r>
              <w:rPr>
                <w:b/>
                <w:bCs/>
                <w:color w:val="000000"/>
                <w:sz w:val="20"/>
                <w:szCs w:val="20"/>
              </w:rPr>
              <w:t xml:space="preserve"> jurisdiction of</w:t>
            </w:r>
          </w:p>
          <w:p w14:paraId="7F0C9690" w14:textId="77777777" w:rsidR="004B3179" w:rsidRDefault="00766EB9">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20F9021C"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BD29FF3" w14:textId="77777777" w:rsidR="004B3179" w:rsidRDefault="00766EB9">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2A4EF476"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32051BC6" w14:textId="77777777" w:rsidR="004B3179" w:rsidRDefault="00766EB9">
            <w:pPr>
              <w:jc w:val="center"/>
              <w:rPr>
                <w:color w:val="000000"/>
                <w:sz w:val="20"/>
                <w:szCs w:val="20"/>
              </w:rPr>
            </w:pPr>
            <w:r>
              <w:rPr>
                <w:b/>
                <w:bCs/>
                <w:color w:val="000000"/>
                <w:sz w:val="20"/>
                <w:szCs w:val="20"/>
              </w:rPr>
              <w:t>(IRS Employee Identification No.)</w:t>
            </w:r>
          </w:p>
        </w:tc>
      </w:tr>
    </w:tbl>
    <w:p w14:paraId="77C7CCB2" w14:textId="77777777" w:rsidR="004B3179" w:rsidRDefault="00766EB9">
      <w:pPr>
        <w:ind w:left="144" w:right="144"/>
        <w:rPr>
          <w:sz w:val="20"/>
          <w:szCs w:val="20"/>
        </w:rPr>
      </w:pPr>
      <w:r>
        <w:rPr>
          <w:sz w:val="20"/>
          <w:szCs w:val="20"/>
        </w:rPr>
        <w:t> </w:t>
      </w:r>
    </w:p>
    <w:p w14:paraId="4704B54F" w14:textId="77777777" w:rsidR="004B3179" w:rsidRDefault="00766EB9">
      <w:pPr>
        <w:ind w:left="144" w:right="144"/>
        <w:jc w:val="center"/>
        <w:rPr>
          <w:sz w:val="20"/>
          <w:szCs w:val="20"/>
        </w:rPr>
      </w:pPr>
      <w:r>
        <w:rPr>
          <w:b/>
          <w:bCs/>
          <w:sz w:val="20"/>
          <w:szCs w:val="20"/>
        </w:rPr>
        <w:t>1900 Lake Park Drive, Suite 380</w:t>
      </w:r>
    </w:p>
    <w:p w14:paraId="1AAC803A" w14:textId="77777777" w:rsidR="004B3179" w:rsidRDefault="00766EB9">
      <w:pPr>
        <w:ind w:left="144" w:right="144"/>
        <w:jc w:val="center"/>
        <w:rPr>
          <w:sz w:val="20"/>
          <w:szCs w:val="20"/>
        </w:rPr>
      </w:pPr>
      <w:r>
        <w:rPr>
          <w:b/>
          <w:bCs/>
          <w:sz w:val="20"/>
          <w:szCs w:val="20"/>
        </w:rPr>
        <w:t>Smyrna, Georgia 30080</w:t>
      </w:r>
    </w:p>
    <w:p w14:paraId="66BFF374" w14:textId="77777777" w:rsidR="004B3179" w:rsidRDefault="00766EB9">
      <w:pPr>
        <w:ind w:left="144" w:right="144"/>
        <w:jc w:val="center"/>
        <w:rPr>
          <w:sz w:val="20"/>
          <w:szCs w:val="20"/>
        </w:rPr>
      </w:pPr>
      <w:r>
        <w:rPr>
          <w:b/>
          <w:bCs/>
          <w:sz w:val="20"/>
          <w:szCs w:val="20"/>
        </w:rPr>
        <w:t>(Address of principal executive offices) (Zip code)</w:t>
      </w:r>
    </w:p>
    <w:p w14:paraId="6CEBA6CB" w14:textId="77777777" w:rsidR="004B3179" w:rsidRDefault="00766EB9">
      <w:pPr>
        <w:ind w:left="144" w:right="144"/>
        <w:rPr>
          <w:sz w:val="20"/>
          <w:szCs w:val="20"/>
        </w:rPr>
      </w:pPr>
      <w:r>
        <w:rPr>
          <w:sz w:val="20"/>
          <w:szCs w:val="20"/>
        </w:rPr>
        <w:t> </w:t>
      </w:r>
    </w:p>
    <w:p w14:paraId="276AAB0A" w14:textId="77777777" w:rsidR="004B3179" w:rsidRDefault="00766EB9">
      <w:pPr>
        <w:ind w:left="144" w:right="144"/>
        <w:jc w:val="center"/>
        <w:rPr>
          <w:sz w:val="20"/>
          <w:szCs w:val="20"/>
        </w:rPr>
      </w:pPr>
      <w:r>
        <w:rPr>
          <w:b/>
          <w:bCs/>
          <w:sz w:val="20"/>
          <w:szCs w:val="20"/>
        </w:rPr>
        <w:t>(678) 384-7220</w:t>
      </w:r>
    </w:p>
    <w:p w14:paraId="42306AAF" w14:textId="77777777" w:rsidR="004B3179" w:rsidRDefault="00766EB9">
      <w:pPr>
        <w:ind w:left="144" w:right="144"/>
        <w:jc w:val="center"/>
        <w:rPr>
          <w:sz w:val="20"/>
          <w:szCs w:val="20"/>
        </w:rPr>
      </w:pPr>
      <w:r>
        <w:rPr>
          <w:b/>
          <w:bCs/>
          <w:sz w:val="20"/>
          <w:szCs w:val="20"/>
        </w:rPr>
        <w:t>(Registrant’s telephone number, including area code)</w:t>
      </w:r>
    </w:p>
    <w:p w14:paraId="5679A36C" w14:textId="77777777" w:rsidR="004B3179" w:rsidRDefault="00766EB9">
      <w:pPr>
        <w:ind w:left="144" w:right="144"/>
        <w:rPr>
          <w:sz w:val="20"/>
          <w:szCs w:val="20"/>
        </w:rPr>
      </w:pPr>
      <w:r>
        <w:rPr>
          <w:sz w:val="20"/>
          <w:szCs w:val="20"/>
        </w:rPr>
        <w:t>  </w:t>
      </w:r>
    </w:p>
    <w:p w14:paraId="137F5D00" w14:textId="77777777" w:rsidR="004B3179" w:rsidRDefault="00766EB9">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181F78A8" w14:textId="77777777" w:rsidR="004B3179" w:rsidRDefault="00766EB9">
      <w:pPr>
        <w:ind w:left="144" w:right="144"/>
        <w:rPr>
          <w:sz w:val="20"/>
          <w:szCs w:val="20"/>
        </w:rPr>
      </w:pPr>
      <w:r>
        <w:rPr>
          <w:sz w:val="20"/>
          <w:szCs w:val="20"/>
        </w:rPr>
        <w:t> </w:t>
      </w:r>
    </w:p>
    <w:p w14:paraId="0A648C97"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4E72423D" w14:textId="77777777" w:rsidR="004B3179" w:rsidRDefault="00766EB9">
      <w:pPr>
        <w:ind w:left="144" w:right="144"/>
        <w:rPr>
          <w:sz w:val="20"/>
          <w:szCs w:val="20"/>
        </w:rPr>
      </w:pPr>
      <w:r>
        <w:rPr>
          <w:sz w:val="20"/>
          <w:szCs w:val="20"/>
        </w:rPr>
        <w:t> </w:t>
      </w:r>
    </w:p>
    <w:p w14:paraId="1063FFA5"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67531C7B" w14:textId="77777777" w:rsidR="004B3179" w:rsidRDefault="00766EB9">
      <w:pPr>
        <w:ind w:left="144" w:right="144"/>
        <w:rPr>
          <w:sz w:val="20"/>
          <w:szCs w:val="20"/>
        </w:rPr>
      </w:pPr>
      <w:r>
        <w:rPr>
          <w:sz w:val="20"/>
          <w:szCs w:val="20"/>
        </w:rPr>
        <w:t> </w:t>
      </w:r>
    </w:p>
    <w:p w14:paraId="7A7875B8"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14d-2(b) under the Exchange Act (17 CFR 240.14d-2(b)).</w:t>
      </w:r>
    </w:p>
    <w:p w14:paraId="7A490847" w14:textId="77777777" w:rsidR="004B3179" w:rsidRDefault="00766EB9">
      <w:pPr>
        <w:ind w:left="144" w:right="144"/>
        <w:rPr>
          <w:sz w:val="20"/>
          <w:szCs w:val="20"/>
        </w:rPr>
      </w:pPr>
      <w:r>
        <w:rPr>
          <w:sz w:val="20"/>
          <w:szCs w:val="20"/>
        </w:rPr>
        <w:t> </w:t>
      </w:r>
    </w:p>
    <w:p w14:paraId="5ECF967C"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5CCCF547" w14:textId="77777777" w:rsidR="004B3179" w:rsidRDefault="00766EB9">
      <w:pPr>
        <w:ind w:left="144" w:right="144"/>
        <w:rPr>
          <w:sz w:val="20"/>
          <w:szCs w:val="20"/>
        </w:rPr>
      </w:pPr>
      <w:r>
        <w:rPr>
          <w:sz w:val="20"/>
          <w:szCs w:val="20"/>
        </w:rPr>
        <w:t> </w:t>
      </w:r>
    </w:p>
    <w:p w14:paraId="3DEA83A7" w14:textId="77777777" w:rsidR="004B3179" w:rsidRDefault="00766EB9">
      <w:pPr>
        <w:ind w:left="144" w:right="144"/>
        <w:rPr>
          <w:sz w:val="20"/>
          <w:szCs w:val="20"/>
        </w:rPr>
      </w:pPr>
      <w:r>
        <w:rPr>
          <w:sz w:val="20"/>
          <w:szCs w:val="20"/>
        </w:rPr>
        <w:t>Securities registered pursuant to Section 12(b) of the Act:</w:t>
      </w:r>
    </w:p>
    <w:p w14:paraId="68C975DB" w14:textId="77777777" w:rsidR="004B3179" w:rsidRDefault="00766EB9">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4424"/>
        <w:gridCol w:w="1942"/>
        <w:gridCol w:w="4423"/>
      </w:tblGrid>
      <w:tr w:rsidR="004B3179" w14:paraId="5735506A" w14:textId="77777777">
        <w:tc>
          <w:tcPr>
            <w:tcW w:w="2050" w:type="pct"/>
            <w:tcBorders>
              <w:bottom w:val="single" w:sz="6" w:space="0" w:color="000000"/>
            </w:tcBorders>
            <w:tcMar>
              <w:top w:w="5" w:type="dxa"/>
              <w:left w:w="5" w:type="dxa"/>
              <w:bottom w:w="8" w:type="dxa"/>
              <w:right w:w="5" w:type="dxa"/>
            </w:tcMar>
            <w:vAlign w:val="bottom"/>
            <w:hideMark/>
          </w:tcPr>
          <w:p w14:paraId="13BB4ABF" w14:textId="77777777" w:rsidR="004B3179" w:rsidRDefault="00766EB9">
            <w:pPr>
              <w:jc w:val="center"/>
              <w:rPr>
                <w:color w:val="000000"/>
                <w:sz w:val="20"/>
                <w:szCs w:val="20"/>
              </w:rPr>
            </w:pPr>
            <w:r>
              <w:rPr>
                <w:color w:val="000000"/>
                <w:sz w:val="20"/>
                <w:szCs w:val="20"/>
              </w:rPr>
              <w:t>Title of each class</w:t>
            </w:r>
          </w:p>
        </w:tc>
        <w:tc>
          <w:tcPr>
            <w:tcW w:w="900" w:type="pct"/>
            <w:tcBorders>
              <w:bottom w:val="single" w:sz="6" w:space="0" w:color="000000"/>
            </w:tcBorders>
            <w:tcMar>
              <w:top w:w="5" w:type="dxa"/>
              <w:left w:w="5" w:type="dxa"/>
              <w:bottom w:w="8" w:type="dxa"/>
              <w:right w:w="5" w:type="dxa"/>
            </w:tcMar>
            <w:vAlign w:val="bottom"/>
            <w:hideMark/>
          </w:tcPr>
          <w:p w14:paraId="132F425A" w14:textId="77777777" w:rsidR="004B3179" w:rsidRDefault="00766EB9">
            <w:pPr>
              <w:jc w:val="center"/>
              <w:rPr>
                <w:color w:val="000000"/>
                <w:sz w:val="20"/>
                <w:szCs w:val="20"/>
              </w:rPr>
            </w:pPr>
            <w:r>
              <w:rPr>
                <w:color w:val="000000"/>
                <w:sz w:val="20"/>
                <w:szCs w:val="20"/>
              </w:rPr>
              <w:t>Trading</w:t>
            </w:r>
          </w:p>
          <w:p w14:paraId="17113CAE" w14:textId="77777777" w:rsidR="004B3179" w:rsidRDefault="00766EB9">
            <w:pPr>
              <w:jc w:val="center"/>
              <w:rPr>
                <w:color w:val="000000"/>
                <w:sz w:val="20"/>
                <w:szCs w:val="20"/>
              </w:rPr>
            </w:pPr>
            <w:r>
              <w:rPr>
                <w:color w:val="000000"/>
                <w:sz w:val="20"/>
                <w:szCs w:val="20"/>
              </w:rPr>
              <w:t>Symbol(s)</w:t>
            </w:r>
          </w:p>
        </w:tc>
        <w:tc>
          <w:tcPr>
            <w:tcW w:w="2050" w:type="pct"/>
            <w:tcBorders>
              <w:bottom w:val="single" w:sz="6" w:space="0" w:color="000000"/>
            </w:tcBorders>
            <w:tcMar>
              <w:top w:w="5" w:type="dxa"/>
              <w:left w:w="5" w:type="dxa"/>
              <w:bottom w:w="8" w:type="dxa"/>
              <w:right w:w="5" w:type="dxa"/>
            </w:tcMar>
            <w:vAlign w:val="bottom"/>
            <w:hideMark/>
          </w:tcPr>
          <w:p w14:paraId="0B51ABB7" w14:textId="77777777" w:rsidR="004B3179" w:rsidRDefault="00766EB9">
            <w:pPr>
              <w:jc w:val="center"/>
              <w:rPr>
                <w:color w:val="000000"/>
                <w:sz w:val="20"/>
                <w:szCs w:val="20"/>
              </w:rPr>
            </w:pPr>
            <w:r>
              <w:rPr>
                <w:color w:val="000000"/>
                <w:sz w:val="20"/>
                <w:szCs w:val="20"/>
              </w:rPr>
              <w:t>Name of each exchange on which registered</w:t>
            </w:r>
          </w:p>
        </w:tc>
      </w:tr>
      <w:tr w:rsidR="004B3179" w14:paraId="18A54CB2" w14:textId="77777777">
        <w:tc>
          <w:tcPr>
            <w:tcW w:w="2050" w:type="pct"/>
            <w:tcMar>
              <w:top w:w="5" w:type="dxa"/>
              <w:left w:w="5" w:type="dxa"/>
              <w:bottom w:w="5" w:type="dxa"/>
              <w:right w:w="5" w:type="dxa"/>
            </w:tcMar>
            <w:vAlign w:val="center"/>
            <w:hideMark/>
          </w:tcPr>
          <w:p w14:paraId="335AD08B" w14:textId="77777777" w:rsidR="004B3179" w:rsidRDefault="00766EB9">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3DFF3CC3" w14:textId="77777777" w:rsidR="004B3179" w:rsidRDefault="00766EB9">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03CADDA2" w14:textId="77777777" w:rsidR="004B3179" w:rsidRDefault="00766EB9">
            <w:pPr>
              <w:jc w:val="center"/>
              <w:rPr>
                <w:color w:val="000000"/>
                <w:sz w:val="20"/>
                <w:szCs w:val="20"/>
              </w:rPr>
            </w:pPr>
            <w:r>
              <w:rPr>
                <w:color w:val="000000"/>
                <w:sz w:val="20"/>
                <w:szCs w:val="20"/>
              </w:rPr>
              <w:t>The Nasdaq Capital Market</w:t>
            </w:r>
          </w:p>
        </w:tc>
      </w:tr>
      <w:tr w:rsidR="004B3179" w14:paraId="6E603B66" w14:textId="77777777">
        <w:tc>
          <w:tcPr>
            <w:tcW w:w="2050" w:type="pct"/>
            <w:tcMar>
              <w:top w:w="5" w:type="dxa"/>
              <w:left w:w="5" w:type="dxa"/>
              <w:bottom w:w="5" w:type="dxa"/>
              <w:right w:w="5" w:type="dxa"/>
            </w:tcMar>
            <w:vAlign w:val="center"/>
            <w:hideMark/>
          </w:tcPr>
          <w:p w14:paraId="187C0F06" w14:textId="77777777" w:rsidR="004B3179" w:rsidRDefault="00766EB9">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6A592228" w14:textId="77777777" w:rsidR="004B3179" w:rsidRDefault="00766EB9">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78805595" w14:textId="77777777" w:rsidR="004B3179" w:rsidRDefault="00766EB9">
            <w:pPr>
              <w:jc w:val="center"/>
              <w:rPr>
                <w:color w:val="000000"/>
                <w:sz w:val="20"/>
                <w:szCs w:val="20"/>
              </w:rPr>
            </w:pPr>
            <w:r>
              <w:rPr>
                <w:color w:val="000000"/>
                <w:sz w:val="20"/>
                <w:szCs w:val="20"/>
              </w:rPr>
              <w:t>The Nasdaq Capital Market</w:t>
            </w:r>
          </w:p>
        </w:tc>
      </w:tr>
    </w:tbl>
    <w:p w14:paraId="7CD3A512" w14:textId="77777777" w:rsidR="004B3179" w:rsidRDefault="00766EB9">
      <w:pPr>
        <w:ind w:left="144" w:right="144"/>
        <w:rPr>
          <w:sz w:val="20"/>
          <w:szCs w:val="20"/>
        </w:rPr>
      </w:pPr>
      <w:r>
        <w:rPr>
          <w:sz w:val="20"/>
          <w:szCs w:val="20"/>
        </w:rPr>
        <w:t> </w:t>
      </w:r>
    </w:p>
    <w:p w14:paraId="5E70AED4" w14:textId="77777777" w:rsidR="004B3179" w:rsidRDefault="00766EB9">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23EFEEA2" w14:textId="77777777" w:rsidR="004B3179" w:rsidRDefault="00766EB9">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46A27ABE" w14:textId="77777777" w:rsidR="004B3179" w:rsidRDefault="00766EB9">
      <w:pPr>
        <w:ind w:left="144" w:right="144"/>
        <w:rPr>
          <w:sz w:val="20"/>
          <w:szCs w:val="20"/>
        </w:rPr>
      </w:pPr>
      <w:r>
        <w:rPr>
          <w:sz w:val="20"/>
          <w:szCs w:val="20"/>
        </w:rPr>
        <w:t> </w:t>
      </w:r>
    </w:p>
    <w:p w14:paraId="624BA636" w14:textId="77777777" w:rsidR="004B3179" w:rsidRDefault="00766EB9">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0B3441A2" w14:textId="77777777" w:rsidR="004B3179" w:rsidRDefault="00766EB9">
      <w:pPr>
        <w:ind w:left="144" w:right="144"/>
        <w:rPr>
          <w:sz w:val="20"/>
          <w:szCs w:val="20"/>
        </w:rPr>
      </w:pPr>
      <w:r>
        <w:rPr>
          <w:sz w:val="20"/>
          <w:szCs w:val="20"/>
        </w:rPr>
        <w:t> </w:t>
      </w:r>
    </w:p>
    <w:p w14:paraId="6EC6996C" w14:textId="77777777" w:rsidR="004B3179" w:rsidRDefault="00766EB9">
      <w:pPr>
        <w:ind w:left="144" w:right="144"/>
        <w:jc w:val="center"/>
        <w:rPr>
          <w:sz w:val="20"/>
          <w:szCs w:val="20"/>
        </w:rPr>
      </w:pPr>
      <w:r>
        <w:rPr>
          <w:sz w:val="20"/>
          <w:szCs w:val="20"/>
        </w:rPr>
        <w:t>1</w:t>
      </w:r>
    </w:p>
    <w:p w14:paraId="53F8BF91" w14:textId="77777777" w:rsidR="004B3179" w:rsidRDefault="00766EB9">
      <w:pPr>
        <w:ind w:left="144" w:right="144"/>
        <w:rPr>
          <w:sz w:val="20"/>
          <w:szCs w:val="20"/>
        </w:rPr>
      </w:pPr>
      <w:r>
        <w:rPr>
          <w:sz w:val="20"/>
          <w:szCs w:val="20"/>
        </w:rPr>
        <w:br w:type="page"/>
      </w:r>
      <w:r>
        <w:rPr>
          <w:sz w:val="20"/>
          <w:szCs w:val="20"/>
        </w:rPr>
        <w:lastRenderedPageBreak/>
        <w:t> </w:t>
      </w:r>
    </w:p>
    <w:p w14:paraId="08D9F6EB" w14:textId="77777777" w:rsidR="004B3179" w:rsidRDefault="00766EB9">
      <w:pPr>
        <w:ind w:left="144" w:right="144"/>
        <w:rPr>
          <w:sz w:val="20"/>
          <w:szCs w:val="20"/>
        </w:rPr>
      </w:pPr>
      <w:r>
        <w:rPr>
          <w:sz w:val="20"/>
          <w:szCs w:val="20"/>
        </w:rPr>
        <w:t> </w:t>
      </w:r>
    </w:p>
    <w:p w14:paraId="2CE255A9" w14:textId="77777777" w:rsidR="004B3179" w:rsidRDefault="00766EB9">
      <w:pPr>
        <w:ind w:left="144" w:right="144"/>
        <w:jc w:val="both"/>
        <w:rPr>
          <w:sz w:val="20"/>
          <w:szCs w:val="20"/>
        </w:rPr>
      </w:pPr>
      <w:r>
        <w:rPr>
          <w:sz w:val="20"/>
          <w:szCs w:val="20"/>
        </w:rPr>
        <w:t xml:space="preserve">This Form 8-K and other reports filed by GeoVax Labs, Inc. (the “Registrant” or the “Company”)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w:t>
      </w:r>
      <w:proofErr w:type="gramStart"/>
      <w:r>
        <w:rPr>
          <w:sz w:val="20"/>
          <w:szCs w:val="20"/>
        </w:rPr>
        <w:t>assumptions</w:t>
      </w:r>
      <w:proofErr w:type="gramEnd"/>
      <w:r>
        <w:rPr>
          <w:sz w:val="20"/>
          <w:szCs w:val="20"/>
        </w:rPr>
        <w:t xml:space="preserve">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w:t>
      </w:r>
      <w:proofErr w:type="gramStart"/>
      <w:r>
        <w:rPr>
          <w:sz w:val="20"/>
          <w:szCs w:val="20"/>
        </w:rPr>
        <w:t>intended</w:t>
      </w:r>
      <w:proofErr w:type="gramEnd"/>
      <w:r>
        <w:rPr>
          <w:sz w:val="20"/>
          <w:szCs w:val="20"/>
        </w:rPr>
        <w:t xml:space="preserve"> or planned. Except as required by law, the Registrant does not undertake to update its forward-looking statements.</w:t>
      </w:r>
    </w:p>
    <w:p w14:paraId="01FD0865"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4B3179" w14:paraId="1D7109F6" w14:textId="77777777">
        <w:tc>
          <w:tcPr>
            <w:tcW w:w="1260" w:type="dxa"/>
            <w:tcMar>
              <w:top w:w="5" w:type="dxa"/>
              <w:left w:w="5" w:type="dxa"/>
              <w:bottom w:w="5" w:type="dxa"/>
              <w:right w:w="5" w:type="dxa"/>
            </w:tcMar>
            <w:hideMark/>
          </w:tcPr>
          <w:p w14:paraId="6337AF8E" w14:textId="5A673082" w:rsidR="004B3179" w:rsidRDefault="00766EB9">
            <w:pPr>
              <w:rPr>
                <w:color w:val="000000"/>
                <w:sz w:val="20"/>
                <w:szCs w:val="20"/>
              </w:rPr>
            </w:pPr>
            <w:r>
              <w:rPr>
                <w:b/>
                <w:bCs/>
                <w:color w:val="000000"/>
                <w:sz w:val="20"/>
                <w:szCs w:val="20"/>
              </w:rPr>
              <w:t xml:space="preserve">Item </w:t>
            </w:r>
            <w:r w:rsidR="00EB5CF9">
              <w:rPr>
                <w:b/>
                <w:bCs/>
                <w:color w:val="000000"/>
                <w:sz w:val="20"/>
                <w:szCs w:val="20"/>
              </w:rPr>
              <w:t>2.02</w:t>
            </w:r>
            <w:r>
              <w:rPr>
                <w:b/>
                <w:bCs/>
                <w:color w:val="000000"/>
                <w:sz w:val="20"/>
                <w:szCs w:val="20"/>
              </w:rPr>
              <w:t xml:space="preserve"> </w:t>
            </w:r>
          </w:p>
        </w:tc>
        <w:tc>
          <w:tcPr>
            <w:tcW w:w="0" w:type="auto"/>
            <w:tcMar>
              <w:top w:w="5" w:type="dxa"/>
              <w:left w:w="5" w:type="dxa"/>
              <w:bottom w:w="5" w:type="dxa"/>
              <w:right w:w="5" w:type="dxa"/>
            </w:tcMar>
            <w:hideMark/>
          </w:tcPr>
          <w:p w14:paraId="6A56C283" w14:textId="399C0175" w:rsidR="004B3179" w:rsidRDefault="00EB5CF9">
            <w:pPr>
              <w:rPr>
                <w:color w:val="000000"/>
                <w:sz w:val="20"/>
                <w:szCs w:val="20"/>
              </w:rPr>
            </w:pPr>
            <w:r>
              <w:rPr>
                <w:b/>
                <w:bCs/>
                <w:color w:val="000000"/>
                <w:sz w:val="20"/>
                <w:szCs w:val="20"/>
              </w:rPr>
              <w:t>Results of Operations and Financial Condition</w:t>
            </w:r>
            <w:r w:rsidR="00766EB9">
              <w:rPr>
                <w:b/>
                <w:bCs/>
                <w:color w:val="000000"/>
                <w:sz w:val="20"/>
                <w:szCs w:val="20"/>
              </w:rPr>
              <w:t>.</w:t>
            </w:r>
          </w:p>
        </w:tc>
      </w:tr>
    </w:tbl>
    <w:p w14:paraId="2277CE4F" w14:textId="73287BC6" w:rsidR="004B3179" w:rsidRDefault="00766EB9" w:rsidP="003B670F">
      <w:pPr>
        <w:ind w:left="144" w:right="144"/>
        <w:rPr>
          <w:sz w:val="20"/>
          <w:szCs w:val="20"/>
        </w:rPr>
      </w:pPr>
      <w:r>
        <w:rPr>
          <w:b/>
          <w:bCs/>
          <w:i/>
          <w:iCs/>
          <w:sz w:val="20"/>
          <w:szCs w:val="20"/>
        </w:rPr>
        <w:t> </w:t>
      </w:r>
      <w:r>
        <w:rPr>
          <w:sz w:val="20"/>
          <w:szCs w:val="20"/>
        </w:rPr>
        <w:t> </w:t>
      </w:r>
    </w:p>
    <w:p w14:paraId="613E789D" w14:textId="538720D2" w:rsidR="00F65C64" w:rsidRPr="00F65C64" w:rsidRDefault="00EB5CF9" w:rsidP="00F65C64">
      <w:pPr>
        <w:ind w:left="144" w:right="144"/>
        <w:jc w:val="both"/>
        <w:rPr>
          <w:sz w:val="20"/>
          <w:szCs w:val="20"/>
        </w:rPr>
      </w:pPr>
      <w:r w:rsidRPr="00125FB2">
        <w:rPr>
          <w:bCs/>
          <w:sz w:val="20"/>
          <w:szCs w:val="20"/>
        </w:rPr>
        <w:t xml:space="preserve">On </w:t>
      </w:r>
      <w:r w:rsidR="00CC52F4">
        <w:rPr>
          <w:bCs/>
          <w:sz w:val="20"/>
          <w:szCs w:val="20"/>
        </w:rPr>
        <w:t>March</w:t>
      </w:r>
      <w:r w:rsidRPr="00125FB2">
        <w:rPr>
          <w:bCs/>
          <w:sz w:val="20"/>
          <w:szCs w:val="20"/>
        </w:rPr>
        <w:t xml:space="preserve"> </w:t>
      </w:r>
      <w:r w:rsidR="00CC52F4">
        <w:rPr>
          <w:bCs/>
          <w:sz w:val="20"/>
          <w:szCs w:val="20"/>
        </w:rPr>
        <w:t>23</w:t>
      </w:r>
      <w:r w:rsidRPr="00125FB2">
        <w:rPr>
          <w:bCs/>
          <w:sz w:val="20"/>
          <w:szCs w:val="20"/>
        </w:rPr>
        <w:t>, 20</w:t>
      </w:r>
      <w:r>
        <w:rPr>
          <w:bCs/>
          <w:sz w:val="20"/>
          <w:szCs w:val="20"/>
        </w:rPr>
        <w:t>2</w:t>
      </w:r>
      <w:r w:rsidR="00CC52F4">
        <w:rPr>
          <w:bCs/>
          <w:sz w:val="20"/>
          <w:szCs w:val="20"/>
        </w:rPr>
        <w:t>1</w:t>
      </w:r>
      <w:r w:rsidRPr="00125FB2">
        <w:rPr>
          <w:bCs/>
          <w:sz w:val="20"/>
          <w:szCs w:val="20"/>
        </w:rPr>
        <w:t xml:space="preserve"> we issued a press release reporting our results of operations for the </w:t>
      </w:r>
      <w:r w:rsidR="00CC52F4">
        <w:rPr>
          <w:bCs/>
          <w:sz w:val="20"/>
          <w:szCs w:val="20"/>
        </w:rPr>
        <w:t>year</w:t>
      </w:r>
      <w:r w:rsidRPr="00125FB2">
        <w:rPr>
          <w:bCs/>
          <w:sz w:val="20"/>
          <w:szCs w:val="20"/>
        </w:rPr>
        <w:t xml:space="preserve"> ended </w:t>
      </w:r>
      <w:r w:rsidR="00CC52F4">
        <w:rPr>
          <w:bCs/>
          <w:sz w:val="20"/>
          <w:szCs w:val="20"/>
        </w:rPr>
        <w:t>December</w:t>
      </w:r>
      <w:r>
        <w:rPr>
          <w:bCs/>
          <w:sz w:val="20"/>
          <w:szCs w:val="20"/>
        </w:rPr>
        <w:t> 3</w:t>
      </w:r>
      <w:r w:rsidR="00CC52F4">
        <w:rPr>
          <w:bCs/>
          <w:sz w:val="20"/>
          <w:szCs w:val="20"/>
        </w:rPr>
        <w:t>1</w:t>
      </w:r>
      <w:r w:rsidRPr="00125FB2">
        <w:rPr>
          <w:bCs/>
          <w:sz w:val="20"/>
          <w:szCs w:val="20"/>
        </w:rPr>
        <w:t>, 20</w:t>
      </w:r>
      <w:r>
        <w:rPr>
          <w:bCs/>
          <w:sz w:val="20"/>
          <w:szCs w:val="20"/>
        </w:rPr>
        <w:t>20</w:t>
      </w:r>
      <w:r w:rsidRPr="00125FB2">
        <w:rPr>
          <w:bCs/>
          <w:sz w:val="20"/>
          <w:szCs w:val="20"/>
        </w:rPr>
        <w:t>.</w:t>
      </w:r>
      <w:r w:rsidRPr="00125FB2">
        <w:rPr>
          <w:sz w:val="20"/>
          <w:szCs w:val="20"/>
        </w:rPr>
        <w:t xml:space="preserve">  A copy of the press release is attached to this Current Report</w:t>
      </w:r>
      <w:r w:rsidR="00F65C64" w:rsidRPr="00F65C64">
        <w:rPr>
          <w:bCs/>
          <w:sz w:val="20"/>
          <w:szCs w:val="20"/>
        </w:rPr>
        <w:t>.</w:t>
      </w:r>
      <w:r w:rsidR="00F65C64">
        <w:rPr>
          <w:sz w:val="20"/>
          <w:szCs w:val="20"/>
        </w:rPr>
        <w:t xml:space="preserve"> </w:t>
      </w:r>
    </w:p>
    <w:p w14:paraId="01B5E8CD"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4B3179" w14:paraId="1BD8FD68" w14:textId="77777777">
        <w:tc>
          <w:tcPr>
            <w:tcW w:w="1260" w:type="dxa"/>
            <w:tcMar>
              <w:top w:w="5" w:type="dxa"/>
              <w:left w:w="5" w:type="dxa"/>
              <w:bottom w:w="5" w:type="dxa"/>
              <w:right w:w="5" w:type="dxa"/>
            </w:tcMar>
            <w:hideMark/>
          </w:tcPr>
          <w:p w14:paraId="3AB0B213" w14:textId="77777777" w:rsidR="004B3179" w:rsidRDefault="00766EB9">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27AC6630" w14:textId="77777777" w:rsidR="004B3179" w:rsidRDefault="00766EB9">
            <w:pPr>
              <w:rPr>
                <w:color w:val="000000"/>
                <w:sz w:val="20"/>
                <w:szCs w:val="20"/>
              </w:rPr>
            </w:pPr>
            <w:r>
              <w:rPr>
                <w:b/>
                <w:bCs/>
                <w:color w:val="000000"/>
                <w:sz w:val="20"/>
                <w:szCs w:val="20"/>
              </w:rPr>
              <w:t>Financial Statements and Exhibits.</w:t>
            </w:r>
          </w:p>
        </w:tc>
      </w:tr>
    </w:tbl>
    <w:p w14:paraId="6E7E3A92" w14:textId="77777777" w:rsidR="004B3179" w:rsidRDefault="00766EB9">
      <w:pPr>
        <w:ind w:left="144" w:right="144"/>
        <w:rPr>
          <w:sz w:val="20"/>
          <w:szCs w:val="20"/>
        </w:rPr>
      </w:pPr>
      <w:r>
        <w:rPr>
          <w:b/>
          <w:bCs/>
          <w:sz w:val="20"/>
          <w:szCs w:val="20"/>
        </w:rPr>
        <w:t> </w:t>
      </w:r>
    </w:p>
    <w:p w14:paraId="7B99F14A" w14:textId="77777777" w:rsidR="004B3179" w:rsidRDefault="00766EB9">
      <w:pPr>
        <w:ind w:left="144" w:right="144"/>
        <w:rPr>
          <w:sz w:val="20"/>
          <w:szCs w:val="20"/>
        </w:rPr>
      </w:pPr>
      <w:r>
        <w:rPr>
          <w:sz w:val="20"/>
          <w:szCs w:val="20"/>
        </w:rPr>
        <w:t>(d)     Exhibits</w:t>
      </w:r>
    </w:p>
    <w:p w14:paraId="5BCAA6A2"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96"/>
        <w:gridCol w:w="9504"/>
      </w:tblGrid>
      <w:tr w:rsidR="004B3179" w14:paraId="15DEB0D1" w14:textId="77777777">
        <w:tc>
          <w:tcPr>
            <w:tcW w:w="600" w:type="pct"/>
            <w:tcMar>
              <w:top w:w="5" w:type="dxa"/>
              <w:left w:w="5" w:type="dxa"/>
              <w:bottom w:w="5" w:type="dxa"/>
              <w:right w:w="5" w:type="dxa"/>
            </w:tcMar>
            <w:hideMark/>
          </w:tcPr>
          <w:p w14:paraId="08676D58" w14:textId="77777777" w:rsidR="004B3179" w:rsidRDefault="00766EB9">
            <w:pPr>
              <w:ind w:left="180"/>
              <w:rPr>
                <w:color w:val="000000"/>
                <w:sz w:val="20"/>
                <w:szCs w:val="20"/>
              </w:rPr>
            </w:pPr>
            <w:r>
              <w:rPr>
                <w:color w:val="000000"/>
                <w:sz w:val="20"/>
                <w:szCs w:val="20"/>
                <w:u w:val="single" w:color="000000"/>
              </w:rPr>
              <w:t>Exhibit No.</w:t>
            </w:r>
          </w:p>
        </w:tc>
        <w:tc>
          <w:tcPr>
            <w:tcW w:w="4400" w:type="pct"/>
            <w:tcMar>
              <w:top w:w="5" w:type="dxa"/>
              <w:left w:w="5" w:type="dxa"/>
              <w:bottom w:w="5" w:type="dxa"/>
              <w:right w:w="5" w:type="dxa"/>
            </w:tcMar>
            <w:hideMark/>
          </w:tcPr>
          <w:p w14:paraId="02DA904E" w14:textId="77777777" w:rsidR="004B3179" w:rsidRDefault="00766EB9">
            <w:pPr>
              <w:rPr>
                <w:color w:val="000000"/>
                <w:sz w:val="20"/>
                <w:szCs w:val="20"/>
              </w:rPr>
            </w:pPr>
            <w:r>
              <w:rPr>
                <w:color w:val="000000"/>
                <w:sz w:val="20"/>
                <w:szCs w:val="20"/>
                <w:u w:val="single" w:color="000000"/>
              </w:rPr>
              <w:t>Description</w:t>
            </w:r>
          </w:p>
        </w:tc>
      </w:tr>
      <w:tr w:rsidR="00CE3919" w:rsidRPr="00CE3919" w14:paraId="0CDBCCD6" w14:textId="77777777">
        <w:tc>
          <w:tcPr>
            <w:tcW w:w="600" w:type="pct"/>
            <w:tcMar>
              <w:top w:w="5" w:type="dxa"/>
              <w:left w:w="5" w:type="dxa"/>
              <w:bottom w:w="5" w:type="dxa"/>
              <w:right w:w="5" w:type="dxa"/>
            </w:tcMar>
            <w:hideMark/>
          </w:tcPr>
          <w:p w14:paraId="448B26D6" w14:textId="77777777" w:rsidR="004B3179" w:rsidRPr="00CE3919" w:rsidRDefault="00766EB9">
            <w:pPr>
              <w:ind w:left="180"/>
              <w:rPr>
                <w:sz w:val="20"/>
                <w:szCs w:val="20"/>
              </w:rPr>
            </w:pPr>
            <w:r w:rsidRPr="00CE3919">
              <w:rPr>
                <w:sz w:val="20"/>
                <w:szCs w:val="20"/>
              </w:rPr>
              <w:t>99.1</w:t>
            </w:r>
          </w:p>
        </w:tc>
        <w:tc>
          <w:tcPr>
            <w:tcW w:w="4400" w:type="pct"/>
            <w:tcMar>
              <w:top w:w="5" w:type="dxa"/>
              <w:left w:w="5" w:type="dxa"/>
              <w:bottom w:w="5" w:type="dxa"/>
              <w:right w:w="5" w:type="dxa"/>
            </w:tcMar>
            <w:hideMark/>
          </w:tcPr>
          <w:p w14:paraId="295DC1AD" w14:textId="493E2F36" w:rsidR="004B3179" w:rsidRPr="00CE3919" w:rsidRDefault="00CB1EAA" w:rsidP="00CB1EAA">
            <w:pPr>
              <w:rPr>
                <w:sz w:val="20"/>
                <w:szCs w:val="20"/>
              </w:rPr>
            </w:pPr>
            <w:r>
              <w:rPr>
                <w:sz w:val="20"/>
                <w:szCs w:val="20"/>
              </w:rPr>
              <w:t>P</w:t>
            </w:r>
            <w:r w:rsidR="00766EB9" w:rsidRPr="00CE3919">
              <w:rPr>
                <w:sz w:val="20"/>
                <w:szCs w:val="20"/>
              </w:rPr>
              <w:t xml:space="preserve">ress release dated </w:t>
            </w:r>
            <w:r w:rsidR="00CC52F4">
              <w:rPr>
                <w:sz w:val="20"/>
                <w:szCs w:val="20"/>
              </w:rPr>
              <w:t>March</w:t>
            </w:r>
            <w:r w:rsidR="00766EB9" w:rsidRPr="00CE3919">
              <w:rPr>
                <w:sz w:val="20"/>
                <w:szCs w:val="20"/>
              </w:rPr>
              <w:t xml:space="preserve"> </w:t>
            </w:r>
            <w:r w:rsidR="00CC52F4">
              <w:rPr>
                <w:sz w:val="20"/>
                <w:szCs w:val="20"/>
              </w:rPr>
              <w:t>23</w:t>
            </w:r>
            <w:r w:rsidR="00766EB9" w:rsidRPr="00CE3919">
              <w:rPr>
                <w:sz w:val="20"/>
                <w:szCs w:val="20"/>
              </w:rPr>
              <w:t>, 202</w:t>
            </w:r>
            <w:r w:rsidR="00CC52F4">
              <w:rPr>
                <w:sz w:val="20"/>
                <w:szCs w:val="20"/>
              </w:rPr>
              <w:t>1</w:t>
            </w:r>
          </w:p>
        </w:tc>
      </w:tr>
    </w:tbl>
    <w:p w14:paraId="674DF00D" w14:textId="1841053B" w:rsidR="004B3179" w:rsidRDefault="00766EB9" w:rsidP="003B670F">
      <w:pPr>
        <w:ind w:left="360" w:right="144"/>
        <w:rPr>
          <w:sz w:val="20"/>
          <w:szCs w:val="20"/>
        </w:rPr>
      </w:pPr>
      <w:r>
        <w:rPr>
          <w:sz w:val="20"/>
          <w:szCs w:val="20"/>
        </w:rPr>
        <w:t> </w:t>
      </w:r>
    </w:p>
    <w:p w14:paraId="14864F72" w14:textId="7FA278F7" w:rsidR="003B670F" w:rsidRDefault="003B670F">
      <w:pPr>
        <w:ind w:left="144" w:right="144"/>
        <w:rPr>
          <w:sz w:val="20"/>
          <w:szCs w:val="20"/>
        </w:rPr>
      </w:pPr>
    </w:p>
    <w:p w14:paraId="1707908C" w14:textId="77777777" w:rsidR="003B670F" w:rsidRDefault="003B670F">
      <w:pPr>
        <w:ind w:left="144" w:right="144"/>
        <w:rPr>
          <w:sz w:val="20"/>
          <w:szCs w:val="20"/>
        </w:rPr>
      </w:pPr>
    </w:p>
    <w:p w14:paraId="5C7EA031" w14:textId="3BB87614" w:rsidR="004B3179" w:rsidRDefault="00766EB9" w:rsidP="00EB5CF9">
      <w:pPr>
        <w:ind w:right="144"/>
        <w:rPr>
          <w:sz w:val="20"/>
          <w:szCs w:val="20"/>
        </w:rPr>
      </w:pPr>
      <w:r>
        <w:rPr>
          <w:sz w:val="20"/>
          <w:szCs w:val="20"/>
        </w:rPr>
        <w:t> </w:t>
      </w:r>
    </w:p>
    <w:p w14:paraId="00D469D9" w14:textId="77777777" w:rsidR="004B3179" w:rsidRDefault="00766EB9">
      <w:pPr>
        <w:ind w:left="144" w:right="144"/>
        <w:rPr>
          <w:sz w:val="20"/>
          <w:szCs w:val="20"/>
        </w:rPr>
      </w:pPr>
      <w:r>
        <w:rPr>
          <w:sz w:val="20"/>
          <w:szCs w:val="20"/>
        </w:rPr>
        <w:t> </w:t>
      </w:r>
    </w:p>
    <w:p w14:paraId="6FED487A" w14:textId="77777777" w:rsidR="004B3179" w:rsidRDefault="00766EB9">
      <w:pPr>
        <w:ind w:left="144" w:right="144"/>
        <w:jc w:val="center"/>
        <w:rPr>
          <w:sz w:val="20"/>
          <w:szCs w:val="20"/>
        </w:rPr>
      </w:pPr>
      <w:r>
        <w:rPr>
          <w:b/>
          <w:bCs/>
          <w:sz w:val="20"/>
          <w:szCs w:val="20"/>
        </w:rPr>
        <w:t>SIGNATURE</w:t>
      </w:r>
    </w:p>
    <w:p w14:paraId="7D025552" w14:textId="77777777" w:rsidR="004B3179" w:rsidRDefault="00766EB9">
      <w:pPr>
        <w:ind w:left="144" w:right="144"/>
        <w:rPr>
          <w:sz w:val="20"/>
          <w:szCs w:val="20"/>
        </w:rPr>
      </w:pPr>
      <w:r>
        <w:rPr>
          <w:sz w:val="20"/>
          <w:szCs w:val="20"/>
        </w:rPr>
        <w:t> </w:t>
      </w:r>
    </w:p>
    <w:p w14:paraId="5D9030D6" w14:textId="77777777" w:rsidR="004B3179" w:rsidRDefault="00766EB9" w:rsidP="000E6508">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7FAE59EE" w14:textId="77777777" w:rsidR="004B3179" w:rsidRDefault="00766EB9">
      <w:pPr>
        <w:ind w:left="144" w:right="144"/>
        <w:rPr>
          <w:sz w:val="20"/>
          <w:szCs w:val="20"/>
        </w:rPr>
      </w:pPr>
      <w:r>
        <w:rPr>
          <w:sz w:val="20"/>
          <w:szCs w:val="20"/>
        </w:rPr>
        <w:t> </w:t>
      </w:r>
    </w:p>
    <w:p w14:paraId="5EBCF7A5" w14:textId="6FC81EF1" w:rsidR="004B3179" w:rsidRDefault="00766EB9">
      <w:pPr>
        <w:ind w:left="144" w:right="144"/>
        <w:rPr>
          <w:sz w:val="20"/>
          <w:szCs w:val="20"/>
        </w:rPr>
      </w:pPr>
      <w:r>
        <w:rPr>
          <w:sz w:val="20"/>
          <w:szCs w:val="20"/>
        </w:rPr>
        <w:t xml:space="preserve">Date: </w:t>
      </w:r>
      <w:r w:rsidR="00CC52F4">
        <w:rPr>
          <w:sz w:val="20"/>
          <w:szCs w:val="20"/>
        </w:rPr>
        <w:t>March</w:t>
      </w:r>
      <w:r>
        <w:rPr>
          <w:sz w:val="20"/>
          <w:szCs w:val="20"/>
        </w:rPr>
        <w:t xml:space="preserve"> </w:t>
      </w:r>
      <w:r w:rsidR="00CC52F4">
        <w:rPr>
          <w:sz w:val="20"/>
          <w:szCs w:val="20"/>
        </w:rPr>
        <w:t>23</w:t>
      </w:r>
      <w:r>
        <w:rPr>
          <w:sz w:val="20"/>
          <w:szCs w:val="20"/>
        </w:rPr>
        <w:t>, 202</w:t>
      </w:r>
      <w:r w:rsidR="00CC52F4">
        <w:rPr>
          <w:sz w:val="20"/>
          <w:szCs w:val="20"/>
        </w:rPr>
        <w:t>1</w:t>
      </w:r>
    </w:p>
    <w:p w14:paraId="12755C45"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5400"/>
        <w:gridCol w:w="335"/>
        <w:gridCol w:w="3780"/>
        <w:gridCol w:w="1285"/>
      </w:tblGrid>
      <w:tr w:rsidR="004B3179" w14:paraId="0AE38667" w14:textId="77777777">
        <w:tc>
          <w:tcPr>
            <w:tcW w:w="2500" w:type="pct"/>
            <w:tcMar>
              <w:top w:w="5" w:type="dxa"/>
              <w:left w:w="5" w:type="dxa"/>
              <w:bottom w:w="5" w:type="dxa"/>
              <w:right w:w="5" w:type="dxa"/>
            </w:tcMar>
            <w:hideMark/>
          </w:tcPr>
          <w:p w14:paraId="3B61890D"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7D3843A" w14:textId="77777777" w:rsidR="004B3179" w:rsidRDefault="00766EB9">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78846A00" w14:textId="77777777" w:rsidR="004B3179" w:rsidRDefault="00766EB9">
            <w:pPr>
              <w:rPr>
                <w:color w:val="000000"/>
                <w:sz w:val="20"/>
                <w:szCs w:val="20"/>
              </w:rPr>
            </w:pPr>
            <w:r>
              <w:rPr>
                <w:color w:val="000000"/>
                <w:sz w:val="20"/>
                <w:szCs w:val="20"/>
              </w:rPr>
              <w:t> </w:t>
            </w:r>
          </w:p>
        </w:tc>
      </w:tr>
      <w:tr w:rsidR="004B3179" w14:paraId="446FF404" w14:textId="77777777">
        <w:tc>
          <w:tcPr>
            <w:tcW w:w="2500" w:type="pct"/>
            <w:tcMar>
              <w:top w:w="5" w:type="dxa"/>
              <w:left w:w="5" w:type="dxa"/>
              <w:bottom w:w="5" w:type="dxa"/>
              <w:right w:w="5" w:type="dxa"/>
            </w:tcMar>
            <w:hideMark/>
          </w:tcPr>
          <w:p w14:paraId="55A7CF65"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1CC3574"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322B5BDD" w14:textId="77777777" w:rsidR="004B3179" w:rsidRDefault="00766EB9">
            <w:pPr>
              <w:rPr>
                <w:color w:val="000000"/>
                <w:sz w:val="20"/>
                <w:szCs w:val="20"/>
              </w:rPr>
            </w:pPr>
            <w:r>
              <w:rPr>
                <w:color w:val="000000"/>
                <w:sz w:val="20"/>
                <w:szCs w:val="20"/>
              </w:rPr>
              <w:t> </w:t>
            </w:r>
          </w:p>
        </w:tc>
      </w:tr>
      <w:tr w:rsidR="004B3179" w14:paraId="6C7178BA" w14:textId="77777777">
        <w:tc>
          <w:tcPr>
            <w:tcW w:w="2500" w:type="pct"/>
            <w:tcMar>
              <w:top w:w="5" w:type="dxa"/>
              <w:left w:w="5" w:type="dxa"/>
              <w:bottom w:w="5" w:type="dxa"/>
              <w:right w:w="5" w:type="dxa"/>
            </w:tcMar>
            <w:hideMark/>
          </w:tcPr>
          <w:p w14:paraId="15F12947"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5FC94AE1"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484A7B85" w14:textId="77777777" w:rsidR="004B3179" w:rsidRDefault="00766EB9">
            <w:pPr>
              <w:rPr>
                <w:color w:val="000000"/>
                <w:sz w:val="20"/>
                <w:szCs w:val="20"/>
              </w:rPr>
            </w:pPr>
            <w:r>
              <w:rPr>
                <w:color w:val="000000"/>
                <w:sz w:val="20"/>
                <w:szCs w:val="20"/>
              </w:rPr>
              <w:t> </w:t>
            </w:r>
          </w:p>
        </w:tc>
      </w:tr>
      <w:tr w:rsidR="004B3179" w14:paraId="2ECE3217" w14:textId="77777777">
        <w:tc>
          <w:tcPr>
            <w:tcW w:w="2500" w:type="pct"/>
            <w:tcMar>
              <w:top w:w="5" w:type="dxa"/>
              <w:left w:w="5" w:type="dxa"/>
              <w:bottom w:w="5" w:type="dxa"/>
              <w:right w:w="5" w:type="dxa"/>
            </w:tcMar>
            <w:hideMark/>
          </w:tcPr>
          <w:p w14:paraId="5831687C"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7A82530E" w14:textId="77777777" w:rsidR="004B3179" w:rsidRDefault="00766EB9">
            <w:pPr>
              <w:rPr>
                <w:color w:val="000000"/>
                <w:sz w:val="20"/>
                <w:szCs w:val="20"/>
              </w:rPr>
            </w:pPr>
            <w:r>
              <w:rPr>
                <w:color w:val="000000"/>
                <w:sz w:val="20"/>
                <w:szCs w:val="20"/>
              </w:rPr>
              <w:t>By:</w:t>
            </w:r>
          </w:p>
        </w:tc>
        <w:tc>
          <w:tcPr>
            <w:tcW w:w="1750" w:type="pct"/>
            <w:tcBorders>
              <w:bottom w:val="single" w:sz="6" w:space="0" w:color="000000"/>
            </w:tcBorders>
            <w:tcMar>
              <w:top w:w="5" w:type="dxa"/>
              <w:left w:w="5" w:type="dxa"/>
              <w:bottom w:w="8" w:type="dxa"/>
              <w:right w:w="5" w:type="dxa"/>
            </w:tcMar>
            <w:hideMark/>
          </w:tcPr>
          <w:p w14:paraId="74B94382" w14:textId="77777777" w:rsidR="004B3179" w:rsidRDefault="00766EB9">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025FC326" w14:textId="77777777" w:rsidR="004B3179" w:rsidRDefault="00766EB9">
            <w:pPr>
              <w:rPr>
                <w:color w:val="000000"/>
                <w:sz w:val="20"/>
                <w:szCs w:val="20"/>
              </w:rPr>
            </w:pPr>
            <w:r>
              <w:rPr>
                <w:color w:val="000000"/>
                <w:sz w:val="20"/>
                <w:szCs w:val="20"/>
              </w:rPr>
              <w:t> </w:t>
            </w:r>
          </w:p>
        </w:tc>
      </w:tr>
      <w:tr w:rsidR="004B3179" w14:paraId="65AF46A2" w14:textId="77777777">
        <w:tc>
          <w:tcPr>
            <w:tcW w:w="2500" w:type="pct"/>
            <w:tcMar>
              <w:top w:w="5" w:type="dxa"/>
              <w:left w:w="5" w:type="dxa"/>
              <w:bottom w:w="5" w:type="dxa"/>
              <w:right w:w="5" w:type="dxa"/>
            </w:tcMar>
            <w:hideMark/>
          </w:tcPr>
          <w:p w14:paraId="3764796B"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2492DF48"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318C85BA" w14:textId="77777777" w:rsidR="004B3179" w:rsidRDefault="00766EB9">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6F30FBA" w14:textId="77777777" w:rsidR="004B3179" w:rsidRDefault="00766EB9">
            <w:pPr>
              <w:rPr>
                <w:color w:val="000000"/>
                <w:sz w:val="20"/>
                <w:szCs w:val="20"/>
              </w:rPr>
            </w:pPr>
            <w:r>
              <w:rPr>
                <w:color w:val="000000"/>
                <w:sz w:val="20"/>
                <w:szCs w:val="20"/>
              </w:rPr>
              <w:t> </w:t>
            </w:r>
          </w:p>
        </w:tc>
      </w:tr>
      <w:tr w:rsidR="004B3179" w14:paraId="7FF65EB4" w14:textId="77777777">
        <w:tc>
          <w:tcPr>
            <w:tcW w:w="2500" w:type="pct"/>
            <w:tcMar>
              <w:top w:w="5" w:type="dxa"/>
              <w:left w:w="5" w:type="dxa"/>
              <w:bottom w:w="5" w:type="dxa"/>
              <w:right w:w="5" w:type="dxa"/>
            </w:tcMar>
            <w:hideMark/>
          </w:tcPr>
          <w:p w14:paraId="10359CA1"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73C695EA"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24723283" w14:textId="77777777" w:rsidR="004B3179" w:rsidRDefault="00766EB9">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4C0892D9" w14:textId="77777777" w:rsidR="004B3179" w:rsidRDefault="00766EB9">
            <w:pPr>
              <w:rPr>
                <w:color w:val="000000"/>
                <w:sz w:val="20"/>
                <w:szCs w:val="20"/>
              </w:rPr>
            </w:pPr>
            <w:r>
              <w:rPr>
                <w:color w:val="000000"/>
                <w:sz w:val="20"/>
                <w:szCs w:val="20"/>
              </w:rPr>
              <w:t> </w:t>
            </w:r>
          </w:p>
        </w:tc>
      </w:tr>
      <w:tr w:rsidR="004B3179" w14:paraId="006CB9F7" w14:textId="77777777">
        <w:tc>
          <w:tcPr>
            <w:tcW w:w="2500" w:type="pct"/>
            <w:tcMar>
              <w:top w:w="5" w:type="dxa"/>
              <w:left w:w="5" w:type="dxa"/>
              <w:bottom w:w="5" w:type="dxa"/>
              <w:right w:w="5" w:type="dxa"/>
            </w:tcMar>
            <w:hideMark/>
          </w:tcPr>
          <w:p w14:paraId="299C115C"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52B489"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76E4DBDC"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44D37CEF" w14:textId="77777777" w:rsidR="004B3179" w:rsidRDefault="00766EB9">
            <w:pPr>
              <w:rPr>
                <w:color w:val="000000"/>
                <w:sz w:val="20"/>
                <w:szCs w:val="20"/>
              </w:rPr>
            </w:pPr>
            <w:r>
              <w:rPr>
                <w:color w:val="000000"/>
                <w:sz w:val="20"/>
                <w:szCs w:val="20"/>
              </w:rPr>
              <w:t> </w:t>
            </w:r>
          </w:p>
        </w:tc>
      </w:tr>
    </w:tbl>
    <w:p w14:paraId="64272CC9" w14:textId="77777777" w:rsidR="002A38D3" w:rsidRDefault="002A38D3" w:rsidP="00CE3919">
      <w:pPr>
        <w:ind w:left="144" w:right="144"/>
        <w:rPr>
          <w:sz w:val="20"/>
          <w:szCs w:val="20"/>
        </w:rPr>
        <w:sectPr w:rsidR="002A38D3">
          <w:pgSz w:w="12240" w:h="15840"/>
          <w:pgMar w:top="576" w:right="720" w:bottom="576" w:left="720" w:header="144" w:footer="432" w:gutter="0"/>
          <w:cols w:space="720"/>
        </w:sectPr>
      </w:pPr>
    </w:p>
    <w:p w14:paraId="19C91524" w14:textId="1C5520D5" w:rsidR="002A38D3" w:rsidRPr="002A38D3" w:rsidRDefault="002A38D3" w:rsidP="002A38D3">
      <w:pPr>
        <w:widowControl w:val="0"/>
        <w:autoSpaceDE w:val="0"/>
        <w:autoSpaceDN w:val="0"/>
        <w:adjustRightInd w:val="0"/>
        <w:jc w:val="center"/>
        <w:rPr>
          <w:b/>
          <w:bCs/>
          <w:color w:val="FF0000"/>
          <w:sz w:val="32"/>
          <w:szCs w:val="32"/>
        </w:rPr>
      </w:pPr>
      <w:r w:rsidRPr="002A38D3">
        <w:rPr>
          <w:noProof/>
          <w:sz w:val="20"/>
          <w:szCs w:val="20"/>
        </w:rPr>
        <w:lastRenderedPageBreak/>
        <mc:AlternateContent>
          <mc:Choice Requires="wps">
            <w:drawing>
              <wp:anchor distT="45720" distB="45720" distL="114300" distR="114300" simplePos="0" relativeHeight="251659264" behindDoc="1" locked="0" layoutInCell="1" allowOverlap="1" wp14:anchorId="2EDFB3BC" wp14:editId="0FF2DDD9">
                <wp:simplePos x="0" y="0"/>
                <wp:positionH relativeFrom="column">
                  <wp:posOffset>5130165</wp:posOffset>
                </wp:positionH>
                <wp:positionV relativeFrom="paragraph">
                  <wp:posOffset>-275590</wp:posOffset>
                </wp:positionV>
                <wp:extent cx="109537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4620"/>
                        </a:xfrm>
                        <a:prstGeom prst="rect">
                          <a:avLst/>
                        </a:prstGeom>
                        <a:solidFill>
                          <a:srgbClr val="FFFFFF"/>
                        </a:solidFill>
                        <a:ln w="9525">
                          <a:noFill/>
                          <a:miter lim="800000"/>
                          <a:headEnd/>
                          <a:tailEnd/>
                        </a:ln>
                      </wps:spPr>
                      <wps:txbx>
                        <w:txbxContent>
                          <w:p w14:paraId="43EF82E7" w14:textId="162CB11B" w:rsidR="002A38D3" w:rsidRPr="002A38D3" w:rsidRDefault="002A38D3" w:rsidP="002A38D3">
                            <w:pPr>
                              <w:rPr>
                                <w:b/>
                                <w:bCs/>
                              </w:rPr>
                            </w:pPr>
                            <w:r w:rsidRPr="002A38D3">
                              <w:rPr>
                                <w:b/>
                                <w:bCs/>
                              </w:rPr>
                              <w:t>Exhibit 99.</w:t>
                            </w:r>
                            <w:r w:rsidRPr="002A38D3">
                              <w:rPr>
                                <w:b/>
                                <w:bCs/>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DFB3BC" id="_x0000_t202" coordsize="21600,21600" o:spt="202" path="m,l,21600r21600,l21600,xe">
                <v:stroke joinstyle="miter"/>
                <v:path gradientshapeok="t" o:connecttype="rect"/>
              </v:shapetype>
              <v:shape id="Text Box 2" o:spid="_x0000_s1026" type="#_x0000_t202" style="position:absolute;left:0;text-align:left;margin-left:403.95pt;margin-top:-21.7pt;width:86.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lN/IQIAAB4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" stroked="f">
                <v:textbox style="mso-fit-shape-to-text:t">
                  <w:txbxContent>
                    <w:p w14:paraId="43EF82E7" w14:textId="162CB11B" w:rsidR="002A38D3" w:rsidRPr="002A38D3" w:rsidRDefault="002A38D3" w:rsidP="002A38D3">
                      <w:pPr>
                        <w:rPr>
                          <w:b/>
                          <w:bCs/>
                        </w:rPr>
                      </w:pPr>
                      <w:r w:rsidRPr="002A38D3">
                        <w:rPr>
                          <w:b/>
                          <w:bCs/>
                        </w:rPr>
                        <w:t>Exhibit 99.</w:t>
                      </w:r>
                      <w:r w:rsidRPr="002A38D3">
                        <w:rPr>
                          <w:b/>
                          <w:bCs/>
                        </w:rPr>
                        <w:t>1</w:t>
                      </w:r>
                    </w:p>
                  </w:txbxContent>
                </v:textbox>
              </v:shape>
            </w:pict>
          </mc:Fallback>
        </mc:AlternateContent>
      </w:r>
    </w:p>
    <w:p w14:paraId="523CB5E2" w14:textId="77777777" w:rsidR="002A38D3" w:rsidRPr="002A38D3" w:rsidRDefault="002A38D3" w:rsidP="002A38D3">
      <w:pPr>
        <w:widowControl w:val="0"/>
        <w:autoSpaceDE w:val="0"/>
        <w:autoSpaceDN w:val="0"/>
        <w:adjustRightInd w:val="0"/>
        <w:jc w:val="center"/>
        <w:rPr>
          <w:b/>
          <w:bCs/>
          <w:sz w:val="32"/>
          <w:szCs w:val="32"/>
        </w:rPr>
      </w:pPr>
      <w:r w:rsidRPr="002A38D3">
        <w:rPr>
          <w:b/>
          <w:bCs/>
          <w:sz w:val="32"/>
          <w:szCs w:val="32"/>
        </w:rPr>
        <w:t>GeoVax Reports 2020 Year-End Financial Results</w:t>
      </w:r>
    </w:p>
    <w:p w14:paraId="7E1A7497" w14:textId="7D9D7316" w:rsidR="002A38D3" w:rsidRPr="002A38D3" w:rsidRDefault="002A38D3" w:rsidP="002A38D3">
      <w:pPr>
        <w:widowControl w:val="0"/>
        <w:autoSpaceDE w:val="0"/>
        <w:autoSpaceDN w:val="0"/>
        <w:adjustRightInd w:val="0"/>
        <w:jc w:val="center"/>
        <w:rPr>
          <w:b/>
          <w:bCs/>
          <w:sz w:val="32"/>
          <w:szCs w:val="32"/>
        </w:rPr>
      </w:pPr>
      <w:r w:rsidRPr="002A38D3">
        <w:rPr>
          <w:b/>
          <w:bCs/>
          <w:sz w:val="32"/>
          <w:szCs w:val="32"/>
        </w:rPr>
        <w:t>And Provides Corporate Update</w:t>
      </w:r>
      <w:r w:rsidRPr="002A38D3">
        <w:rPr>
          <w:noProof/>
          <w:sz w:val="20"/>
          <w:szCs w:val="20"/>
        </w:rPr>
        <w:t xml:space="preserve"> </w:t>
      </w:r>
    </w:p>
    <w:p w14:paraId="57F7CEB9" w14:textId="77777777" w:rsidR="002A38D3" w:rsidRPr="002A38D3" w:rsidRDefault="002A38D3" w:rsidP="002A38D3">
      <w:pPr>
        <w:widowControl w:val="0"/>
        <w:autoSpaceDE w:val="0"/>
        <w:autoSpaceDN w:val="0"/>
        <w:adjustRightInd w:val="0"/>
        <w:rPr>
          <w:bCs/>
          <w:sz w:val="22"/>
          <w:szCs w:val="22"/>
        </w:rPr>
      </w:pPr>
    </w:p>
    <w:p w14:paraId="58C27170" w14:textId="77777777" w:rsidR="002A38D3" w:rsidRPr="002A38D3" w:rsidRDefault="002A38D3" w:rsidP="002A38D3">
      <w:pPr>
        <w:widowControl w:val="0"/>
        <w:autoSpaceDE w:val="0"/>
        <w:autoSpaceDN w:val="0"/>
        <w:adjustRightInd w:val="0"/>
        <w:jc w:val="center"/>
        <w:rPr>
          <w:b/>
          <w:i/>
          <w:iCs/>
        </w:rPr>
      </w:pPr>
      <w:r w:rsidRPr="002A38D3">
        <w:rPr>
          <w:b/>
          <w:i/>
          <w:iCs/>
        </w:rPr>
        <w:t>COVID-19 Vaccine Designed as Single-Dose Against Multiple Strains</w:t>
      </w:r>
    </w:p>
    <w:p w14:paraId="3686B48C" w14:textId="77777777" w:rsidR="002A38D3" w:rsidRPr="002A38D3" w:rsidRDefault="002A38D3" w:rsidP="002A38D3">
      <w:pPr>
        <w:widowControl w:val="0"/>
        <w:autoSpaceDE w:val="0"/>
        <w:autoSpaceDN w:val="0"/>
        <w:adjustRightInd w:val="0"/>
        <w:jc w:val="center"/>
        <w:rPr>
          <w:b/>
          <w:i/>
          <w:iCs/>
        </w:rPr>
      </w:pPr>
      <w:r w:rsidRPr="002A38D3">
        <w:rPr>
          <w:b/>
          <w:i/>
          <w:iCs/>
        </w:rPr>
        <w:t>Immuno-Oncology Programs Advancing</w:t>
      </w:r>
    </w:p>
    <w:p w14:paraId="68C9370C" w14:textId="77777777" w:rsidR="002A38D3" w:rsidRPr="002A38D3" w:rsidRDefault="002A38D3" w:rsidP="002A38D3">
      <w:pPr>
        <w:widowControl w:val="0"/>
        <w:autoSpaceDE w:val="0"/>
        <w:autoSpaceDN w:val="0"/>
        <w:adjustRightInd w:val="0"/>
        <w:rPr>
          <w:bCs/>
          <w:sz w:val="22"/>
          <w:szCs w:val="22"/>
        </w:rPr>
      </w:pPr>
    </w:p>
    <w:p w14:paraId="0A51BF8C" w14:textId="77777777" w:rsidR="002A38D3" w:rsidRPr="002A38D3" w:rsidRDefault="002A38D3" w:rsidP="002A38D3">
      <w:pPr>
        <w:widowControl w:val="0"/>
        <w:autoSpaceDE w:val="0"/>
        <w:autoSpaceDN w:val="0"/>
        <w:adjustRightInd w:val="0"/>
        <w:spacing w:after="120"/>
        <w:jc w:val="both"/>
        <w:rPr>
          <w:sz w:val="22"/>
          <w:szCs w:val="22"/>
        </w:rPr>
      </w:pPr>
      <w:r w:rsidRPr="002A38D3">
        <w:rPr>
          <w:b/>
          <w:sz w:val="22"/>
          <w:szCs w:val="22"/>
        </w:rPr>
        <w:t>ATLANTA, GA, March 23, 2021</w:t>
      </w:r>
      <w:r w:rsidRPr="002A38D3">
        <w:rPr>
          <w:bCs/>
          <w:sz w:val="22"/>
          <w:szCs w:val="22"/>
        </w:rPr>
        <w:t xml:space="preserve"> –</w:t>
      </w:r>
      <w:r w:rsidRPr="002A38D3">
        <w:rPr>
          <w:sz w:val="22"/>
          <w:szCs w:val="22"/>
        </w:rPr>
        <w:t xml:space="preserve"> GeoVax Labs, Inc. (</w:t>
      </w:r>
      <w:proofErr w:type="spellStart"/>
      <w:r w:rsidRPr="002A38D3">
        <w:rPr>
          <w:sz w:val="22"/>
          <w:szCs w:val="22"/>
        </w:rPr>
        <w:t>NasdaqCM</w:t>
      </w:r>
      <w:proofErr w:type="spellEnd"/>
      <w:r w:rsidRPr="002A38D3">
        <w:rPr>
          <w:sz w:val="22"/>
          <w:szCs w:val="22"/>
        </w:rPr>
        <w:t>: GOVX), a biotechnology company developing immunotherapies and vaccines against infectious diseases and cancer, today announced its financial results for the year ended December 31, 2020.</w:t>
      </w:r>
    </w:p>
    <w:p w14:paraId="7D2E1ED2" w14:textId="77777777" w:rsidR="002A38D3" w:rsidRPr="002A38D3" w:rsidRDefault="002A38D3" w:rsidP="002A38D3">
      <w:pPr>
        <w:widowControl w:val="0"/>
        <w:autoSpaceDE w:val="0"/>
        <w:autoSpaceDN w:val="0"/>
        <w:adjustRightInd w:val="0"/>
        <w:spacing w:after="120"/>
        <w:jc w:val="both"/>
        <w:rPr>
          <w:sz w:val="22"/>
          <w:szCs w:val="22"/>
        </w:rPr>
      </w:pPr>
      <w:proofErr w:type="spellStart"/>
      <w:r w:rsidRPr="002A38D3">
        <w:rPr>
          <w:sz w:val="22"/>
          <w:szCs w:val="22"/>
        </w:rPr>
        <w:t>GeoVax’s</w:t>
      </w:r>
      <w:proofErr w:type="spellEnd"/>
      <w:r w:rsidRPr="002A38D3">
        <w:rPr>
          <w:sz w:val="22"/>
          <w:szCs w:val="22"/>
        </w:rPr>
        <w:t xml:space="preserve"> management will host a live conference call and webcast at 8:00 a.m. Eastern Standard Time on Wednesday, March 24 to discuss financial results and provide a general business update. Details are provided further below.</w:t>
      </w:r>
    </w:p>
    <w:p w14:paraId="6D614AA2" w14:textId="77777777" w:rsidR="002A38D3" w:rsidRPr="002A38D3" w:rsidRDefault="002A38D3" w:rsidP="002A38D3">
      <w:pPr>
        <w:widowControl w:val="0"/>
        <w:autoSpaceDE w:val="0"/>
        <w:autoSpaceDN w:val="0"/>
        <w:adjustRightInd w:val="0"/>
        <w:spacing w:after="120"/>
        <w:jc w:val="center"/>
        <w:rPr>
          <w:b/>
          <w:bCs/>
          <w:sz w:val="22"/>
          <w:szCs w:val="22"/>
        </w:rPr>
      </w:pPr>
      <w:r w:rsidRPr="002A38D3">
        <w:rPr>
          <w:b/>
          <w:bCs/>
          <w:sz w:val="22"/>
          <w:szCs w:val="22"/>
        </w:rPr>
        <w:t>GeoVax Program Updates and Other Highlights</w:t>
      </w:r>
    </w:p>
    <w:p w14:paraId="48791BDE" w14:textId="77777777" w:rsidR="002A38D3" w:rsidRPr="002A38D3" w:rsidRDefault="002A38D3" w:rsidP="002A38D3">
      <w:pPr>
        <w:widowControl w:val="0"/>
        <w:autoSpaceDE w:val="0"/>
        <w:autoSpaceDN w:val="0"/>
        <w:adjustRightInd w:val="0"/>
        <w:spacing w:after="120"/>
        <w:jc w:val="both"/>
        <w:rPr>
          <w:sz w:val="22"/>
          <w:szCs w:val="22"/>
        </w:rPr>
      </w:pPr>
      <w:r w:rsidRPr="002A38D3">
        <w:rPr>
          <w:b/>
          <w:bCs/>
          <w:sz w:val="22"/>
          <w:szCs w:val="22"/>
          <w:u w:val="single"/>
        </w:rPr>
        <w:t>COVID-19 Vaccine</w:t>
      </w:r>
      <w:r w:rsidRPr="002A38D3">
        <w:rPr>
          <w:b/>
          <w:bCs/>
          <w:sz w:val="22"/>
          <w:szCs w:val="22"/>
        </w:rPr>
        <w:t xml:space="preserve"> </w:t>
      </w:r>
      <w:r w:rsidRPr="002A38D3">
        <w:rPr>
          <w:sz w:val="22"/>
          <w:szCs w:val="22"/>
        </w:rPr>
        <w:t>– Our SARS-CoV-2 (COVID-19) vaccine is based on our GV-MVA-VLP</w:t>
      </w:r>
      <w:r w:rsidRPr="002A38D3">
        <w:rPr>
          <w:sz w:val="22"/>
          <w:szCs w:val="22"/>
          <w:vertAlign w:val="superscript"/>
        </w:rPr>
        <w:t xml:space="preserve">TM </w:t>
      </w:r>
      <w:r w:rsidRPr="002A38D3">
        <w:rPr>
          <w:sz w:val="22"/>
          <w:szCs w:val="22"/>
        </w:rPr>
        <w:t>technology, which enables insertion of multiple antigen fragments, potentially allowing for broad-spectrum virus prevention. Unlike certain competitor vaccines that target only the COVID-19 spike protein, our vaccines are designed to provoke a response to multiple COVID-19 antigens, which means our vaccines could be less susceptible to viral mutations. Our vaccines are intended to be used as either a primary vaccine or to boost other COVID-19 vaccines as part of vaccination strategies to provide immunity to a range of SARS-CoV-2 variants.</w:t>
      </w:r>
    </w:p>
    <w:p w14:paraId="692EE698" w14:textId="77777777" w:rsidR="002A38D3" w:rsidRPr="002A38D3" w:rsidRDefault="002A38D3" w:rsidP="002A38D3">
      <w:pPr>
        <w:widowControl w:val="0"/>
        <w:autoSpaceDE w:val="0"/>
        <w:autoSpaceDN w:val="0"/>
        <w:adjustRightInd w:val="0"/>
        <w:spacing w:after="120"/>
        <w:jc w:val="both"/>
        <w:rPr>
          <w:sz w:val="22"/>
          <w:szCs w:val="22"/>
        </w:rPr>
      </w:pPr>
      <w:r w:rsidRPr="002A38D3">
        <w:rPr>
          <w:sz w:val="22"/>
          <w:szCs w:val="22"/>
        </w:rPr>
        <w:t xml:space="preserve">In January 2021, the </w:t>
      </w:r>
      <w:r w:rsidRPr="002A38D3">
        <w:rPr>
          <w:bCs/>
          <w:color w:val="000000"/>
          <w:sz w:val="22"/>
          <w:szCs w:val="22"/>
        </w:rPr>
        <w:t xml:space="preserve">National Institute of </w:t>
      </w:r>
      <w:proofErr w:type="gramStart"/>
      <w:r w:rsidRPr="002A38D3">
        <w:rPr>
          <w:bCs/>
          <w:color w:val="000000"/>
          <w:sz w:val="22"/>
          <w:szCs w:val="22"/>
        </w:rPr>
        <w:t>Allergy</w:t>
      </w:r>
      <w:proofErr w:type="gramEnd"/>
      <w:r w:rsidRPr="002A38D3">
        <w:rPr>
          <w:bCs/>
          <w:color w:val="000000"/>
          <w:sz w:val="22"/>
          <w:szCs w:val="22"/>
        </w:rPr>
        <w:t xml:space="preserve"> and Infectious Diseases (NIAID), part of the National Institutes of Health (NIH), </w:t>
      </w:r>
      <w:r w:rsidRPr="002A38D3">
        <w:rPr>
          <w:sz w:val="22"/>
          <w:szCs w:val="22"/>
        </w:rPr>
        <w:t xml:space="preserve">awarded GeoVax a Small Business Innovative Research (SBIR) grant in support of our development of a COVID-19 vaccine.  </w:t>
      </w:r>
      <w:r w:rsidRPr="002A38D3">
        <w:rPr>
          <w:sz w:val="22"/>
          <w:szCs w:val="22"/>
          <w:lang w:val="en-GB"/>
        </w:rPr>
        <w:t>The Phase 1 grant, titled, “</w:t>
      </w:r>
      <w:r w:rsidRPr="002A38D3">
        <w:rPr>
          <w:i/>
          <w:sz w:val="22"/>
          <w:szCs w:val="22"/>
        </w:rPr>
        <w:t>Preclinical Development of GV-MVA-VLP Vaccines Against COVID-19,</w:t>
      </w:r>
      <w:r w:rsidRPr="002A38D3">
        <w:rPr>
          <w:sz w:val="22"/>
          <w:szCs w:val="22"/>
          <w:lang w:val="en-GB"/>
        </w:rPr>
        <w:t xml:space="preserve">” will support the ongoing design, </w:t>
      </w:r>
      <w:proofErr w:type="gramStart"/>
      <w:r w:rsidRPr="002A38D3">
        <w:rPr>
          <w:sz w:val="22"/>
          <w:szCs w:val="22"/>
          <w:lang w:val="en-GB"/>
        </w:rPr>
        <w:t>construction</w:t>
      </w:r>
      <w:proofErr w:type="gramEnd"/>
      <w:r w:rsidRPr="002A38D3">
        <w:rPr>
          <w:sz w:val="22"/>
          <w:szCs w:val="22"/>
          <w:lang w:val="en-GB"/>
        </w:rPr>
        <w:t xml:space="preserve"> and preclinical </w:t>
      </w:r>
      <w:r w:rsidRPr="002A38D3">
        <w:rPr>
          <w:sz w:val="22"/>
          <w:szCs w:val="22"/>
        </w:rPr>
        <w:t>testing of our vaccine candidates in preparation for human clinical trials.</w:t>
      </w:r>
    </w:p>
    <w:p w14:paraId="475131FB" w14:textId="77777777" w:rsidR="002A38D3" w:rsidRPr="002A38D3" w:rsidRDefault="002A38D3" w:rsidP="002A38D3">
      <w:pPr>
        <w:widowControl w:val="0"/>
        <w:autoSpaceDE w:val="0"/>
        <w:autoSpaceDN w:val="0"/>
        <w:adjustRightInd w:val="0"/>
        <w:spacing w:after="120"/>
        <w:jc w:val="both"/>
        <w:rPr>
          <w:sz w:val="22"/>
          <w:szCs w:val="22"/>
        </w:rPr>
      </w:pPr>
      <w:r w:rsidRPr="002A38D3">
        <w:rPr>
          <w:b/>
          <w:bCs/>
          <w:sz w:val="22"/>
          <w:szCs w:val="22"/>
          <w:u w:val="single"/>
        </w:rPr>
        <w:t>Immuno-Oncology Program</w:t>
      </w:r>
      <w:r w:rsidRPr="002A38D3">
        <w:rPr>
          <w:sz w:val="22"/>
          <w:szCs w:val="22"/>
        </w:rPr>
        <w:t xml:space="preserve"> – Our cancer immunotherapy program is based on the concept of combining a tumor-associated antigen vaccine with a potent anti-tumor agent, such as an Immune Checkpoint Inhibitor (“ICI”), with the goal of achieving regression of tumor growth and development.  The initial animal studies, based upon a GeoVax-MUC1 vaccine/ICI combination, have been encouraging.  In February 2021, we filed a U.S. patent application, covering updates to our MVA viral vector technology to amplify an immune response to a cancer antigen via vaccination, which could strengthen our intellectual property position in this space. Following our recent fund-raising activities, immuno-oncology is an important focus area for the </w:t>
      </w:r>
      <w:proofErr w:type="gramStart"/>
      <w:r w:rsidRPr="002A38D3">
        <w:rPr>
          <w:sz w:val="22"/>
          <w:szCs w:val="22"/>
        </w:rPr>
        <w:t>Company</w:t>
      </w:r>
      <w:proofErr w:type="gramEnd"/>
      <w:r w:rsidRPr="002A38D3">
        <w:rPr>
          <w:sz w:val="22"/>
          <w:szCs w:val="22"/>
        </w:rPr>
        <w:t xml:space="preserve"> and we are engaging with multiple collaborators. We expect to provide further details on our progress and plans to advance to human clinical testing </w:t>
      </w:r>
      <w:proofErr w:type="gramStart"/>
      <w:r w:rsidRPr="002A38D3">
        <w:rPr>
          <w:sz w:val="22"/>
          <w:szCs w:val="22"/>
        </w:rPr>
        <w:t>in the near future</w:t>
      </w:r>
      <w:proofErr w:type="gramEnd"/>
      <w:r w:rsidRPr="002A38D3">
        <w:rPr>
          <w:sz w:val="22"/>
          <w:szCs w:val="22"/>
        </w:rPr>
        <w:t>.</w:t>
      </w:r>
    </w:p>
    <w:p w14:paraId="10F73F15" w14:textId="77777777" w:rsidR="002A38D3" w:rsidRPr="002A38D3" w:rsidRDefault="002A38D3" w:rsidP="002A38D3">
      <w:pPr>
        <w:widowControl w:val="0"/>
        <w:autoSpaceDE w:val="0"/>
        <w:autoSpaceDN w:val="0"/>
        <w:adjustRightInd w:val="0"/>
        <w:spacing w:after="120"/>
        <w:jc w:val="both"/>
        <w:rPr>
          <w:sz w:val="22"/>
          <w:szCs w:val="22"/>
        </w:rPr>
      </w:pPr>
      <w:r w:rsidRPr="002A38D3">
        <w:rPr>
          <w:b/>
          <w:bCs/>
          <w:sz w:val="22"/>
          <w:szCs w:val="22"/>
          <w:u w:val="single"/>
        </w:rPr>
        <w:t>Hemorrhagic Fever Vaccine Programs</w:t>
      </w:r>
    </w:p>
    <w:p w14:paraId="783BB462" w14:textId="77777777" w:rsidR="002A38D3" w:rsidRPr="002A38D3" w:rsidRDefault="002A38D3" w:rsidP="002A38D3">
      <w:pPr>
        <w:widowControl w:val="0"/>
        <w:numPr>
          <w:ilvl w:val="0"/>
          <w:numId w:val="4"/>
        </w:numPr>
        <w:autoSpaceDE w:val="0"/>
        <w:autoSpaceDN w:val="0"/>
        <w:adjustRightInd w:val="0"/>
        <w:spacing w:after="120"/>
        <w:ind w:left="360"/>
        <w:jc w:val="both"/>
        <w:rPr>
          <w:sz w:val="22"/>
          <w:szCs w:val="22"/>
        </w:rPr>
      </w:pPr>
      <w:r w:rsidRPr="002A38D3">
        <w:rPr>
          <w:b/>
          <w:bCs/>
          <w:sz w:val="22"/>
          <w:szCs w:val="22"/>
          <w:u w:val="single"/>
        </w:rPr>
        <w:t>Lassa Fever</w:t>
      </w:r>
      <w:r w:rsidRPr="002A38D3">
        <w:rPr>
          <w:sz w:val="22"/>
          <w:szCs w:val="22"/>
        </w:rPr>
        <w:t xml:space="preserve"> – We continue to progress with grant funding from the U.S. Department of Defense for our Lassa Fever (LASV) vaccine program. The project award supports generation of immunogenicity and efficacy data for our vaccine candidate in both rodent and nonhuman primate models, as well as manufacturing process development and cGMP production of vaccine seed stock in preparation for human clinical trials. This work is in collaboration with U.S. Army Medical Research Institute of Infectious Diseases (USAMRIID) and the Geneva Foundation.  We expect to announce results from this work during the first half of 2021.</w:t>
      </w:r>
    </w:p>
    <w:p w14:paraId="258416CE" w14:textId="77777777" w:rsidR="002A38D3" w:rsidRPr="002A38D3" w:rsidRDefault="002A38D3" w:rsidP="002A38D3">
      <w:pPr>
        <w:widowControl w:val="0"/>
        <w:numPr>
          <w:ilvl w:val="0"/>
          <w:numId w:val="4"/>
        </w:numPr>
        <w:autoSpaceDE w:val="0"/>
        <w:autoSpaceDN w:val="0"/>
        <w:adjustRightInd w:val="0"/>
        <w:spacing w:after="120"/>
        <w:ind w:left="360"/>
        <w:jc w:val="both"/>
        <w:rPr>
          <w:sz w:val="22"/>
          <w:szCs w:val="22"/>
        </w:rPr>
      </w:pPr>
      <w:r w:rsidRPr="002A38D3">
        <w:rPr>
          <w:b/>
          <w:sz w:val="22"/>
          <w:szCs w:val="22"/>
          <w:u w:val="single"/>
        </w:rPr>
        <w:t>Sudan ebolavirus and Marburg virus</w:t>
      </w:r>
      <w:r w:rsidRPr="002A38D3">
        <w:rPr>
          <w:bCs/>
          <w:sz w:val="22"/>
          <w:szCs w:val="22"/>
        </w:rPr>
        <w:t xml:space="preserve"> – In August 2020, we announced a multi-party collaboration for the development of our Sudan ebolavirus (SUDV) and Marburg virus (MARV) vaccine candidates. The collaboration between GeoVax, researchers at the University of Texas Medical Branch (UTMB), and Battelle Memorial Institute is utilizing the suite of preclinical services from NIAID. Under the </w:t>
      </w:r>
      <w:r w:rsidRPr="002A38D3">
        <w:rPr>
          <w:bCs/>
          <w:sz w:val="22"/>
          <w:szCs w:val="22"/>
        </w:rPr>
        <w:lastRenderedPageBreak/>
        <w:t xml:space="preserve">collaboration, </w:t>
      </w:r>
      <w:proofErr w:type="spellStart"/>
      <w:r w:rsidRPr="002A38D3">
        <w:rPr>
          <w:bCs/>
          <w:sz w:val="22"/>
          <w:szCs w:val="22"/>
        </w:rPr>
        <w:t>GeoVax’s</w:t>
      </w:r>
      <w:proofErr w:type="spellEnd"/>
      <w:r w:rsidRPr="002A38D3">
        <w:rPr>
          <w:bCs/>
          <w:sz w:val="22"/>
          <w:szCs w:val="22"/>
        </w:rPr>
        <w:t xml:space="preserve"> SUDV and MARV vaccine candidates are being tested for immunogenicity and efficacy in the benchmark nonhuman primate model.  This work builds upon</w:t>
      </w:r>
      <w:r w:rsidRPr="002A38D3">
        <w:rPr>
          <w:sz w:val="20"/>
          <w:szCs w:val="20"/>
        </w:rPr>
        <w:t xml:space="preserve"> </w:t>
      </w:r>
      <w:r w:rsidRPr="002A38D3">
        <w:rPr>
          <w:bCs/>
          <w:sz w:val="22"/>
          <w:szCs w:val="22"/>
        </w:rPr>
        <w:t>earlier studies in rodents and nonhuman primates for our Ebola virus (EBOV) vaccine candidate that demonstrated 100% protection against a lethal dose of EBOV upon a single immunization.  We expect to announce results from this work during the first half of 2021.</w:t>
      </w:r>
    </w:p>
    <w:p w14:paraId="576B9269" w14:textId="77777777" w:rsidR="002A38D3" w:rsidRPr="002A38D3" w:rsidRDefault="002A38D3" w:rsidP="002A38D3">
      <w:pPr>
        <w:widowControl w:val="0"/>
        <w:autoSpaceDE w:val="0"/>
        <w:autoSpaceDN w:val="0"/>
        <w:adjustRightInd w:val="0"/>
        <w:spacing w:after="120"/>
        <w:jc w:val="both"/>
        <w:rPr>
          <w:sz w:val="22"/>
          <w:szCs w:val="22"/>
        </w:rPr>
      </w:pPr>
      <w:r w:rsidRPr="002A38D3">
        <w:rPr>
          <w:b/>
          <w:bCs/>
          <w:sz w:val="22"/>
          <w:szCs w:val="22"/>
          <w:u w:val="single"/>
        </w:rPr>
        <w:t>Malaria Vaccine</w:t>
      </w:r>
      <w:r w:rsidRPr="002A38D3">
        <w:rPr>
          <w:sz w:val="22"/>
          <w:szCs w:val="22"/>
        </w:rPr>
        <w:t xml:space="preserve"> – We continue to collaborate separately with Leidos, Inc. and the Burnet Institute in development of malaria vaccine candidates using our GV-MVA-VLP</w:t>
      </w:r>
      <w:r w:rsidRPr="002A38D3">
        <w:rPr>
          <w:sz w:val="22"/>
          <w:szCs w:val="22"/>
          <w:vertAlign w:val="superscript"/>
        </w:rPr>
        <w:t xml:space="preserve">TM </w:t>
      </w:r>
      <w:r w:rsidRPr="002A38D3">
        <w:rPr>
          <w:sz w:val="22"/>
          <w:szCs w:val="22"/>
        </w:rPr>
        <w:t>vaccine platform. The collaboration with Leidos has been funded by a grant to Leidos from the United States Agency for International Development (USAID) Malaria Vaccine Development Program (MVDP).  Several vaccine candidates have recently entered initial animal testing with results expected during the first half of 2021.</w:t>
      </w:r>
    </w:p>
    <w:p w14:paraId="54DC9B1D" w14:textId="77777777" w:rsidR="002A38D3" w:rsidRPr="002A38D3" w:rsidRDefault="002A38D3" w:rsidP="002A38D3">
      <w:pPr>
        <w:widowControl w:val="0"/>
        <w:autoSpaceDE w:val="0"/>
        <w:autoSpaceDN w:val="0"/>
        <w:adjustRightInd w:val="0"/>
        <w:spacing w:after="120"/>
        <w:jc w:val="both"/>
        <w:rPr>
          <w:sz w:val="22"/>
          <w:szCs w:val="22"/>
        </w:rPr>
      </w:pPr>
      <w:r w:rsidRPr="002A38D3">
        <w:rPr>
          <w:b/>
          <w:bCs/>
          <w:sz w:val="22"/>
          <w:szCs w:val="22"/>
          <w:u w:val="single"/>
        </w:rPr>
        <w:t>HIV Vaccine Programs</w:t>
      </w:r>
    </w:p>
    <w:p w14:paraId="2E3780A0" w14:textId="77777777" w:rsidR="002A38D3" w:rsidRPr="002A38D3" w:rsidRDefault="002A38D3" w:rsidP="002A38D3">
      <w:pPr>
        <w:widowControl w:val="0"/>
        <w:numPr>
          <w:ilvl w:val="0"/>
          <w:numId w:val="3"/>
        </w:numPr>
        <w:autoSpaceDE w:val="0"/>
        <w:autoSpaceDN w:val="0"/>
        <w:adjustRightInd w:val="0"/>
        <w:spacing w:after="120"/>
        <w:ind w:left="360"/>
        <w:jc w:val="both"/>
        <w:rPr>
          <w:sz w:val="22"/>
          <w:szCs w:val="22"/>
        </w:rPr>
      </w:pPr>
      <w:r w:rsidRPr="002A38D3">
        <w:rPr>
          <w:b/>
          <w:bCs/>
          <w:sz w:val="22"/>
          <w:szCs w:val="22"/>
          <w:u w:val="single"/>
        </w:rPr>
        <w:t>HIV Preventive Vaccine</w:t>
      </w:r>
      <w:r w:rsidRPr="002A38D3">
        <w:rPr>
          <w:sz w:val="22"/>
          <w:szCs w:val="22"/>
        </w:rPr>
        <w:t xml:space="preserve"> – </w:t>
      </w:r>
      <w:r w:rsidRPr="002A38D3">
        <w:rPr>
          <w:bCs/>
          <w:color w:val="000000"/>
          <w:sz w:val="22"/>
          <w:szCs w:val="22"/>
        </w:rPr>
        <w:t xml:space="preserve">NIAID </w:t>
      </w:r>
      <w:r w:rsidRPr="002A38D3">
        <w:rPr>
          <w:sz w:val="22"/>
          <w:szCs w:val="22"/>
        </w:rPr>
        <w:t xml:space="preserve">is funding a clinical trial that includes our HIV preventive vaccine (GOVX-B11) through the HIV Vaccine Trials Network (HVTN).  The next trial (HVTN 132) has been delayed due to COVID-19, but we expect it to begin in late 2021.  HVTN 132 will further evaluate the safety and immunogenicity of adding “protein boost” components to the GOVX-B11 vaccination regimen. </w:t>
      </w:r>
    </w:p>
    <w:p w14:paraId="224E52D8" w14:textId="77777777" w:rsidR="002A38D3" w:rsidRPr="002A38D3" w:rsidRDefault="002A38D3" w:rsidP="002A38D3">
      <w:pPr>
        <w:widowControl w:val="0"/>
        <w:numPr>
          <w:ilvl w:val="0"/>
          <w:numId w:val="3"/>
        </w:numPr>
        <w:autoSpaceDE w:val="0"/>
        <w:autoSpaceDN w:val="0"/>
        <w:adjustRightInd w:val="0"/>
        <w:spacing w:after="120"/>
        <w:ind w:left="360"/>
        <w:jc w:val="both"/>
        <w:rPr>
          <w:sz w:val="22"/>
          <w:szCs w:val="22"/>
        </w:rPr>
      </w:pPr>
      <w:r w:rsidRPr="002A38D3">
        <w:rPr>
          <w:b/>
          <w:bCs/>
          <w:sz w:val="22"/>
          <w:szCs w:val="22"/>
          <w:u w:val="single"/>
        </w:rPr>
        <w:t>HIV Immunotherapy</w:t>
      </w:r>
      <w:r w:rsidRPr="002A38D3">
        <w:rPr>
          <w:sz w:val="22"/>
          <w:szCs w:val="22"/>
        </w:rPr>
        <w:t xml:space="preserve"> – We are part of two separate efforts to develop a combination therapy to induce remission in HIV-positive individuals (a “functional cure”). In August 2020, a consortium led by researchers at the University of California, San Francisco (UCSF), began enrolling patients in a Phase 1 human clinical trial using our vaccine as part of a combination therapy intended to induce remission in HIV-positive individuals. In September 2020, American Gene Technologies International, Inc. (AGT) began enrolling patients in a Phase 1 clinical trial evaluating its gene therapy technology in this area; we expect our vaccine to be added to an arm of the AGT trial during 2021. </w:t>
      </w:r>
    </w:p>
    <w:p w14:paraId="31CCDE58" w14:textId="77777777" w:rsidR="002A38D3" w:rsidRPr="002A38D3" w:rsidRDefault="002A38D3" w:rsidP="002A38D3">
      <w:pPr>
        <w:widowControl w:val="0"/>
        <w:autoSpaceDE w:val="0"/>
        <w:autoSpaceDN w:val="0"/>
        <w:adjustRightInd w:val="0"/>
        <w:spacing w:after="120"/>
        <w:jc w:val="both"/>
        <w:rPr>
          <w:sz w:val="22"/>
          <w:szCs w:val="22"/>
        </w:rPr>
      </w:pPr>
      <w:r w:rsidRPr="002A38D3">
        <w:rPr>
          <w:b/>
          <w:bCs/>
          <w:sz w:val="22"/>
          <w:szCs w:val="22"/>
          <w:u w:val="single"/>
        </w:rPr>
        <w:t>Licenses and Intellectual Property</w:t>
      </w:r>
    </w:p>
    <w:p w14:paraId="1B7AA073" w14:textId="77777777" w:rsidR="002A38D3" w:rsidRPr="002A38D3" w:rsidRDefault="002A38D3" w:rsidP="002A38D3">
      <w:pPr>
        <w:widowControl w:val="0"/>
        <w:autoSpaceDE w:val="0"/>
        <w:autoSpaceDN w:val="0"/>
        <w:adjustRightInd w:val="0"/>
        <w:spacing w:after="120"/>
        <w:jc w:val="both"/>
        <w:rPr>
          <w:bCs/>
          <w:sz w:val="22"/>
          <w:szCs w:val="22"/>
        </w:rPr>
      </w:pPr>
      <w:r w:rsidRPr="002A38D3">
        <w:rPr>
          <w:sz w:val="22"/>
          <w:szCs w:val="22"/>
        </w:rPr>
        <w:t xml:space="preserve">In October 2020, we </w:t>
      </w:r>
      <w:r w:rsidRPr="002A38D3">
        <w:rPr>
          <w:bCs/>
          <w:sz w:val="22"/>
          <w:szCs w:val="22"/>
        </w:rPr>
        <w:t xml:space="preserve">signed a license agreement with NIAID allowing us to use the materials and patent rights owned by agencies of the United States Department of Health and Human Services (HHS) in combination with our proprietary technology for the creation of a preventive vaccine that primes and/or boosts the immune system against COVID-19. The agreement provides GeoVax with nonexclusive rights to develop, manufacture and commercialize our COVID-19 vaccine. </w:t>
      </w:r>
    </w:p>
    <w:p w14:paraId="4A6A2462" w14:textId="77777777" w:rsidR="002A38D3" w:rsidRPr="002A38D3" w:rsidRDefault="002A38D3" w:rsidP="002A38D3">
      <w:pPr>
        <w:widowControl w:val="0"/>
        <w:autoSpaceDE w:val="0"/>
        <w:autoSpaceDN w:val="0"/>
        <w:adjustRightInd w:val="0"/>
        <w:spacing w:after="120"/>
        <w:jc w:val="both"/>
        <w:rPr>
          <w:bCs/>
          <w:sz w:val="22"/>
          <w:szCs w:val="22"/>
        </w:rPr>
      </w:pPr>
      <w:r w:rsidRPr="002A38D3">
        <w:rPr>
          <w:bCs/>
          <w:sz w:val="22"/>
          <w:szCs w:val="22"/>
        </w:rPr>
        <w:t>In November 2020, we signed another license agreement with NIAID in support of our non-clinical development of preventive and/or therapeutic vaccines against numerous pathogens including Ebola-Zaire, Ebola-Sudan, Lassa virus, Marburg virus, Zika virus and malaria. The agreement also extends to our research and development efforts in certain oncology areas.</w:t>
      </w:r>
    </w:p>
    <w:p w14:paraId="65029DD0" w14:textId="77777777" w:rsidR="002A38D3" w:rsidRPr="002A38D3" w:rsidRDefault="002A38D3" w:rsidP="002A38D3">
      <w:pPr>
        <w:widowControl w:val="0"/>
        <w:autoSpaceDE w:val="0"/>
        <w:autoSpaceDN w:val="0"/>
        <w:adjustRightInd w:val="0"/>
        <w:spacing w:after="120"/>
        <w:jc w:val="both"/>
        <w:rPr>
          <w:bCs/>
          <w:sz w:val="22"/>
          <w:szCs w:val="22"/>
        </w:rPr>
      </w:pPr>
      <w:r w:rsidRPr="002A38D3">
        <w:rPr>
          <w:bCs/>
          <w:sz w:val="22"/>
          <w:szCs w:val="22"/>
        </w:rPr>
        <w:t>In February 2021, we filed international and U.S. patent applications in our key focus areas of SARS-CoV-2 (COVID-19) and cancer immunotherapy.  Following these filings, our wholly owned, co-owned, and in-licensed intellectual property portfolio now stands at over 70 granted or pending patent applications spread over 20 patent families.</w:t>
      </w:r>
    </w:p>
    <w:p w14:paraId="306D2914" w14:textId="77777777" w:rsidR="002A38D3" w:rsidRPr="002A38D3" w:rsidRDefault="002A38D3" w:rsidP="002A38D3">
      <w:pPr>
        <w:widowControl w:val="0"/>
        <w:autoSpaceDE w:val="0"/>
        <w:autoSpaceDN w:val="0"/>
        <w:adjustRightInd w:val="0"/>
        <w:spacing w:after="120"/>
        <w:jc w:val="both"/>
        <w:rPr>
          <w:sz w:val="22"/>
          <w:szCs w:val="22"/>
        </w:rPr>
      </w:pPr>
      <w:r w:rsidRPr="002A38D3">
        <w:rPr>
          <w:b/>
          <w:bCs/>
          <w:sz w:val="22"/>
          <w:szCs w:val="22"/>
          <w:u w:val="single"/>
        </w:rPr>
        <w:t>Capital Resources</w:t>
      </w:r>
    </w:p>
    <w:p w14:paraId="66CDA90C" w14:textId="77777777" w:rsidR="002A38D3" w:rsidRPr="002A38D3" w:rsidRDefault="002A38D3" w:rsidP="002A38D3">
      <w:pPr>
        <w:widowControl w:val="0"/>
        <w:autoSpaceDE w:val="0"/>
        <w:autoSpaceDN w:val="0"/>
        <w:adjustRightInd w:val="0"/>
        <w:spacing w:after="120"/>
        <w:jc w:val="both"/>
        <w:rPr>
          <w:sz w:val="22"/>
          <w:szCs w:val="22"/>
        </w:rPr>
      </w:pPr>
      <w:r w:rsidRPr="002A38D3">
        <w:rPr>
          <w:sz w:val="22"/>
          <w:szCs w:val="22"/>
        </w:rPr>
        <w:t xml:space="preserve">In September 2020, we completed a public offering of our common stock (GOVX) and publicly traded warrants (GOVXW) with net proceeds of $11.2 million.  Our cash balance </w:t>
      </w:r>
      <w:proofErr w:type="gramStart"/>
      <w:r w:rsidRPr="002A38D3">
        <w:rPr>
          <w:sz w:val="22"/>
          <w:szCs w:val="22"/>
        </w:rPr>
        <w:t>at</w:t>
      </w:r>
      <w:proofErr w:type="gramEnd"/>
      <w:r w:rsidRPr="002A38D3">
        <w:rPr>
          <w:sz w:val="22"/>
          <w:szCs w:val="22"/>
        </w:rPr>
        <w:t xml:space="preserve"> December 31, 2020 was $9.9 million at December 31, 2020, as compared to $283,341 at the end of 2019.  </w:t>
      </w:r>
    </w:p>
    <w:p w14:paraId="7ADB27D1" w14:textId="77777777" w:rsidR="002A38D3" w:rsidRPr="002A38D3" w:rsidRDefault="002A38D3" w:rsidP="002A38D3">
      <w:pPr>
        <w:widowControl w:val="0"/>
        <w:autoSpaceDE w:val="0"/>
        <w:autoSpaceDN w:val="0"/>
        <w:adjustRightInd w:val="0"/>
        <w:spacing w:after="120"/>
        <w:jc w:val="both"/>
        <w:rPr>
          <w:sz w:val="22"/>
          <w:szCs w:val="22"/>
        </w:rPr>
      </w:pPr>
      <w:bookmarkStart w:id="0" w:name="_Hlk65750001"/>
      <w:r w:rsidRPr="002A38D3">
        <w:rPr>
          <w:sz w:val="22"/>
          <w:szCs w:val="22"/>
        </w:rPr>
        <w:t xml:space="preserve">During the first quarter of 2021, we further supplemented our cash resources with net proceeds of $9.4 million from a follow-on offering of our common stock, and $3.2 million from the exercise of outstanding warrants. </w:t>
      </w:r>
      <w:bookmarkEnd w:id="0"/>
      <w:r w:rsidRPr="002A38D3">
        <w:rPr>
          <w:sz w:val="22"/>
          <w:szCs w:val="22"/>
        </w:rPr>
        <w:t xml:space="preserve">We therefore expect to report total cash balances </w:t>
      </w:r>
      <w:proofErr w:type="gramStart"/>
      <w:r w:rsidRPr="002A38D3">
        <w:rPr>
          <w:sz w:val="22"/>
          <w:szCs w:val="22"/>
        </w:rPr>
        <w:t>in excess of</w:t>
      </w:r>
      <w:proofErr w:type="gramEnd"/>
      <w:r w:rsidRPr="002A38D3">
        <w:rPr>
          <w:sz w:val="22"/>
          <w:szCs w:val="22"/>
        </w:rPr>
        <w:t xml:space="preserve"> $20 million at the end of the first quarter of 2021.</w:t>
      </w:r>
    </w:p>
    <w:p w14:paraId="449383CC" w14:textId="77777777" w:rsidR="002A38D3" w:rsidRPr="002A38D3" w:rsidRDefault="002A38D3" w:rsidP="002A38D3">
      <w:pPr>
        <w:widowControl w:val="0"/>
        <w:autoSpaceDE w:val="0"/>
        <w:autoSpaceDN w:val="0"/>
        <w:adjustRightInd w:val="0"/>
        <w:spacing w:after="120"/>
        <w:jc w:val="center"/>
        <w:rPr>
          <w:b/>
          <w:bCs/>
          <w:sz w:val="22"/>
          <w:szCs w:val="22"/>
        </w:rPr>
      </w:pPr>
      <w:r w:rsidRPr="002A38D3">
        <w:rPr>
          <w:b/>
          <w:bCs/>
          <w:sz w:val="22"/>
          <w:szCs w:val="22"/>
        </w:rPr>
        <w:t>Management Commentary</w:t>
      </w:r>
    </w:p>
    <w:p w14:paraId="6A340126" w14:textId="77777777" w:rsidR="002A38D3" w:rsidRPr="002A38D3" w:rsidRDefault="002A38D3" w:rsidP="002A38D3">
      <w:pPr>
        <w:widowControl w:val="0"/>
        <w:autoSpaceDE w:val="0"/>
        <w:autoSpaceDN w:val="0"/>
        <w:adjustRightInd w:val="0"/>
        <w:spacing w:after="120"/>
        <w:jc w:val="both"/>
        <w:rPr>
          <w:sz w:val="22"/>
          <w:szCs w:val="22"/>
        </w:rPr>
      </w:pPr>
      <w:r w:rsidRPr="002A38D3">
        <w:rPr>
          <w:sz w:val="22"/>
          <w:szCs w:val="22"/>
        </w:rPr>
        <w:t xml:space="preserve">David Dodd, </w:t>
      </w:r>
      <w:proofErr w:type="spellStart"/>
      <w:r w:rsidRPr="002A38D3">
        <w:rPr>
          <w:sz w:val="22"/>
          <w:szCs w:val="22"/>
        </w:rPr>
        <w:t>GeoVax’s</w:t>
      </w:r>
      <w:proofErr w:type="spellEnd"/>
      <w:r w:rsidRPr="002A38D3">
        <w:rPr>
          <w:sz w:val="22"/>
          <w:szCs w:val="22"/>
        </w:rPr>
        <w:t xml:space="preserve"> Chairman &amp; CEO, commented, “</w:t>
      </w:r>
      <w:bookmarkStart w:id="1" w:name="_Hlk65674894"/>
      <w:r w:rsidRPr="002A38D3">
        <w:rPr>
          <w:sz w:val="22"/>
          <w:szCs w:val="22"/>
        </w:rPr>
        <w:t xml:space="preserve">With the funding from our September offering and subsequent financing in early 2021, we are well-positioned to advance several of our development programs, </w:t>
      </w:r>
      <w:r w:rsidRPr="002A38D3">
        <w:rPr>
          <w:sz w:val="22"/>
          <w:szCs w:val="22"/>
        </w:rPr>
        <w:lastRenderedPageBreak/>
        <w:t xml:space="preserve">with a continued focus on our COVID-19 vaccine and our cancer immunotherapy programs. As mentioned in this release, we expect several data announcements during the first half of this year, and I look forward to sharing news of our progress as those events occur.” </w:t>
      </w:r>
      <w:bookmarkEnd w:id="1"/>
    </w:p>
    <w:p w14:paraId="681CF90D" w14:textId="77777777" w:rsidR="002A38D3" w:rsidRPr="002A38D3" w:rsidRDefault="002A38D3" w:rsidP="002A38D3">
      <w:pPr>
        <w:widowControl w:val="0"/>
        <w:autoSpaceDE w:val="0"/>
        <w:autoSpaceDN w:val="0"/>
        <w:adjustRightInd w:val="0"/>
        <w:spacing w:after="120"/>
        <w:jc w:val="center"/>
        <w:rPr>
          <w:b/>
          <w:bCs/>
          <w:sz w:val="22"/>
          <w:szCs w:val="22"/>
        </w:rPr>
      </w:pPr>
      <w:r w:rsidRPr="002A38D3">
        <w:rPr>
          <w:b/>
          <w:bCs/>
          <w:sz w:val="22"/>
          <w:szCs w:val="22"/>
        </w:rPr>
        <w:t>Financial Review</w:t>
      </w:r>
    </w:p>
    <w:p w14:paraId="3A8B574B" w14:textId="77777777" w:rsidR="002A38D3" w:rsidRPr="002A38D3" w:rsidRDefault="002A38D3" w:rsidP="002A38D3">
      <w:pPr>
        <w:widowControl w:val="0"/>
        <w:autoSpaceDE w:val="0"/>
        <w:autoSpaceDN w:val="0"/>
        <w:adjustRightInd w:val="0"/>
        <w:spacing w:after="120"/>
        <w:jc w:val="both"/>
        <w:rPr>
          <w:sz w:val="22"/>
          <w:szCs w:val="22"/>
        </w:rPr>
      </w:pPr>
      <w:r w:rsidRPr="002A38D3">
        <w:rPr>
          <w:sz w:val="22"/>
          <w:szCs w:val="22"/>
        </w:rPr>
        <w:t xml:space="preserve">GeoVax reported a net loss for the year ended December 31, 2020 of $3.0 million, as compared to $2.4 million for the year ended December 31, 2019. </w:t>
      </w:r>
    </w:p>
    <w:p w14:paraId="0EA09D7C" w14:textId="77777777" w:rsidR="002A38D3" w:rsidRPr="002A38D3" w:rsidRDefault="002A38D3" w:rsidP="002A38D3">
      <w:pPr>
        <w:widowControl w:val="0"/>
        <w:autoSpaceDE w:val="0"/>
        <w:autoSpaceDN w:val="0"/>
        <w:adjustRightInd w:val="0"/>
        <w:spacing w:after="120"/>
        <w:jc w:val="both"/>
        <w:rPr>
          <w:sz w:val="22"/>
          <w:szCs w:val="22"/>
        </w:rPr>
      </w:pPr>
      <w:r w:rsidRPr="002A38D3">
        <w:rPr>
          <w:sz w:val="22"/>
          <w:szCs w:val="22"/>
        </w:rPr>
        <w:t>Grant and collaboration revenues were $</w:t>
      </w:r>
      <w:bookmarkStart w:id="2" w:name="_Hlk65596827"/>
      <w:r w:rsidRPr="002A38D3">
        <w:rPr>
          <w:sz w:val="22"/>
          <w:szCs w:val="22"/>
        </w:rPr>
        <w:t xml:space="preserve">1.8 million for 2020, as compared to $1.2 million in 2019. </w:t>
      </w:r>
      <w:bookmarkEnd w:id="2"/>
      <w:r w:rsidRPr="002A38D3">
        <w:rPr>
          <w:sz w:val="22"/>
          <w:szCs w:val="22"/>
        </w:rPr>
        <w:t xml:space="preserve">These amounts primarily relate to </w:t>
      </w:r>
      <w:proofErr w:type="spellStart"/>
      <w:r w:rsidRPr="002A38D3">
        <w:rPr>
          <w:sz w:val="22"/>
          <w:szCs w:val="22"/>
        </w:rPr>
        <w:t>GeoVax’s</w:t>
      </w:r>
      <w:proofErr w:type="spellEnd"/>
      <w:r w:rsidRPr="002A38D3">
        <w:rPr>
          <w:sz w:val="22"/>
          <w:szCs w:val="22"/>
        </w:rPr>
        <w:t xml:space="preserve"> grant from the U.S. Department of Defense (DoD) for our Lassa Fever vaccine and our collaboration with Leidos, Inc. for its malaria vaccine program. As of December 31, 2020, there were $165,500 of approved funds remaining and available for use related to </w:t>
      </w:r>
      <w:proofErr w:type="spellStart"/>
      <w:r w:rsidRPr="002A38D3">
        <w:rPr>
          <w:sz w:val="22"/>
          <w:szCs w:val="22"/>
        </w:rPr>
        <w:t>GeoVax’s</w:t>
      </w:r>
      <w:proofErr w:type="spellEnd"/>
      <w:r w:rsidRPr="002A38D3">
        <w:rPr>
          <w:sz w:val="22"/>
          <w:szCs w:val="22"/>
        </w:rPr>
        <w:t xml:space="preserve"> grant from the DoD.</w:t>
      </w:r>
      <w:r w:rsidRPr="002A38D3">
        <w:rPr>
          <w:sz w:val="20"/>
          <w:szCs w:val="20"/>
        </w:rPr>
        <w:t xml:space="preserve"> </w:t>
      </w:r>
      <w:r w:rsidRPr="002A38D3">
        <w:rPr>
          <w:sz w:val="22"/>
          <w:szCs w:val="22"/>
        </w:rPr>
        <w:t xml:space="preserve">In January 2021, NIAID awarded a $299,927 SBIR grant to the Company in support of its COVID-19 vaccine program which </w:t>
      </w:r>
      <w:r w:rsidRPr="002A38D3">
        <w:rPr>
          <w:sz w:val="22"/>
          <w:szCs w:val="22"/>
          <w:lang w:val="en-GB"/>
        </w:rPr>
        <w:t xml:space="preserve">will support the ongoing design, </w:t>
      </w:r>
      <w:proofErr w:type="gramStart"/>
      <w:r w:rsidRPr="002A38D3">
        <w:rPr>
          <w:sz w:val="22"/>
          <w:szCs w:val="22"/>
          <w:lang w:val="en-GB"/>
        </w:rPr>
        <w:t>construction</w:t>
      </w:r>
      <w:proofErr w:type="gramEnd"/>
      <w:r w:rsidRPr="002A38D3">
        <w:rPr>
          <w:sz w:val="22"/>
          <w:szCs w:val="22"/>
          <w:lang w:val="en-GB"/>
        </w:rPr>
        <w:t xml:space="preserve"> and preclinical </w:t>
      </w:r>
      <w:r w:rsidRPr="002A38D3">
        <w:rPr>
          <w:sz w:val="22"/>
          <w:szCs w:val="22"/>
        </w:rPr>
        <w:t>testing of vaccine candidates in preparation for human clinical trials.</w:t>
      </w:r>
    </w:p>
    <w:p w14:paraId="42C64B3B" w14:textId="77777777" w:rsidR="002A38D3" w:rsidRPr="002A38D3" w:rsidRDefault="002A38D3" w:rsidP="002A38D3">
      <w:pPr>
        <w:widowControl w:val="0"/>
        <w:autoSpaceDE w:val="0"/>
        <w:autoSpaceDN w:val="0"/>
        <w:adjustRightInd w:val="0"/>
        <w:spacing w:after="120"/>
        <w:jc w:val="both"/>
        <w:rPr>
          <w:sz w:val="22"/>
          <w:szCs w:val="22"/>
        </w:rPr>
      </w:pPr>
      <w:r w:rsidRPr="002A38D3">
        <w:rPr>
          <w:sz w:val="22"/>
          <w:szCs w:val="22"/>
        </w:rPr>
        <w:t xml:space="preserve">Research and development expenses were $2.4 million for 2020, as compared to $1.9 million in 2019. General and administrative expenses were $2.2 million for 2020, as compared to $1.6 million in 2019. Fluctuations in R&amp;D expenses from period to period are primarily attributable to the timing of expenditures related to the DoD grant.  Other income (expense) was ($141,253) for 2020, as compared to $1,864 in 2019, with 2020 including $138,851 of interest expense and amortized debt discount related to convertible debentures that were retired during the year. </w:t>
      </w:r>
    </w:p>
    <w:p w14:paraId="4C40DE37" w14:textId="77777777" w:rsidR="002A38D3" w:rsidRPr="002A38D3" w:rsidRDefault="002A38D3" w:rsidP="002A38D3">
      <w:pPr>
        <w:widowControl w:val="0"/>
        <w:autoSpaceDE w:val="0"/>
        <w:autoSpaceDN w:val="0"/>
        <w:adjustRightInd w:val="0"/>
        <w:spacing w:after="120"/>
        <w:jc w:val="both"/>
        <w:rPr>
          <w:sz w:val="22"/>
          <w:szCs w:val="22"/>
        </w:rPr>
      </w:pPr>
      <w:r w:rsidRPr="002A38D3">
        <w:rPr>
          <w:sz w:val="22"/>
          <w:szCs w:val="22"/>
        </w:rPr>
        <w:t xml:space="preserve">GeoVax reported cash balances of $9.9 million </w:t>
      </w:r>
      <w:proofErr w:type="gramStart"/>
      <w:r w:rsidRPr="002A38D3">
        <w:rPr>
          <w:sz w:val="22"/>
          <w:szCs w:val="22"/>
        </w:rPr>
        <w:t>at</w:t>
      </w:r>
      <w:proofErr w:type="gramEnd"/>
      <w:r w:rsidRPr="002A38D3">
        <w:rPr>
          <w:sz w:val="22"/>
          <w:szCs w:val="22"/>
        </w:rPr>
        <w:t xml:space="preserve"> December 31, 2020, as compared to $283,341 at December 31, 2019.  Contributing to the increase in cash balances were the sale of convertible preferred stock in January 2020 for proceeds of $300,000, the issuance of a note payable in April 2020 for proceeds of $170,200, the sale of convertible debentures in June 2020 for net proceeds of $888,500, and net proceeds of approximately $11.2 million from the September 2020 offering. In connection with the September offering, approximately $1.2 million of convertible debentures and accrued interest were converted into the Company’s equity securities.  Additionally, $1.5 million of accumulated amounts owed to the Company’s current and former executive officers and directors were converted to equity under terms substantially the same as those offered to the public. During the first quarter of 2021, the Company further supplemented its cash resources with net proceeds of $9.4 million from a follow-on offering of its common stock, and $3.2 million from the exercise of outstanding warrants.</w:t>
      </w:r>
    </w:p>
    <w:p w14:paraId="6F99BE44" w14:textId="77777777" w:rsidR="002A38D3" w:rsidRPr="002A38D3" w:rsidRDefault="002A38D3" w:rsidP="002A38D3">
      <w:pPr>
        <w:widowControl w:val="0"/>
        <w:autoSpaceDE w:val="0"/>
        <w:autoSpaceDN w:val="0"/>
        <w:adjustRightInd w:val="0"/>
        <w:spacing w:after="120"/>
        <w:jc w:val="both"/>
        <w:rPr>
          <w:sz w:val="22"/>
          <w:szCs w:val="22"/>
        </w:rPr>
      </w:pPr>
      <w:r w:rsidRPr="002A38D3">
        <w:rPr>
          <w:sz w:val="22"/>
          <w:szCs w:val="22"/>
        </w:rPr>
        <w:t>Summarized financial information is attached. Further information concerning the Company’s financial position and results of operations are included in its Annual Report on Form 10-K filed with the Securities and Exchange Commission.</w:t>
      </w:r>
    </w:p>
    <w:p w14:paraId="7825322F" w14:textId="77777777" w:rsidR="002A38D3" w:rsidRPr="002A38D3" w:rsidRDefault="002A38D3" w:rsidP="002A38D3">
      <w:pPr>
        <w:widowControl w:val="0"/>
        <w:autoSpaceDE w:val="0"/>
        <w:autoSpaceDN w:val="0"/>
        <w:adjustRightInd w:val="0"/>
        <w:spacing w:after="120"/>
        <w:jc w:val="center"/>
        <w:rPr>
          <w:b/>
          <w:bCs/>
          <w:sz w:val="22"/>
          <w:szCs w:val="22"/>
        </w:rPr>
      </w:pPr>
      <w:r w:rsidRPr="002A38D3">
        <w:rPr>
          <w:b/>
          <w:bCs/>
          <w:sz w:val="22"/>
          <w:szCs w:val="22"/>
        </w:rPr>
        <w:t>Conference Call</w:t>
      </w:r>
    </w:p>
    <w:p w14:paraId="46031C1A" w14:textId="77777777" w:rsidR="002A38D3" w:rsidRPr="002A38D3" w:rsidRDefault="002A38D3" w:rsidP="002A38D3">
      <w:pPr>
        <w:widowControl w:val="0"/>
        <w:autoSpaceDE w:val="0"/>
        <w:autoSpaceDN w:val="0"/>
        <w:adjustRightInd w:val="0"/>
        <w:spacing w:after="120"/>
        <w:jc w:val="both"/>
        <w:rPr>
          <w:sz w:val="22"/>
          <w:szCs w:val="22"/>
        </w:rPr>
      </w:pPr>
      <w:r w:rsidRPr="002A38D3">
        <w:rPr>
          <w:sz w:val="22"/>
          <w:szCs w:val="22"/>
        </w:rPr>
        <w:t xml:space="preserve">Management will host a conference call at 8:00 a.m. ET on Wednesday, March 24, 2021 to review financial results and provide an update on corporate developments.  Following management’s formal remarks, there will be a </w:t>
      </w:r>
      <w:proofErr w:type="gramStart"/>
      <w:r w:rsidRPr="002A38D3">
        <w:rPr>
          <w:sz w:val="22"/>
          <w:szCs w:val="22"/>
        </w:rPr>
        <w:t>question and answer</w:t>
      </w:r>
      <w:proofErr w:type="gramEnd"/>
      <w:r w:rsidRPr="002A38D3">
        <w:rPr>
          <w:sz w:val="22"/>
          <w:szCs w:val="22"/>
        </w:rPr>
        <w:t xml:space="preserve"> session.</w:t>
      </w:r>
    </w:p>
    <w:p w14:paraId="0059E1FF" w14:textId="77777777" w:rsidR="002A38D3" w:rsidRPr="002A38D3" w:rsidRDefault="002A38D3" w:rsidP="002A38D3">
      <w:pPr>
        <w:widowControl w:val="0"/>
        <w:autoSpaceDE w:val="0"/>
        <w:autoSpaceDN w:val="0"/>
        <w:adjustRightInd w:val="0"/>
        <w:spacing w:after="120"/>
        <w:rPr>
          <w:sz w:val="22"/>
          <w:szCs w:val="22"/>
        </w:rPr>
      </w:pPr>
      <w:r w:rsidRPr="002A38D3">
        <w:rPr>
          <w:sz w:val="22"/>
          <w:szCs w:val="22"/>
        </w:rPr>
        <w:t xml:space="preserve">Participants are asked to pre-register for the call via the following link: </w:t>
      </w:r>
      <w:hyperlink r:id="rId5" w:history="1">
        <w:r w:rsidRPr="002A38D3">
          <w:rPr>
            <w:color w:val="0000FF"/>
            <w:sz w:val="22"/>
            <w:szCs w:val="22"/>
            <w:u w:val="single"/>
          </w:rPr>
          <w:t>https://dpregister.com/sreg/10152894/e3a3a9bd2c</w:t>
        </w:r>
      </w:hyperlink>
    </w:p>
    <w:p w14:paraId="133FB13B" w14:textId="77777777" w:rsidR="002A38D3" w:rsidRPr="002A38D3" w:rsidRDefault="002A38D3" w:rsidP="002A38D3">
      <w:pPr>
        <w:widowControl w:val="0"/>
        <w:autoSpaceDE w:val="0"/>
        <w:autoSpaceDN w:val="0"/>
        <w:adjustRightInd w:val="0"/>
        <w:spacing w:after="120"/>
        <w:jc w:val="both"/>
        <w:rPr>
          <w:bCs/>
          <w:sz w:val="22"/>
          <w:szCs w:val="22"/>
        </w:rPr>
      </w:pPr>
      <w:r w:rsidRPr="002A38D3">
        <w:rPr>
          <w:bCs/>
          <w:sz w:val="22"/>
          <w:szCs w:val="22"/>
        </w:rPr>
        <w:t xml:space="preserve">Please note that registered participants will receive their dial-in number upon registration and will dial directly into the call without delay.  Those without Internet access or who are unable to pre-register may dial in by calling 1-866-777-2509 (domestic) or 1-412-317-5413 (international).  All callers should dial in approximately 10 minutes prior to the scheduled start time and ask to be joined into the GeoVax Labs call. </w:t>
      </w:r>
    </w:p>
    <w:p w14:paraId="0D7EE3C1" w14:textId="77777777" w:rsidR="002A38D3" w:rsidRPr="002A38D3" w:rsidRDefault="002A38D3" w:rsidP="002A38D3">
      <w:pPr>
        <w:widowControl w:val="0"/>
        <w:autoSpaceDE w:val="0"/>
        <w:autoSpaceDN w:val="0"/>
        <w:adjustRightInd w:val="0"/>
        <w:jc w:val="both"/>
        <w:rPr>
          <w:bCs/>
          <w:sz w:val="22"/>
          <w:szCs w:val="22"/>
        </w:rPr>
      </w:pPr>
      <w:r w:rsidRPr="002A38D3">
        <w:rPr>
          <w:bCs/>
          <w:sz w:val="22"/>
          <w:szCs w:val="22"/>
        </w:rPr>
        <w:t>The conference call will be available through a live webcast found here:</w:t>
      </w:r>
    </w:p>
    <w:p w14:paraId="57F41140" w14:textId="77777777" w:rsidR="002A38D3" w:rsidRPr="002A38D3" w:rsidRDefault="002A38D3" w:rsidP="002A38D3">
      <w:pPr>
        <w:widowControl w:val="0"/>
        <w:autoSpaceDE w:val="0"/>
        <w:autoSpaceDN w:val="0"/>
        <w:adjustRightInd w:val="0"/>
        <w:spacing w:after="120"/>
        <w:jc w:val="both"/>
        <w:rPr>
          <w:bCs/>
          <w:sz w:val="22"/>
          <w:szCs w:val="22"/>
        </w:rPr>
      </w:pPr>
      <w:hyperlink r:id="rId6" w:tgtFrame="_blank" w:history="1">
        <w:r w:rsidRPr="002A38D3">
          <w:rPr>
            <w:color w:val="0000FF"/>
            <w:sz w:val="22"/>
            <w:szCs w:val="22"/>
            <w:u w:val="single"/>
          </w:rPr>
          <w:t>https://services.choruscall.com/links/govx210324.html</w:t>
        </w:r>
      </w:hyperlink>
    </w:p>
    <w:p w14:paraId="4946A1BE" w14:textId="77777777" w:rsidR="002A38D3" w:rsidRPr="002A38D3" w:rsidRDefault="002A38D3" w:rsidP="002A38D3">
      <w:pPr>
        <w:widowControl w:val="0"/>
        <w:autoSpaceDE w:val="0"/>
        <w:autoSpaceDN w:val="0"/>
        <w:adjustRightInd w:val="0"/>
        <w:spacing w:after="120"/>
        <w:jc w:val="both"/>
        <w:rPr>
          <w:sz w:val="22"/>
          <w:szCs w:val="22"/>
        </w:rPr>
      </w:pPr>
      <w:r w:rsidRPr="002A38D3">
        <w:rPr>
          <w:sz w:val="22"/>
          <w:szCs w:val="22"/>
        </w:rPr>
        <w:t xml:space="preserve">A webcast replay of the call will be available approximately one hour after the end of the call through June 24, 2021.  The webcast replay can be accessed through the above links or by calling 1-877-344-7529 (domestic) </w:t>
      </w:r>
      <w:r w:rsidRPr="002A38D3">
        <w:rPr>
          <w:sz w:val="22"/>
          <w:szCs w:val="22"/>
        </w:rPr>
        <w:lastRenderedPageBreak/>
        <w:t>or 1-412-317-0088 (international) and using access code 10149661. A telephonic replay of the call can be accessed by calling 1-877-344-7529 and will be available until April 7, 2021.</w:t>
      </w:r>
    </w:p>
    <w:p w14:paraId="35B7CBBE" w14:textId="77777777" w:rsidR="002A38D3" w:rsidRPr="002A38D3" w:rsidRDefault="002A38D3" w:rsidP="002A38D3">
      <w:pPr>
        <w:widowControl w:val="0"/>
        <w:shd w:val="clear" w:color="auto" w:fill="FFFFFF"/>
        <w:autoSpaceDE w:val="0"/>
        <w:autoSpaceDN w:val="0"/>
        <w:adjustRightInd w:val="0"/>
        <w:spacing w:after="120"/>
        <w:jc w:val="both"/>
        <w:rPr>
          <w:b/>
          <w:bCs/>
          <w:sz w:val="22"/>
          <w:szCs w:val="22"/>
        </w:rPr>
      </w:pPr>
      <w:r w:rsidRPr="002A38D3">
        <w:rPr>
          <w:b/>
          <w:bCs/>
          <w:sz w:val="22"/>
          <w:szCs w:val="22"/>
        </w:rPr>
        <w:t>About GeoVax</w:t>
      </w:r>
    </w:p>
    <w:p w14:paraId="67100A11" w14:textId="77777777" w:rsidR="002A38D3" w:rsidRPr="002A38D3" w:rsidRDefault="002A38D3" w:rsidP="002A38D3">
      <w:pPr>
        <w:widowControl w:val="0"/>
        <w:autoSpaceDE w:val="0"/>
        <w:autoSpaceDN w:val="0"/>
        <w:adjustRightInd w:val="0"/>
        <w:spacing w:after="120"/>
        <w:jc w:val="both"/>
        <w:outlineLvl w:val="0"/>
        <w:rPr>
          <w:rFonts w:eastAsia="SimSun"/>
          <w:sz w:val="22"/>
          <w:szCs w:val="22"/>
        </w:rPr>
      </w:pPr>
      <w:bookmarkStart w:id="3" w:name="_Hlk514326477"/>
      <w:r w:rsidRPr="002A38D3">
        <w:rPr>
          <w:rFonts w:eastAsia="SimSun"/>
          <w:sz w:val="22"/>
          <w:szCs w:val="22"/>
        </w:rPr>
        <w:t xml:space="preserve">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in the person receiving the vaccine. The production of VLPs in the person being vaccinated can mimic virus production in a natural infection, stimulating both the humoral and cellular arms of the immune system to recognize, prevent, and control the target infection. The MVA-VLP derived vaccines can elicit durable immune responses in the host </w:t>
      </w:r>
      <w:proofErr w:type="gramStart"/>
      <w:r w:rsidRPr="002A38D3">
        <w:rPr>
          <w:rFonts w:eastAsia="SimSun"/>
          <w:sz w:val="22"/>
          <w:szCs w:val="22"/>
        </w:rPr>
        <w:t>similar to</w:t>
      </w:r>
      <w:proofErr w:type="gramEnd"/>
      <w:r w:rsidRPr="002A38D3">
        <w:rPr>
          <w:rFonts w:eastAsia="SimSun"/>
          <w:sz w:val="22"/>
          <w:szCs w:val="22"/>
        </w:rPr>
        <w:t xml:space="preserve"> a live-attenuated virus, while providing the safety characteristics of a replication-defective vector. </w:t>
      </w:r>
    </w:p>
    <w:p w14:paraId="6D5F2A68" w14:textId="77777777" w:rsidR="002A38D3" w:rsidRPr="002A38D3" w:rsidRDefault="002A38D3" w:rsidP="002A38D3">
      <w:pPr>
        <w:widowControl w:val="0"/>
        <w:autoSpaceDE w:val="0"/>
        <w:autoSpaceDN w:val="0"/>
        <w:adjustRightInd w:val="0"/>
        <w:spacing w:after="120"/>
        <w:jc w:val="both"/>
        <w:outlineLvl w:val="0"/>
        <w:rPr>
          <w:rFonts w:eastAsia="SimSun"/>
          <w:sz w:val="22"/>
          <w:szCs w:val="22"/>
        </w:rPr>
      </w:pPr>
      <w:proofErr w:type="spellStart"/>
      <w:r w:rsidRPr="002A38D3">
        <w:rPr>
          <w:rFonts w:eastAsia="SimSun"/>
          <w:sz w:val="22"/>
          <w:szCs w:val="22"/>
        </w:rPr>
        <w:t>GeoVax’s</w:t>
      </w:r>
      <w:proofErr w:type="spellEnd"/>
      <w:r w:rsidRPr="002A38D3">
        <w:rPr>
          <w:rFonts w:eastAsia="SimSun"/>
          <w:sz w:val="22"/>
          <w:szCs w:val="22"/>
        </w:rPr>
        <w:t xml:space="preserve"> current development programs are focused on preventive vaccines against COVID-19, HIV, Zika Virus, hemorrhagic fever viruses (Ebola, Sudan, Marburg, and Lassa), and malaria, as well as therapeutic vaccines against multiple cancers. The Company has designed a preventive HIV vaccine candidate to fight against the subtype of HIV prevalent in the commercial markets of the Americas, Western Europe, Japan, and Australia; human clinical trials for this program are managed by the HIV Vaccine Trials Network (HVTN) with the support of the National Institutes of Health (NIH). </w:t>
      </w:r>
      <w:proofErr w:type="spellStart"/>
      <w:r w:rsidRPr="002A38D3">
        <w:rPr>
          <w:rFonts w:eastAsia="SimSun"/>
          <w:sz w:val="22"/>
          <w:szCs w:val="22"/>
        </w:rPr>
        <w:t>GeoVax’s</w:t>
      </w:r>
      <w:proofErr w:type="spellEnd"/>
      <w:r w:rsidRPr="002A38D3">
        <w:rPr>
          <w:rFonts w:eastAsia="SimSun"/>
          <w:sz w:val="22"/>
          <w:szCs w:val="22"/>
        </w:rPr>
        <w:t xml:space="preserve"> HIV vaccine is also part of two separate collaborative efforts to apply its innovative gene therapy approach toward a functional cure for HIV.</w:t>
      </w:r>
    </w:p>
    <w:p w14:paraId="76EAB7C3" w14:textId="77777777" w:rsidR="002A38D3" w:rsidRPr="002A38D3" w:rsidRDefault="002A38D3" w:rsidP="002A38D3">
      <w:pPr>
        <w:widowControl w:val="0"/>
        <w:autoSpaceDE w:val="0"/>
        <w:autoSpaceDN w:val="0"/>
        <w:adjustRightInd w:val="0"/>
        <w:spacing w:after="120"/>
        <w:jc w:val="both"/>
        <w:outlineLvl w:val="0"/>
        <w:rPr>
          <w:rFonts w:eastAsia="SimSun"/>
          <w:b/>
          <w:i/>
          <w:sz w:val="21"/>
          <w:szCs w:val="21"/>
        </w:rPr>
      </w:pPr>
      <w:r w:rsidRPr="002A38D3">
        <w:rPr>
          <w:rFonts w:eastAsia="SimSun"/>
          <w:b/>
          <w:i/>
          <w:sz w:val="21"/>
          <w:szCs w:val="21"/>
        </w:rPr>
        <w:t>Forward-Looking Statements</w:t>
      </w:r>
    </w:p>
    <w:bookmarkEnd w:id="3"/>
    <w:p w14:paraId="2598A7E8" w14:textId="77777777" w:rsidR="002A38D3" w:rsidRPr="002A38D3" w:rsidRDefault="002A38D3" w:rsidP="002A38D3">
      <w:pPr>
        <w:widowControl w:val="0"/>
        <w:shd w:val="clear" w:color="auto" w:fill="FFFFFF"/>
        <w:autoSpaceDE w:val="0"/>
        <w:autoSpaceDN w:val="0"/>
        <w:adjustRightInd w:val="0"/>
        <w:spacing w:after="120"/>
        <w:jc w:val="both"/>
        <w:rPr>
          <w:rFonts w:eastAsia="SimSun"/>
          <w:i/>
          <w:sz w:val="21"/>
          <w:szCs w:val="21"/>
        </w:rPr>
      </w:pPr>
      <w:r w:rsidRPr="002A38D3">
        <w:rPr>
          <w:rFonts w:eastAsia="SimSun"/>
          <w:i/>
          <w:sz w:val="21"/>
          <w:szCs w:val="21"/>
        </w:rPr>
        <w:t xml:space="preserve">This release and the related conference call contain forward-looking statements regarding </w:t>
      </w:r>
      <w:proofErr w:type="spellStart"/>
      <w:r w:rsidRPr="002A38D3">
        <w:rPr>
          <w:rFonts w:eastAsia="SimSun"/>
          <w:i/>
          <w:sz w:val="21"/>
          <w:szCs w:val="21"/>
        </w:rPr>
        <w:t>GeoVax’s</w:t>
      </w:r>
      <w:proofErr w:type="spellEnd"/>
      <w:r w:rsidRPr="002A38D3">
        <w:rPr>
          <w:rFonts w:eastAsia="SimSun"/>
          <w:i/>
          <w:sz w:val="21"/>
          <w:szCs w:val="21"/>
        </w:rPr>
        <w:t xml:space="preserve"> business plans and financial results. The words “believe,”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and its collaborators are able to complete their work within the expected timeframes, GeoVax is able to obtain the patent protection sought, </w:t>
      </w:r>
      <w:proofErr w:type="spellStart"/>
      <w:r w:rsidRPr="002A38D3">
        <w:rPr>
          <w:rFonts w:eastAsia="SimSun"/>
          <w:i/>
          <w:sz w:val="21"/>
          <w:szCs w:val="21"/>
        </w:rPr>
        <w:t>GeoVax’s</w:t>
      </w:r>
      <w:proofErr w:type="spellEnd"/>
      <w:r w:rsidRPr="002A38D3">
        <w:rPr>
          <w:rFonts w:eastAsia="SimSun"/>
          <w:i/>
          <w:sz w:val="21"/>
          <w:szCs w:val="21"/>
        </w:rPr>
        <w:t xml:space="preserve"> COVID-19 vaccines can provoke responses to multiple COVID-19 antigens, and those vaccines can be used effectively as a primary or booster to other COVID-19 vaccines, </w:t>
      </w:r>
      <w:proofErr w:type="spellStart"/>
      <w:r w:rsidRPr="002A38D3">
        <w:rPr>
          <w:rFonts w:eastAsia="SimSun"/>
          <w:i/>
          <w:sz w:val="21"/>
          <w:szCs w:val="21"/>
        </w:rPr>
        <w:t>GeoVax’s</w:t>
      </w:r>
      <w:proofErr w:type="spellEnd"/>
      <w:r w:rsidRPr="002A38D3">
        <w:rPr>
          <w:rFonts w:eastAsia="SimSun"/>
          <w:i/>
          <w:sz w:val="21"/>
          <w:szCs w:val="21"/>
        </w:rPr>
        <w:t xml:space="preserve"> viral vector technology adequately amplifies immune responses to cancer antigens, GeoVax can develop and manufacture its vaccines with the desired characteristics in a timely manner, </w:t>
      </w:r>
      <w:proofErr w:type="spellStart"/>
      <w:r w:rsidRPr="002A38D3">
        <w:rPr>
          <w:rFonts w:eastAsia="SimSun"/>
          <w:i/>
          <w:sz w:val="21"/>
          <w:szCs w:val="21"/>
        </w:rPr>
        <w:t>GeoVax’s</w:t>
      </w:r>
      <w:proofErr w:type="spellEnd"/>
      <w:r w:rsidRPr="002A38D3">
        <w:rPr>
          <w:rFonts w:eastAsia="SimSun"/>
          <w:i/>
          <w:sz w:val="21"/>
          <w:szCs w:val="21"/>
        </w:rPr>
        <w:t xml:space="preserve"> vaccines will be safe for human use, </w:t>
      </w:r>
      <w:proofErr w:type="spellStart"/>
      <w:r w:rsidRPr="002A38D3">
        <w:rPr>
          <w:rFonts w:eastAsia="SimSun"/>
          <w:i/>
          <w:sz w:val="21"/>
          <w:szCs w:val="21"/>
        </w:rPr>
        <w:t>GeoVax’s</w:t>
      </w:r>
      <w:proofErr w:type="spellEnd"/>
      <w:r w:rsidRPr="002A38D3">
        <w:rPr>
          <w:rFonts w:eastAsia="SimSun"/>
          <w:i/>
          <w:sz w:val="21"/>
          <w:szCs w:val="21"/>
        </w:rPr>
        <w:t xml:space="preserve"> vaccines will effectively prevent targeted infections in humans, </w:t>
      </w:r>
      <w:proofErr w:type="spellStart"/>
      <w:r w:rsidRPr="002A38D3">
        <w:rPr>
          <w:rFonts w:eastAsia="SimSun"/>
          <w:i/>
          <w:sz w:val="21"/>
          <w:szCs w:val="21"/>
        </w:rPr>
        <w:t>GeoVax’s</w:t>
      </w:r>
      <w:proofErr w:type="spellEnd"/>
      <w:r w:rsidRPr="002A38D3">
        <w:rPr>
          <w:rFonts w:eastAsia="SimSun"/>
          <w:i/>
          <w:sz w:val="21"/>
          <w:szCs w:val="21"/>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2A38D3">
        <w:rPr>
          <w:rFonts w:eastAsia="SimSun"/>
          <w:i/>
          <w:sz w:val="21"/>
          <w:szCs w:val="21"/>
        </w:rPr>
        <w:t>GeoVax’s</w:t>
      </w:r>
      <w:proofErr w:type="spellEnd"/>
      <w:r w:rsidRPr="002A38D3">
        <w:rPr>
          <w:rFonts w:eastAsia="SimSun"/>
          <w:i/>
          <w:sz w:val="21"/>
          <w:szCs w:val="21"/>
        </w:rPr>
        <w:t xml:space="preserve"> products, GeoVax will be able to enter into favorable manufacturing and distribution agreements, the impact of the COVID-19 pandemic continues, and other factors, over which GeoVax has no control. </w:t>
      </w:r>
    </w:p>
    <w:p w14:paraId="6C6E30B1" w14:textId="77777777" w:rsidR="002A38D3" w:rsidRPr="002A38D3" w:rsidRDefault="002A38D3" w:rsidP="002A38D3">
      <w:pPr>
        <w:widowControl w:val="0"/>
        <w:shd w:val="clear" w:color="auto" w:fill="FFFFFF"/>
        <w:autoSpaceDE w:val="0"/>
        <w:autoSpaceDN w:val="0"/>
        <w:adjustRightInd w:val="0"/>
        <w:jc w:val="both"/>
        <w:rPr>
          <w:rFonts w:eastAsia="SimSun"/>
          <w:i/>
          <w:sz w:val="21"/>
          <w:szCs w:val="21"/>
        </w:rPr>
      </w:pPr>
      <w:r w:rsidRPr="002A38D3">
        <w:rPr>
          <w:rFonts w:eastAsia="SimSun"/>
          <w:i/>
          <w:sz w:val="21"/>
          <w:szCs w:val="21"/>
        </w:rPr>
        <w:t xml:space="preserve">Further information on our risk factors is contained in our registration statement on Form S-3 and the periodic reports on Form 10-Q and Form 10-K that we have filed and will file with the SEC.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2A38D3">
        <w:rPr>
          <w:rFonts w:eastAsia="SimSun"/>
          <w:i/>
          <w:sz w:val="21"/>
          <w:szCs w:val="21"/>
        </w:rPr>
        <w:t>as a result of</w:t>
      </w:r>
      <w:proofErr w:type="gramEnd"/>
      <w:r w:rsidRPr="002A38D3">
        <w:rPr>
          <w:rFonts w:eastAsia="SimSun"/>
          <w:i/>
          <w:sz w:val="21"/>
          <w:szCs w:val="21"/>
        </w:rPr>
        <w:t xml:space="preserve"> new information, future developments or otherwise, except as may be required by law.</w:t>
      </w:r>
      <w:r w:rsidRPr="002A38D3">
        <w:rPr>
          <w:rFonts w:eastAsia="SimSun"/>
          <w:b/>
          <w:bCs/>
          <w:i/>
          <w:sz w:val="21"/>
          <w:szCs w:val="21"/>
        </w:rPr>
        <w:t> </w:t>
      </w:r>
    </w:p>
    <w:p w14:paraId="5A4EE618" w14:textId="77777777" w:rsidR="002A38D3" w:rsidRPr="002A38D3" w:rsidRDefault="002A38D3" w:rsidP="002A38D3">
      <w:pPr>
        <w:widowControl w:val="0"/>
        <w:shd w:val="clear" w:color="auto" w:fill="FFFFFF"/>
        <w:autoSpaceDE w:val="0"/>
        <w:autoSpaceDN w:val="0"/>
        <w:adjustRightInd w:val="0"/>
        <w:jc w:val="both"/>
        <w:rPr>
          <w:bCs/>
          <w:sz w:val="22"/>
          <w:szCs w:val="22"/>
        </w:rPr>
      </w:pPr>
    </w:p>
    <w:p w14:paraId="1FDE00DC" w14:textId="77777777" w:rsidR="002A38D3" w:rsidRPr="002A38D3" w:rsidRDefault="002A38D3" w:rsidP="002A38D3">
      <w:pPr>
        <w:widowControl w:val="0"/>
        <w:autoSpaceDE w:val="0"/>
        <w:autoSpaceDN w:val="0"/>
        <w:adjustRightInd w:val="0"/>
        <w:jc w:val="both"/>
        <w:rPr>
          <w:b/>
          <w:sz w:val="22"/>
          <w:szCs w:val="22"/>
        </w:rPr>
      </w:pPr>
      <w:r w:rsidRPr="002A38D3">
        <w:rPr>
          <w:b/>
          <w:sz w:val="22"/>
          <w:szCs w:val="22"/>
        </w:rPr>
        <w:t xml:space="preserve">Contact: </w:t>
      </w:r>
    </w:p>
    <w:p w14:paraId="22D3BF1B" w14:textId="77777777" w:rsidR="002A38D3" w:rsidRPr="002A38D3" w:rsidRDefault="002A38D3" w:rsidP="002A38D3">
      <w:pPr>
        <w:widowControl w:val="0"/>
        <w:autoSpaceDE w:val="0"/>
        <w:autoSpaceDN w:val="0"/>
        <w:adjustRightInd w:val="0"/>
        <w:jc w:val="both"/>
        <w:rPr>
          <w:sz w:val="22"/>
          <w:szCs w:val="22"/>
        </w:rPr>
      </w:pPr>
      <w:r w:rsidRPr="002A38D3">
        <w:rPr>
          <w:sz w:val="22"/>
          <w:szCs w:val="22"/>
        </w:rPr>
        <w:t>GeoVax Labs, Inc.</w:t>
      </w:r>
    </w:p>
    <w:p w14:paraId="305737B7" w14:textId="77777777" w:rsidR="002A38D3" w:rsidRPr="002A38D3" w:rsidRDefault="002A38D3" w:rsidP="002A38D3">
      <w:pPr>
        <w:widowControl w:val="0"/>
        <w:autoSpaceDE w:val="0"/>
        <w:autoSpaceDN w:val="0"/>
        <w:adjustRightInd w:val="0"/>
        <w:jc w:val="both"/>
        <w:rPr>
          <w:sz w:val="22"/>
          <w:szCs w:val="22"/>
        </w:rPr>
      </w:pPr>
      <w:r w:rsidRPr="002A38D3">
        <w:rPr>
          <w:sz w:val="22"/>
          <w:szCs w:val="22"/>
        </w:rPr>
        <w:t>investor@geovax.com</w:t>
      </w:r>
    </w:p>
    <w:p w14:paraId="1D013735" w14:textId="77777777" w:rsidR="002A38D3" w:rsidRPr="002A38D3" w:rsidRDefault="002A38D3" w:rsidP="002A38D3">
      <w:pPr>
        <w:widowControl w:val="0"/>
        <w:autoSpaceDE w:val="0"/>
        <w:autoSpaceDN w:val="0"/>
        <w:adjustRightInd w:val="0"/>
        <w:jc w:val="both"/>
        <w:rPr>
          <w:sz w:val="22"/>
          <w:szCs w:val="22"/>
        </w:rPr>
      </w:pPr>
      <w:r w:rsidRPr="002A38D3">
        <w:rPr>
          <w:sz w:val="22"/>
          <w:szCs w:val="22"/>
        </w:rPr>
        <w:t>678-384-7220</w:t>
      </w:r>
    </w:p>
    <w:p w14:paraId="52AFA9EB" w14:textId="77777777" w:rsidR="002A38D3" w:rsidRPr="002A38D3" w:rsidRDefault="002A38D3" w:rsidP="002A38D3">
      <w:pPr>
        <w:widowControl w:val="0"/>
        <w:autoSpaceDE w:val="0"/>
        <w:autoSpaceDN w:val="0"/>
        <w:adjustRightInd w:val="0"/>
        <w:jc w:val="center"/>
        <w:rPr>
          <w:b/>
          <w:sz w:val="22"/>
          <w:szCs w:val="22"/>
        </w:rPr>
      </w:pPr>
    </w:p>
    <w:p w14:paraId="38168905" w14:textId="77777777" w:rsidR="002A38D3" w:rsidRPr="002A38D3" w:rsidRDefault="002A38D3" w:rsidP="002A38D3">
      <w:pPr>
        <w:widowControl w:val="0"/>
        <w:autoSpaceDE w:val="0"/>
        <w:autoSpaceDN w:val="0"/>
        <w:adjustRightInd w:val="0"/>
        <w:jc w:val="center"/>
        <w:rPr>
          <w:sz w:val="22"/>
          <w:szCs w:val="22"/>
        </w:rPr>
      </w:pPr>
      <w:r w:rsidRPr="002A38D3">
        <w:rPr>
          <w:b/>
          <w:sz w:val="22"/>
          <w:szCs w:val="22"/>
        </w:rPr>
        <w:t>FINANCIAL TABLES FOLLOW</w:t>
      </w:r>
    </w:p>
    <w:p w14:paraId="539346D4" w14:textId="77777777" w:rsidR="002A38D3" w:rsidRPr="002A38D3" w:rsidRDefault="002A38D3" w:rsidP="002A38D3">
      <w:pPr>
        <w:widowControl w:val="0"/>
        <w:autoSpaceDE w:val="0"/>
        <w:autoSpaceDN w:val="0"/>
        <w:adjustRightInd w:val="0"/>
        <w:rPr>
          <w:sz w:val="22"/>
          <w:szCs w:val="22"/>
        </w:rPr>
      </w:pPr>
    </w:p>
    <w:p w14:paraId="54110DD4" w14:textId="77777777" w:rsidR="002A38D3" w:rsidRPr="002A38D3" w:rsidRDefault="002A38D3" w:rsidP="002A38D3">
      <w:pPr>
        <w:widowControl w:val="0"/>
        <w:autoSpaceDE w:val="0"/>
        <w:autoSpaceDN w:val="0"/>
        <w:adjustRightInd w:val="0"/>
        <w:rPr>
          <w:sz w:val="22"/>
          <w:szCs w:val="22"/>
        </w:rPr>
        <w:sectPr w:rsidR="002A38D3" w:rsidRPr="002A38D3" w:rsidSect="002A38D3">
          <w:footerReference w:type="default" r:id="rId7"/>
          <w:headerReference w:type="first" r:id="rId8"/>
          <w:footerReference w:type="first" r:id="rId9"/>
          <w:pgSz w:w="12240" w:h="15840" w:code="1"/>
          <w:pgMar w:top="1440" w:right="1296" w:bottom="1008" w:left="1296" w:header="547" w:footer="576" w:gutter="0"/>
          <w:pgNumType w:start="0"/>
          <w:cols w:space="720"/>
          <w:titlePg/>
          <w:docGrid w:linePitch="272"/>
        </w:sect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1208"/>
        <w:gridCol w:w="1208"/>
        <w:gridCol w:w="1208"/>
      </w:tblGrid>
      <w:tr w:rsidR="002A38D3" w:rsidRPr="002A38D3" w14:paraId="65ADB466" w14:textId="77777777" w:rsidTr="007F2635">
        <w:trPr>
          <w:cantSplit/>
          <w:trHeight w:val="293"/>
        </w:trPr>
        <w:tc>
          <w:tcPr>
            <w:tcW w:w="9930" w:type="dxa"/>
            <w:gridSpan w:val="8"/>
          </w:tcPr>
          <w:p w14:paraId="2D4C5D8D" w14:textId="77777777" w:rsidR="002A38D3" w:rsidRPr="002A38D3" w:rsidRDefault="002A38D3" w:rsidP="002A38D3">
            <w:pPr>
              <w:widowControl w:val="0"/>
              <w:autoSpaceDE w:val="0"/>
              <w:autoSpaceDN w:val="0"/>
              <w:adjustRightInd w:val="0"/>
              <w:jc w:val="center"/>
              <w:rPr>
                <w:snapToGrid w:val="0"/>
                <w:sz w:val="22"/>
                <w:szCs w:val="22"/>
              </w:rPr>
            </w:pPr>
            <w:r w:rsidRPr="002A38D3">
              <w:rPr>
                <w:b/>
                <w:bCs/>
                <w:snapToGrid w:val="0"/>
                <w:sz w:val="22"/>
                <w:szCs w:val="22"/>
              </w:rPr>
              <w:lastRenderedPageBreak/>
              <w:t>GEOVAX LABS, INC.</w:t>
            </w:r>
          </w:p>
        </w:tc>
      </w:tr>
      <w:tr w:rsidR="002A38D3" w:rsidRPr="002A38D3" w14:paraId="0576DA4B" w14:textId="77777777" w:rsidTr="007F2635">
        <w:trPr>
          <w:cantSplit/>
          <w:trHeight w:val="293"/>
        </w:trPr>
        <w:tc>
          <w:tcPr>
            <w:tcW w:w="9930" w:type="dxa"/>
            <w:gridSpan w:val="8"/>
          </w:tcPr>
          <w:p w14:paraId="53EEA683" w14:textId="77777777" w:rsidR="002A38D3" w:rsidRPr="002A38D3" w:rsidRDefault="002A38D3" w:rsidP="002A38D3">
            <w:pPr>
              <w:widowControl w:val="0"/>
              <w:autoSpaceDE w:val="0"/>
              <w:autoSpaceDN w:val="0"/>
              <w:adjustRightInd w:val="0"/>
              <w:jc w:val="center"/>
              <w:rPr>
                <w:snapToGrid w:val="0"/>
                <w:sz w:val="22"/>
                <w:szCs w:val="22"/>
              </w:rPr>
            </w:pPr>
            <w:r w:rsidRPr="002A38D3">
              <w:rPr>
                <w:b/>
                <w:bCs/>
                <w:snapToGrid w:val="0"/>
                <w:sz w:val="22"/>
                <w:szCs w:val="22"/>
              </w:rPr>
              <w:t>Condensed Consolidated Statements of Operations Information</w:t>
            </w:r>
          </w:p>
        </w:tc>
      </w:tr>
      <w:tr w:rsidR="002A38D3" w:rsidRPr="002A38D3" w14:paraId="2DC3FBA4" w14:textId="77777777" w:rsidTr="007F2635">
        <w:trPr>
          <w:cantSplit/>
          <w:trHeight w:val="293"/>
        </w:trPr>
        <w:tc>
          <w:tcPr>
            <w:tcW w:w="9930" w:type="dxa"/>
            <w:gridSpan w:val="8"/>
          </w:tcPr>
          <w:p w14:paraId="3BA11589" w14:textId="77777777" w:rsidR="002A38D3" w:rsidRPr="002A38D3" w:rsidRDefault="002A38D3" w:rsidP="002A38D3">
            <w:pPr>
              <w:widowControl w:val="0"/>
              <w:autoSpaceDE w:val="0"/>
              <w:autoSpaceDN w:val="0"/>
              <w:adjustRightInd w:val="0"/>
              <w:jc w:val="center"/>
              <w:rPr>
                <w:i/>
                <w:snapToGrid w:val="0"/>
                <w:sz w:val="22"/>
                <w:szCs w:val="22"/>
              </w:rPr>
            </w:pPr>
            <w:r w:rsidRPr="002A38D3">
              <w:rPr>
                <w:bCs/>
                <w:i/>
                <w:snapToGrid w:val="0"/>
                <w:sz w:val="22"/>
                <w:szCs w:val="22"/>
              </w:rPr>
              <w:t>(amounts in thousands, except common share information)</w:t>
            </w:r>
          </w:p>
        </w:tc>
      </w:tr>
      <w:tr w:rsidR="002A38D3" w:rsidRPr="002A38D3" w14:paraId="2F3AF2A3" w14:textId="77777777" w:rsidTr="007F2635">
        <w:trPr>
          <w:trHeight w:val="293"/>
        </w:trPr>
        <w:tc>
          <w:tcPr>
            <w:tcW w:w="237" w:type="dxa"/>
          </w:tcPr>
          <w:p w14:paraId="5299985F" w14:textId="77777777" w:rsidR="002A38D3" w:rsidRPr="002A38D3" w:rsidRDefault="002A38D3" w:rsidP="002A38D3">
            <w:pPr>
              <w:widowControl w:val="0"/>
              <w:autoSpaceDE w:val="0"/>
              <w:autoSpaceDN w:val="0"/>
              <w:adjustRightInd w:val="0"/>
              <w:jc w:val="center"/>
              <w:rPr>
                <w:b/>
                <w:bCs/>
                <w:snapToGrid w:val="0"/>
                <w:sz w:val="22"/>
                <w:szCs w:val="22"/>
              </w:rPr>
            </w:pPr>
          </w:p>
        </w:tc>
        <w:tc>
          <w:tcPr>
            <w:tcW w:w="1462" w:type="dxa"/>
          </w:tcPr>
          <w:p w14:paraId="69774D86" w14:textId="77777777" w:rsidR="002A38D3" w:rsidRPr="002A38D3" w:rsidRDefault="002A38D3" w:rsidP="002A38D3">
            <w:pPr>
              <w:widowControl w:val="0"/>
              <w:autoSpaceDE w:val="0"/>
              <w:autoSpaceDN w:val="0"/>
              <w:adjustRightInd w:val="0"/>
              <w:jc w:val="center"/>
              <w:rPr>
                <w:snapToGrid w:val="0"/>
                <w:sz w:val="22"/>
                <w:szCs w:val="22"/>
              </w:rPr>
            </w:pPr>
          </w:p>
        </w:tc>
        <w:tc>
          <w:tcPr>
            <w:tcW w:w="2921" w:type="dxa"/>
          </w:tcPr>
          <w:p w14:paraId="20E605CB" w14:textId="77777777" w:rsidR="002A38D3" w:rsidRPr="002A38D3" w:rsidRDefault="002A38D3" w:rsidP="002A38D3">
            <w:pPr>
              <w:widowControl w:val="0"/>
              <w:autoSpaceDE w:val="0"/>
              <w:autoSpaceDN w:val="0"/>
              <w:adjustRightInd w:val="0"/>
              <w:jc w:val="center"/>
              <w:rPr>
                <w:snapToGrid w:val="0"/>
                <w:sz w:val="22"/>
                <w:szCs w:val="22"/>
              </w:rPr>
            </w:pPr>
          </w:p>
        </w:tc>
        <w:tc>
          <w:tcPr>
            <w:tcW w:w="478" w:type="dxa"/>
          </w:tcPr>
          <w:p w14:paraId="3378F6BE" w14:textId="77777777" w:rsidR="002A38D3" w:rsidRPr="002A38D3" w:rsidRDefault="002A38D3" w:rsidP="002A38D3">
            <w:pPr>
              <w:widowControl w:val="0"/>
              <w:autoSpaceDE w:val="0"/>
              <w:autoSpaceDN w:val="0"/>
              <w:adjustRightInd w:val="0"/>
              <w:jc w:val="center"/>
              <w:rPr>
                <w:snapToGrid w:val="0"/>
                <w:sz w:val="22"/>
                <w:szCs w:val="22"/>
              </w:rPr>
            </w:pPr>
          </w:p>
        </w:tc>
        <w:tc>
          <w:tcPr>
            <w:tcW w:w="1208" w:type="dxa"/>
          </w:tcPr>
          <w:p w14:paraId="429EA121" w14:textId="77777777" w:rsidR="002A38D3" w:rsidRPr="002A38D3" w:rsidRDefault="002A38D3" w:rsidP="002A38D3">
            <w:pPr>
              <w:widowControl w:val="0"/>
              <w:autoSpaceDE w:val="0"/>
              <w:autoSpaceDN w:val="0"/>
              <w:adjustRightInd w:val="0"/>
              <w:jc w:val="center"/>
              <w:rPr>
                <w:snapToGrid w:val="0"/>
                <w:sz w:val="22"/>
                <w:szCs w:val="22"/>
              </w:rPr>
            </w:pPr>
          </w:p>
        </w:tc>
        <w:tc>
          <w:tcPr>
            <w:tcW w:w="1208" w:type="dxa"/>
          </w:tcPr>
          <w:p w14:paraId="5A983B1D" w14:textId="77777777" w:rsidR="002A38D3" w:rsidRPr="002A38D3" w:rsidRDefault="002A38D3" w:rsidP="002A38D3">
            <w:pPr>
              <w:widowControl w:val="0"/>
              <w:autoSpaceDE w:val="0"/>
              <w:autoSpaceDN w:val="0"/>
              <w:adjustRightInd w:val="0"/>
              <w:jc w:val="center"/>
              <w:rPr>
                <w:snapToGrid w:val="0"/>
                <w:sz w:val="22"/>
                <w:szCs w:val="22"/>
              </w:rPr>
            </w:pPr>
          </w:p>
        </w:tc>
        <w:tc>
          <w:tcPr>
            <w:tcW w:w="1208" w:type="dxa"/>
          </w:tcPr>
          <w:p w14:paraId="1D20B65B" w14:textId="77777777" w:rsidR="002A38D3" w:rsidRPr="002A38D3" w:rsidRDefault="002A38D3" w:rsidP="002A38D3">
            <w:pPr>
              <w:widowControl w:val="0"/>
              <w:autoSpaceDE w:val="0"/>
              <w:autoSpaceDN w:val="0"/>
              <w:adjustRightInd w:val="0"/>
              <w:jc w:val="center"/>
              <w:rPr>
                <w:snapToGrid w:val="0"/>
                <w:sz w:val="22"/>
                <w:szCs w:val="22"/>
              </w:rPr>
            </w:pPr>
          </w:p>
        </w:tc>
        <w:tc>
          <w:tcPr>
            <w:tcW w:w="1208" w:type="dxa"/>
          </w:tcPr>
          <w:p w14:paraId="0B008D57" w14:textId="77777777" w:rsidR="002A38D3" w:rsidRPr="002A38D3" w:rsidRDefault="002A38D3" w:rsidP="002A38D3">
            <w:pPr>
              <w:widowControl w:val="0"/>
              <w:autoSpaceDE w:val="0"/>
              <w:autoSpaceDN w:val="0"/>
              <w:adjustRightInd w:val="0"/>
              <w:jc w:val="center"/>
              <w:rPr>
                <w:snapToGrid w:val="0"/>
                <w:sz w:val="22"/>
                <w:szCs w:val="22"/>
              </w:rPr>
            </w:pPr>
          </w:p>
        </w:tc>
      </w:tr>
      <w:tr w:rsidR="002A38D3" w:rsidRPr="002A38D3" w14:paraId="5665C5BD" w14:textId="77777777" w:rsidTr="007F2635">
        <w:trPr>
          <w:trHeight w:val="276"/>
        </w:trPr>
        <w:tc>
          <w:tcPr>
            <w:tcW w:w="237" w:type="dxa"/>
          </w:tcPr>
          <w:p w14:paraId="037B1B41" w14:textId="77777777" w:rsidR="002A38D3" w:rsidRPr="002A38D3" w:rsidRDefault="002A38D3" w:rsidP="002A38D3">
            <w:pPr>
              <w:widowControl w:val="0"/>
              <w:autoSpaceDE w:val="0"/>
              <w:autoSpaceDN w:val="0"/>
              <w:adjustRightInd w:val="0"/>
              <w:jc w:val="right"/>
              <w:rPr>
                <w:snapToGrid w:val="0"/>
                <w:sz w:val="22"/>
                <w:szCs w:val="22"/>
              </w:rPr>
            </w:pPr>
          </w:p>
        </w:tc>
        <w:tc>
          <w:tcPr>
            <w:tcW w:w="1462" w:type="dxa"/>
          </w:tcPr>
          <w:p w14:paraId="24D13D65" w14:textId="77777777" w:rsidR="002A38D3" w:rsidRPr="002A38D3" w:rsidRDefault="002A38D3" w:rsidP="002A38D3">
            <w:pPr>
              <w:widowControl w:val="0"/>
              <w:autoSpaceDE w:val="0"/>
              <w:autoSpaceDN w:val="0"/>
              <w:adjustRightInd w:val="0"/>
              <w:jc w:val="right"/>
              <w:rPr>
                <w:snapToGrid w:val="0"/>
                <w:sz w:val="22"/>
                <w:szCs w:val="22"/>
              </w:rPr>
            </w:pPr>
          </w:p>
        </w:tc>
        <w:tc>
          <w:tcPr>
            <w:tcW w:w="2921" w:type="dxa"/>
          </w:tcPr>
          <w:p w14:paraId="0A2D08B0"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7CB2F5DD" w14:textId="77777777" w:rsidR="002A38D3" w:rsidRPr="002A38D3" w:rsidRDefault="002A38D3" w:rsidP="002A38D3">
            <w:pPr>
              <w:widowControl w:val="0"/>
              <w:autoSpaceDE w:val="0"/>
              <w:autoSpaceDN w:val="0"/>
              <w:adjustRightInd w:val="0"/>
              <w:jc w:val="right"/>
              <w:rPr>
                <w:snapToGrid w:val="0"/>
                <w:sz w:val="22"/>
                <w:szCs w:val="22"/>
              </w:rPr>
            </w:pPr>
          </w:p>
        </w:tc>
        <w:tc>
          <w:tcPr>
            <w:tcW w:w="2416" w:type="dxa"/>
            <w:gridSpan w:val="2"/>
          </w:tcPr>
          <w:p w14:paraId="788F2CBF" w14:textId="77777777" w:rsidR="002A38D3" w:rsidRPr="002A38D3" w:rsidRDefault="002A38D3" w:rsidP="002A38D3">
            <w:pPr>
              <w:widowControl w:val="0"/>
              <w:autoSpaceDE w:val="0"/>
              <w:autoSpaceDN w:val="0"/>
              <w:adjustRightInd w:val="0"/>
              <w:ind w:right="-210"/>
              <w:jc w:val="center"/>
              <w:rPr>
                <w:snapToGrid w:val="0"/>
                <w:sz w:val="22"/>
                <w:szCs w:val="22"/>
              </w:rPr>
            </w:pPr>
          </w:p>
        </w:tc>
        <w:tc>
          <w:tcPr>
            <w:tcW w:w="2416" w:type="dxa"/>
            <w:gridSpan w:val="2"/>
          </w:tcPr>
          <w:p w14:paraId="27B49931" w14:textId="77777777" w:rsidR="002A38D3" w:rsidRPr="002A38D3" w:rsidRDefault="002A38D3" w:rsidP="002A38D3">
            <w:pPr>
              <w:widowControl w:val="0"/>
              <w:autoSpaceDE w:val="0"/>
              <w:autoSpaceDN w:val="0"/>
              <w:adjustRightInd w:val="0"/>
              <w:jc w:val="center"/>
              <w:rPr>
                <w:snapToGrid w:val="0"/>
                <w:sz w:val="22"/>
                <w:szCs w:val="22"/>
              </w:rPr>
            </w:pPr>
            <w:r w:rsidRPr="002A38D3">
              <w:rPr>
                <w:snapToGrid w:val="0"/>
                <w:sz w:val="22"/>
                <w:szCs w:val="22"/>
              </w:rPr>
              <w:t>Year Ended</w:t>
            </w:r>
          </w:p>
        </w:tc>
      </w:tr>
      <w:tr w:rsidR="002A38D3" w:rsidRPr="002A38D3" w14:paraId="69D9F9C8" w14:textId="77777777" w:rsidTr="007F2635">
        <w:trPr>
          <w:trHeight w:val="276"/>
        </w:trPr>
        <w:tc>
          <w:tcPr>
            <w:tcW w:w="237" w:type="dxa"/>
          </w:tcPr>
          <w:p w14:paraId="195FD4CE" w14:textId="77777777" w:rsidR="002A38D3" w:rsidRPr="002A38D3" w:rsidRDefault="002A38D3" w:rsidP="002A38D3">
            <w:pPr>
              <w:widowControl w:val="0"/>
              <w:autoSpaceDE w:val="0"/>
              <w:autoSpaceDN w:val="0"/>
              <w:adjustRightInd w:val="0"/>
              <w:jc w:val="right"/>
              <w:rPr>
                <w:snapToGrid w:val="0"/>
                <w:sz w:val="22"/>
                <w:szCs w:val="22"/>
              </w:rPr>
            </w:pPr>
          </w:p>
        </w:tc>
        <w:tc>
          <w:tcPr>
            <w:tcW w:w="1462" w:type="dxa"/>
          </w:tcPr>
          <w:p w14:paraId="0C73A0F4" w14:textId="77777777" w:rsidR="002A38D3" w:rsidRPr="002A38D3" w:rsidRDefault="002A38D3" w:rsidP="002A38D3">
            <w:pPr>
              <w:widowControl w:val="0"/>
              <w:autoSpaceDE w:val="0"/>
              <w:autoSpaceDN w:val="0"/>
              <w:adjustRightInd w:val="0"/>
              <w:jc w:val="right"/>
              <w:rPr>
                <w:snapToGrid w:val="0"/>
                <w:sz w:val="22"/>
                <w:szCs w:val="22"/>
              </w:rPr>
            </w:pPr>
          </w:p>
        </w:tc>
        <w:tc>
          <w:tcPr>
            <w:tcW w:w="2921" w:type="dxa"/>
          </w:tcPr>
          <w:p w14:paraId="4AF27A5F"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534D5E29" w14:textId="77777777" w:rsidR="002A38D3" w:rsidRPr="002A38D3" w:rsidRDefault="002A38D3" w:rsidP="002A38D3">
            <w:pPr>
              <w:widowControl w:val="0"/>
              <w:autoSpaceDE w:val="0"/>
              <w:autoSpaceDN w:val="0"/>
              <w:adjustRightInd w:val="0"/>
              <w:jc w:val="right"/>
              <w:rPr>
                <w:snapToGrid w:val="0"/>
                <w:sz w:val="22"/>
                <w:szCs w:val="22"/>
              </w:rPr>
            </w:pPr>
          </w:p>
        </w:tc>
        <w:tc>
          <w:tcPr>
            <w:tcW w:w="2416" w:type="dxa"/>
            <w:gridSpan w:val="2"/>
          </w:tcPr>
          <w:p w14:paraId="5A2227F4" w14:textId="77777777" w:rsidR="002A38D3" w:rsidRPr="002A38D3" w:rsidRDefault="002A38D3" w:rsidP="002A38D3">
            <w:pPr>
              <w:widowControl w:val="0"/>
              <w:autoSpaceDE w:val="0"/>
              <w:autoSpaceDN w:val="0"/>
              <w:adjustRightInd w:val="0"/>
              <w:jc w:val="center"/>
              <w:rPr>
                <w:snapToGrid w:val="0"/>
                <w:sz w:val="22"/>
                <w:szCs w:val="22"/>
              </w:rPr>
            </w:pPr>
          </w:p>
        </w:tc>
        <w:tc>
          <w:tcPr>
            <w:tcW w:w="2416" w:type="dxa"/>
            <w:gridSpan w:val="2"/>
            <w:tcBorders>
              <w:bottom w:val="single" w:sz="6" w:space="0" w:color="auto"/>
            </w:tcBorders>
          </w:tcPr>
          <w:p w14:paraId="6B63AC68" w14:textId="77777777" w:rsidR="002A38D3" w:rsidRPr="002A38D3" w:rsidRDefault="002A38D3" w:rsidP="002A38D3">
            <w:pPr>
              <w:widowControl w:val="0"/>
              <w:autoSpaceDE w:val="0"/>
              <w:autoSpaceDN w:val="0"/>
              <w:adjustRightInd w:val="0"/>
              <w:jc w:val="center"/>
              <w:rPr>
                <w:snapToGrid w:val="0"/>
                <w:sz w:val="22"/>
                <w:szCs w:val="22"/>
              </w:rPr>
            </w:pPr>
            <w:r w:rsidRPr="002A38D3">
              <w:rPr>
                <w:snapToGrid w:val="0"/>
                <w:sz w:val="22"/>
                <w:szCs w:val="22"/>
              </w:rPr>
              <w:t xml:space="preserve">December 31, </w:t>
            </w:r>
          </w:p>
        </w:tc>
      </w:tr>
      <w:tr w:rsidR="002A38D3" w:rsidRPr="002A38D3" w14:paraId="78C7BF29" w14:textId="77777777" w:rsidTr="007F2635">
        <w:trPr>
          <w:trHeight w:val="276"/>
        </w:trPr>
        <w:tc>
          <w:tcPr>
            <w:tcW w:w="237" w:type="dxa"/>
          </w:tcPr>
          <w:p w14:paraId="6A504BFD" w14:textId="77777777" w:rsidR="002A38D3" w:rsidRPr="002A38D3" w:rsidRDefault="002A38D3" w:rsidP="002A38D3">
            <w:pPr>
              <w:widowControl w:val="0"/>
              <w:autoSpaceDE w:val="0"/>
              <w:autoSpaceDN w:val="0"/>
              <w:adjustRightInd w:val="0"/>
              <w:jc w:val="right"/>
              <w:rPr>
                <w:snapToGrid w:val="0"/>
                <w:sz w:val="22"/>
                <w:szCs w:val="22"/>
              </w:rPr>
            </w:pPr>
          </w:p>
        </w:tc>
        <w:tc>
          <w:tcPr>
            <w:tcW w:w="1462" w:type="dxa"/>
          </w:tcPr>
          <w:p w14:paraId="25801D0D" w14:textId="77777777" w:rsidR="002A38D3" w:rsidRPr="002A38D3" w:rsidRDefault="002A38D3" w:rsidP="002A38D3">
            <w:pPr>
              <w:widowControl w:val="0"/>
              <w:autoSpaceDE w:val="0"/>
              <w:autoSpaceDN w:val="0"/>
              <w:adjustRightInd w:val="0"/>
              <w:jc w:val="right"/>
              <w:rPr>
                <w:snapToGrid w:val="0"/>
                <w:sz w:val="22"/>
                <w:szCs w:val="22"/>
              </w:rPr>
            </w:pPr>
          </w:p>
        </w:tc>
        <w:tc>
          <w:tcPr>
            <w:tcW w:w="2921" w:type="dxa"/>
          </w:tcPr>
          <w:p w14:paraId="3EE74407"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4929A53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5DB54085" w14:textId="77777777" w:rsidR="002A38D3" w:rsidRPr="002A38D3" w:rsidRDefault="002A38D3" w:rsidP="002A38D3">
            <w:pPr>
              <w:widowControl w:val="0"/>
              <w:autoSpaceDE w:val="0"/>
              <w:autoSpaceDN w:val="0"/>
              <w:adjustRightInd w:val="0"/>
              <w:jc w:val="center"/>
              <w:rPr>
                <w:snapToGrid w:val="0"/>
                <w:sz w:val="22"/>
                <w:szCs w:val="22"/>
              </w:rPr>
            </w:pPr>
          </w:p>
        </w:tc>
        <w:tc>
          <w:tcPr>
            <w:tcW w:w="1208" w:type="dxa"/>
          </w:tcPr>
          <w:p w14:paraId="0D7917F8" w14:textId="77777777" w:rsidR="002A38D3" w:rsidRPr="002A38D3" w:rsidRDefault="002A38D3" w:rsidP="002A38D3">
            <w:pPr>
              <w:widowControl w:val="0"/>
              <w:autoSpaceDE w:val="0"/>
              <w:autoSpaceDN w:val="0"/>
              <w:adjustRightInd w:val="0"/>
              <w:jc w:val="center"/>
              <w:rPr>
                <w:snapToGrid w:val="0"/>
                <w:sz w:val="22"/>
                <w:szCs w:val="22"/>
              </w:rPr>
            </w:pPr>
          </w:p>
        </w:tc>
        <w:tc>
          <w:tcPr>
            <w:tcW w:w="1208" w:type="dxa"/>
            <w:tcBorders>
              <w:bottom w:val="single" w:sz="4" w:space="0" w:color="auto"/>
            </w:tcBorders>
          </w:tcPr>
          <w:p w14:paraId="79993CEA" w14:textId="77777777" w:rsidR="002A38D3" w:rsidRPr="002A38D3" w:rsidRDefault="002A38D3" w:rsidP="002A38D3">
            <w:pPr>
              <w:widowControl w:val="0"/>
              <w:autoSpaceDE w:val="0"/>
              <w:autoSpaceDN w:val="0"/>
              <w:adjustRightInd w:val="0"/>
              <w:jc w:val="center"/>
              <w:rPr>
                <w:snapToGrid w:val="0"/>
                <w:sz w:val="22"/>
                <w:szCs w:val="22"/>
              </w:rPr>
            </w:pPr>
            <w:r w:rsidRPr="002A38D3">
              <w:rPr>
                <w:snapToGrid w:val="0"/>
                <w:sz w:val="22"/>
                <w:szCs w:val="22"/>
              </w:rPr>
              <w:t>2020</w:t>
            </w:r>
          </w:p>
        </w:tc>
        <w:tc>
          <w:tcPr>
            <w:tcW w:w="1208" w:type="dxa"/>
            <w:tcBorders>
              <w:bottom w:val="single" w:sz="4" w:space="0" w:color="auto"/>
            </w:tcBorders>
          </w:tcPr>
          <w:p w14:paraId="06C2C337" w14:textId="77777777" w:rsidR="002A38D3" w:rsidRPr="002A38D3" w:rsidRDefault="002A38D3" w:rsidP="002A38D3">
            <w:pPr>
              <w:widowControl w:val="0"/>
              <w:autoSpaceDE w:val="0"/>
              <w:autoSpaceDN w:val="0"/>
              <w:adjustRightInd w:val="0"/>
              <w:jc w:val="center"/>
              <w:rPr>
                <w:snapToGrid w:val="0"/>
                <w:sz w:val="22"/>
                <w:szCs w:val="22"/>
              </w:rPr>
            </w:pPr>
            <w:r w:rsidRPr="002A38D3">
              <w:rPr>
                <w:snapToGrid w:val="0"/>
                <w:sz w:val="22"/>
                <w:szCs w:val="22"/>
              </w:rPr>
              <w:t>2019</w:t>
            </w:r>
          </w:p>
        </w:tc>
      </w:tr>
      <w:tr w:rsidR="002A38D3" w:rsidRPr="002A38D3" w14:paraId="15E47D5B" w14:textId="77777777" w:rsidTr="007F2635">
        <w:trPr>
          <w:trHeight w:val="276"/>
        </w:trPr>
        <w:tc>
          <w:tcPr>
            <w:tcW w:w="4620" w:type="dxa"/>
            <w:gridSpan w:val="3"/>
          </w:tcPr>
          <w:p w14:paraId="21FD9237"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Grant and collaboration revenue</w:t>
            </w:r>
          </w:p>
        </w:tc>
        <w:tc>
          <w:tcPr>
            <w:tcW w:w="478" w:type="dxa"/>
          </w:tcPr>
          <w:p w14:paraId="17DF0773"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622D747B" w14:textId="77777777" w:rsidR="002A38D3" w:rsidRPr="002A38D3" w:rsidRDefault="002A38D3" w:rsidP="002A38D3">
            <w:pPr>
              <w:widowControl w:val="0"/>
              <w:tabs>
                <w:tab w:val="left" w:pos="150"/>
                <w:tab w:val="decimal" w:pos="960"/>
              </w:tabs>
              <w:autoSpaceDE w:val="0"/>
              <w:autoSpaceDN w:val="0"/>
              <w:adjustRightInd w:val="0"/>
              <w:rPr>
                <w:snapToGrid w:val="0"/>
                <w:sz w:val="22"/>
                <w:szCs w:val="22"/>
              </w:rPr>
            </w:pPr>
          </w:p>
        </w:tc>
        <w:tc>
          <w:tcPr>
            <w:tcW w:w="1208" w:type="dxa"/>
          </w:tcPr>
          <w:p w14:paraId="04DA8B3F" w14:textId="77777777" w:rsidR="002A38D3" w:rsidRPr="002A38D3" w:rsidRDefault="002A38D3" w:rsidP="002A38D3">
            <w:pPr>
              <w:widowControl w:val="0"/>
              <w:tabs>
                <w:tab w:val="left" w:pos="190"/>
                <w:tab w:val="decimal" w:pos="910"/>
              </w:tabs>
              <w:autoSpaceDE w:val="0"/>
              <w:autoSpaceDN w:val="0"/>
              <w:adjustRightInd w:val="0"/>
              <w:rPr>
                <w:snapToGrid w:val="0"/>
                <w:sz w:val="22"/>
                <w:szCs w:val="22"/>
              </w:rPr>
            </w:pPr>
          </w:p>
        </w:tc>
        <w:tc>
          <w:tcPr>
            <w:tcW w:w="1208" w:type="dxa"/>
          </w:tcPr>
          <w:p w14:paraId="4F1CAD54" w14:textId="77777777" w:rsidR="002A38D3" w:rsidRPr="002A38D3" w:rsidRDefault="002A38D3" w:rsidP="002A38D3">
            <w:pPr>
              <w:widowControl w:val="0"/>
              <w:tabs>
                <w:tab w:val="left" w:pos="140"/>
                <w:tab w:val="decimal" w:pos="860"/>
              </w:tabs>
              <w:autoSpaceDE w:val="0"/>
              <w:autoSpaceDN w:val="0"/>
              <w:adjustRightInd w:val="0"/>
              <w:rPr>
                <w:snapToGrid w:val="0"/>
                <w:sz w:val="22"/>
                <w:szCs w:val="22"/>
              </w:rPr>
            </w:pPr>
            <w:r w:rsidRPr="002A38D3">
              <w:rPr>
                <w:snapToGrid w:val="0"/>
                <w:sz w:val="22"/>
                <w:szCs w:val="22"/>
              </w:rPr>
              <w:tab/>
              <w:t>$</w:t>
            </w:r>
            <w:r w:rsidRPr="002A38D3">
              <w:rPr>
                <w:snapToGrid w:val="0"/>
                <w:sz w:val="22"/>
                <w:szCs w:val="22"/>
              </w:rPr>
              <w:tab/>
              <w:t>1,823</w:t>
            </w:r>
          </w:p>
        </w:tc>
        <w:tc>
          <w:tcPr>
            <w:tcW w:w="1208" w:type="dxa"/>
          </w:tcPr>
          <w:p w14:paraId="1A324742" w14:textId="77777777" w:rsidR="002A38D3" w:rsidRPr="002A38D3" w:rsidRDefault="002A38D3" w:rsidP="002A38D3">
            <w:pPr>
              <w:widowControl w:val="0"/>
              <w:tabs>
                <w:tab w:val="left" w:pos="97"/>
                <w:tab w:val="decimal" w:pos="907"/>
              </w:tabs>
              <w:autoSpaceDE w:val="0"/>
              <w:autoSpaceDN w:val="0"/>
              <w:adjustRightInd w:val="0"/>
              <w:rPr>
                <w:snapToGrid w:val="0"/>
                <w:sz w:val="22"/>
                <w:szCs w:val="22"/>
              </w:rPr>
            </w:pPr>
            <w:r w:rsidRPr="002A38D3">
              <w:rPr>
                <w:snapToGrid w:val="0"/>
                <w:sz w:val="22"/>
                <w:szCs w:val="22"/>
              </w:rPr>
              <w:tab/>
              <w:t>$</w:t>
            </w:r>
            <w:r w:rsidRPr="002A38D3">
              <w:rPr>
                <w:snapToGrid w:val="0"/>
                <w:sz w:val="22"/>
                <w:szCs w:val="22"/>
              </w:rPr>
              <w:tab/>
              <w:t>1,176</w:t>
            </w:r>
          </w:p>
        </w:tc>
      </w:tr>
      <w:tr w:rsidR="002A38D3" w:rsidRPr="002A38D3" w14:paraId="20F08CD7" w14:textId="77777777" w:rsidTr="007F2635">
        <w:trPr>
          <w:trHeight w:val="276"/>
        </w:trPr>
        <w:tc>
          <w:tcPr>
            <w:tcW w:w="237" w:type="dxa"/>
          </w:tcPr>
          <w:p w14:paraId="79A9BF62" w14:textId="77777777" w:rsidR="002A38D3" w:rsidRPr="002A38D3" w:rsidRDefault="002A38D3" w:rsidP="002A38D3">
            <w:pPr>
              <w:widowControl w:val="0"/>
              <w:autoSpaceDE w:val="0"/>
              <w:autoSpaceDN w:val="0"/>
              <w:adjustRightInd w:val="0"/>
              <w:jc w:val="right"/>
              <w:rPr>
                <w:snapToGrid w:val="0"/>
                <w:sz w:val="22"/>
                <w:szCs w:val="22"/>
              </w:rPr>
            </w:pPr>
          </w:p>
        </w:tc>
        <w:tc>
          <w:tcPr>
            <w:tcW w:w="1462" w:type="dxa"/>
          </w:tcPr>
          <w:p w14:paraId="001FFCB4" w14:textId="77777777" w:rsidR="002A38D3" w:rsidRPr="002A38D3" w:rsidRDefault="002A38D3" w:rsidP="002A38D3">
            <w:pPr>
              <w:widowControl w:val="0"/>
              <w:autoSpaceDE w:val="0"/>
              <w:autoSpaceDN w:val="0"/>
              <w:adjustRightInd w:val="0"/>
              <w:jc w:val="right"/>
              <w:rPr>
                <w:snapToGrid w:val="0"/>
                <w:sz w:val="22"/>
                <w:szCs w:val="22"/>
              </w:rPr>
            </w:pPr>
          </w:p>
        </w:tc>
        <w:tc>
          <w:tcPr>
            <w:tcW w:w="2921" w:type="dxa"/>
          </w:tcPr>
          <w:p w14:paraId="662E40A8"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177360E0"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40582C32" w14:textId="77777777" w:rsidR="002A38D3" w:rsidRPr="002A38D3" w:rsidRDefault="002A38D3" w:rsidP="002A38D3">
            <w:pPr>
              <w:widowControl w:val="0"/>
              <w:tabs>
                <w:tab w:val="decimal" w:pos="960"/>
              </w:tabs>
              <w:autoSpaceDE w:val="0"/>
              <w:autoSpaceDN w:val="0"/>
              <w:adjustRightInd w:val="0"/>
              <w:rPr>
                <w:snapToGrid w:val="0"/>
                <w:sz w:val="22"/>
                <w:szCs w:val="22"/>
              </w:rPr>
            </w:pPr>
          </w:p>
        </w:tc>
        <w:tc>
          <w:tcPr>
            <w:tcW w:w="1208" w:type="dxa"/>
          </w:tcPr>
          <w:p w14:paraId="11A44432" w14:textId="77777777" w:rsidR="002A38D3" w:rsidRPr="002A38D3" w:rsidRDefault="002A38D3" w:rsidP="002A38D3">
            <w:pPr>
              <w:widowControl w:val="0"/>
              <w:tabs>
                <w:tab w:val="decimal" w:pos="910"/>
              </w:tabs>
              <w:autoSpaceDE w:val="0"/>
              <w:autoSpaceDN w:val="0"/>
              <w:adjustRightInd w:val="0"/>
              <w:rPr>
                <w:snapToGrid w:val="0"/>
                <w:sz w:val="22"/>
                <w:szCs w:val="22"/>
              </w:rPr>
            </w:pPr>
          </w:p>
        </w:tc>
        <w:tc>
          <w:tcPr>
            <w:tcW w:w="1208" w:type="dxa"/>
          </w:tcPr>
          <w:p w14:paraId="65D8F752" w14:textId="77777777" w:rsidR="002A38D3" w:rsidRPr="002A38D3" w:rsidRDefault="002A38D3" w:rsidP="002A38D3">
            <w:pPr>
              <w:widowControl w:val="0"/>
              <w:tabs>
                <w:tab w:val="decimal" w:pos="860"/>
              </w:tabs>
              <w:autoSpaceDE w:val="0"/>
              <w:autoSpaceDN w:val="0"/>
              <w:adjustRightInd w:val="0"/>
              <w:jc w:val="center"/>
              <w:rPr>
                <w:snapToGrid w:val="0"/>
                <w:sz w:val="22"/>
                <w:szCs w:val="22"/>
              </w:rPr>
            </w:pPr>
          </w:p>
        </w:tc>
        <w:tc>
          <w:tcPr>
            <w:tcW w:w="1208" w:type="dxa"/>
          </w:tcPr>
          <w:p w14:paraId="4F94F7BA" w14:textId="77777777" w:rsidR="002A38D3" w:rsidRPr="002A38D3" w:rsidRDefault="002A38D3" w:rsidP="002A38D3">
            <w:pPr>
              <w:widowControl w:val="0"/>
              <w:tabs>
                <w:tab w:val="decimal" w:pos="907"/>
              </w:tabs>
              <w:autoSpaceDE w:val="0"/>
              <w:autoSpaceDN w:val="0"/>
              <w:adjustRightInd w:val="0"/>
              <w:jc w:val="center"/>
              <w:rPr>
                <w:snapToGrid w:val="0"/>
                <w:sz w:val="22"/>
                <w:szCs w:val="22"/>
              </w:rPr>
            </w:pPr>
          </w:p>
        </w:tc>
      </w:tr>
      <w:tr w:rsidR="002A38D3" w:rsidRPr="002A38D3" w14:paraId="5D0C5606" w14:textId="77777777" w:rsidTr="007F2635">
        <w:trPr>
          <w:trHeight w:val="276"/>
        </w:trPr>
        <w:tc>
          <w:tcPr>
            <w:tcW w:w="4620" w:type="dxa"/>
            <w:gridSpan w:val="3"/>
          </w:tcPr>
          <w:p w14:paraId="4757C7A8"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Operating expenses:</w:t>
            </w:r>
          </w:p>
        </w:tc>
        <w:tc>
          <w:tcPr>
            <w:tcW w:w="478" w:type="dxa"/>
          </w:tcPr>
          <w:p w14:paraId="0D9350AD"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678AABC0" w14:textId="77777777" w:rsidR="002A38D3" w:rsidRPr="002A38D3" w:rsidRDefault="002A38D3" w:rsidP="002A38D3">
            <w:pPr>
              <w:widowControl w:val="0"/>
              <w:tabs>
                <w:tab w:val="decimal" w:pos="960"/>
              </w:tabs>
              <w:autoSpaceDE w:val="0"/>
              <w:autoSpaceDN w:val="0"/>
              <w:adjustRightInd w:val="0"/>
              <w:rPr>
                <w:snapToGrid w:val="0"/>
                <w:sz w:val="22"/>
                <w:szCs w:val="22"/>
              </w:rPr>
            </w:pPr>
          </w:p>
        </w:tc>
        <w:tc>
          <w:tcPr>
            <w:tcW w:w="1208" w:type="dxa"/>
          </w:tcPr>
          <w:p w14:paraId="4DEBD9B6" w14:textId="77777777" w:rsidR="002A38D3" w:rsidRPr="002A38D3" w:rsidRDefault="002A38D3" w:rsidP="002A38D3">
            <w:pPr>
              <w:widowControl w:val="0"/>
              <w:tabs>
                <w:tab w:val="decimal" w:pos="910"/>
              </w:tabs>
              <w:autoSpaceDE w:val="0"/>
              <w:autoSpaceDN w:val="0"/>
              <w:adjustRightInd w:val="0"/>
              <w:rPr>
                <w:snapToGrid w:val="0"/>
                <w:sz w:val="22"/>
                <w:szCs w:val="22"/>
              </w:rPr>
            </w:pPr>
          </w:p>
        </w:tc>
        <w:tc>
          <w:tcPr>
            <w:tcW w:w="1208" w:type="dxa"/>
          </w:tcPr>
          <w:p w14:paraId="6C0C09B5" w14:textId="77777777" w:rsidR="002A38D3" w:rsidRPr="002A38D3" w:rsidRDefault="002A38D3" w:rsidP="002A38D3">
            <w:pPr>
              <w:widowControl w:val="0"/>
              <w:tabs>
                <w:tab w:val="decimal" w:pos="860"/>
              </w:tabs>
              <w:autoSpaceDE w:val="0"/>
              <w:autoSpaceDN w:val="0"/>
              <w:adjustRightInd w:val="0"/>
              <w:jc w:val="center"/>
              <w:rPr>
                <w:snapToGrid w:val="0"/>
                <w:sz w:val="22"/>
                <w:szCs w:val="22"/>
              </w:rPr>
            </w:pPr>
          </w:p>
        </w:tc>
        <w:tc>
          <w:tcPr>
            <w:tcW w:w="1208" w:type="dxa"/>
          </w:tcPr>
          <w:p w14:paraId="24DD68DB" w14:textId="77777777" w:rsidR="002A38D3" w:rsidRPr="002A38D3" w:rsidRDefault="002A38D3" w:rsidP="002A38D3">
            <w:pPr>
              <w:widowControl w:val="0"/>
              <w:tabs>
                <w:tab w:val="decimal" w:pos="907"/>
              </w:tabs>
              <w:autoSpaceDE w:val="0"/>
              <w:autoSpaceDN w:val="0"/>
              <w:adjustRightInd w:val="0"/>
              <w:jc w:val="center"/>
              <w:rPr>
                <w:snapToGrid w:val="0"/>
                <w:sz w:val="22"/>
                <w:szCs w:val="22"/>
              </w:rPr>
            </w:pPr>
          </w:p>
        </w:tc>
      </w:tr>
      <w:tr w:rsidR="002A38D3" w:rsidRPr="002A38D3" w14:paraId="1E7386D4" w14:textId="77777777" w:rsidTr="007F2635">
        <w:trPr>
          <w:trHeight w:val="276"/>
        </w:trPr>
        <w:tc>
          <w:tcPr>
            <w:tcW w:w="237" w:type="dxa"/>
          </w:tcPr>
          <w:p w14:paraId="3D4D146C"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511550D2"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Research and development</w:t>
            </w:r>
          </w:p>
        </w:tc>
        <w:tc>
          <w:tcPr>
            <w:tcW w:w="478" w:type="dxa"/>
          </w:tcPr>
          <w:p w14:paraId="39CA5D1C"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2362C654" w14:textId="77777777" w:rsidR="002A38D3" w:rsidRPr="002A38D3" w:rsidRDefault="002A38D3" w:rsidP="002A38D3">
            <w:pPr>
              <w:widowControl w:val="0"/>
              <w:tabs>
                <w:tab w:val="decimal" w:pos="960"/>
              </w:tabs>
              <w:autoSpaceDE w:val="0"/>
              <w:autoSpaceDN w:val="0"/>
              <w:adjustRightInd w:val="0"/>
              <w:rPr>
                <w:snapToGrid w:val="0"/>
                <w:sz w:val="22"/>
                <w:szCs w:val="22"/>
              </w:rPr>
            </w:pPr>
          </w:p>
        </w:tc>
        <w:tc>
          <w:tcPr>
            <w:tcW w:w="1208" w:type="dxa"/>
          </w:tcPr>
          <w:p w14:paraId="1F5F3F1D" w14:textId="77777777" w:rsidR="002A38D3" w:rsidRPr="002A38D3" w:rsidRDefault="002A38D3" w:rsidP="002A38D3">
            <w:pPr>
              <w:widowControl w:val="0"/>
              <w:tabs>
                <w:tab w:val="decimal" w:pos="910"/>
              </w:tabs>
              <w:autoSpaceDE w:val="0"/>
              <w:autoSpaceDN w:val="0"/>
              <w:adjustRightInd w:val="0"/>
              <w:rPr>
                <w:snapToGrid w:val="0"/>
                <w:sz w:val="22"/>
                <w:szCs w:val="22"/>
              </w:rPr>
            </w:pPr>
          </w:p>
        </w:tc>
        <w:tc>
          <w:tcPr>
            <w:tcW w:w="1208" w:type="dxa"/>
          </w:tcPr>
          <w:p w14:paraId="2404F0A9" w14:textId="77777777" w:rsidR="002A38D3" w:rsidRPr="002A38D3" w:rsidRDefault="002A38D3" w:rsidP="002A38D3">
            <w:pPr>
              <w:widowControl w:val="0"/>
              <w:tabs>
                <w:tab w:val="decimal" w:pos="860"/>
              </w:tabs>
              <w:autoSpaceDE w:val="0"/>
              <w:autoSpaceDN w:val="0"/>
              <w:adjustRightInd w:val="0"/>
              <w:rPr>
                <w:snapToGrid w:val="0"/>
                <w:sz w:val="22"/>
                <w:szCs w:val="22"/>
              </w:rPr>
            </w:pPr>
            <w:r w:rsidRPr="002A38D3">
              <w:rPr>
                <w:snapToGrid w:val="0"/>
                <w:sz w:val="22"/>
                <w:szCs w:val="22"/>
              </w:rPr>
              <w:t>2,444</w:t>
            </w:r>
          </w:p>
        </w:tc>
        <w:tc>
          <w:tcPr>
            <w:tcW w:w="1208" w:type="dxa"/>
          </w:tcPr>
          <w:p w14:paraId="6C9154EA" w14:textId="77777777" w:rsidR="002A38D3" w:rsidRPr="002A38D3" w:rsidRDefault="002A38D3" w:rsidP="002A38D3">
            <w:pPr>
              <w:widowControl w:val="0"/>
              <w:tabs>
                <w:tab w:val="decimal" w:pos="907"/>
              </w:tabs>
              <w:autoSpaceDE w:val="0"/>
              <w:autoSpaceDN w:val="0"/>
              <w:adjustRightInd w:val="0"/>
              <w:rPr>
                <w:snapToGrid w:val="0"/>
                <w:sz w:val="22"/>
                <w:szCs w:val="22"/>
              </w:rPr>
            </w:pPr>
            <w:r w:rsidRPr="002A38D3">
              <w:rPr>
                <w:snapToGrid w:val="0"/>
                <w:sz w:val="22"/>
                <w:szCs w:val="22"/>
              </w:rPr>
              <w:t>1,911</w:t>
            </w:r>
          </w:p>
        </w:tc>
      </w:tr>
      <w:tr w:rsidR="002A38D3" w:rsidRPr="002A38D3" w14:paraId="09CA7F21" w14:textId="77777777" w:rsidTr="007F2635">
        <w:trPr>
          <w:trHeight w:val="276"/>
        </w:trPr>
        <w:tc>
          <w:tcPr>
            <w:tcW w:w="237" w:type="dxa"/>
          </w:tcPr>
          <w:p w14:paraId="51082332"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403B0723"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General and administrative</w:t>
            </w:r>
          </w:p>
        </w:tc>
        <w:tc>
          <w:tcPr>
            <w:tcW w:w="478" w:type="dxa"/>
          </w:tcPr>
          <w:p w14:paraId="338D989E"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5A24A323" w14:textId="77777777" w:rsidR="002A38D3" w:rsidRPr="002A38D3" w:rsidRDefault="002A38D3" w:rsidP="002A38D3">
            <w:pPr>
              <w:widowControl w:val="0"/>
              <w:tabs>
                <w:tab w:val="decimal" w:pos="960"/>
              </w:tabs>
              <w:autoSpaceDE w:val="0"/>
              <w:autoSpaceDN w:val="0"/>
              <w:adjustRightInd w:val="0"/>
              <w:rPr>
                <w:snapToGrid w:val="0"/>
                <w:sz w:val="22"/>
                <w:szCs w:val="22"/>
              </w:rPr>
            </w:pPr>
          </w:p>
        </w:tc>
        <w:tc>
          <w:tcPr>
            <w:tcW w:w="1208" w:type="dxa"/>
          </w:tcPr>
          <w:p w14:paraId="4A936954" w14:textId="77777777" w:rsidR="002A38D3" w:rsidRPr="002A38D3" w:rsidRDefault="002A38D3" w:rsidP="002A38D3">
            <w:pPr>
              <w:widowControl w:val="0"/>
              <w:tabs>
                <w:tab w:val="decimal" w:pos="910"/>
              </w:tabs>
              <w:autoSpaceDE w:val="0"/>
              <w:autoSpaceDN w:val="0"/>
              <w:adjustRightInd w:val="0"/>
              <w:rPr>
                <w:snapToGrid w:val="0"/>
                <w:sz w:val="22"/>
                <w:szCs w:val="22"/>
              </w:rPr>
            </w:pPr>
          </w:p>
        </w:tc>
        <w:tc>
          <w:tcPr>
            <w:tcW w:w="1208" w:type="dxa"/>
          </w:tcPr>
          <w:p w14:paraId="143C9FC6" w14:textId="77777777" w:rsidR="002A38D3" w:rsidRPr="002A38D3" w:rsidRDefault="002A38D3" w:rsidP="002A38D3">
            <w:pPr>
              <w:widowControl w:val="0"/>
              <w:tabs>
                <w:tab w:val="decimal" w:pos="860"/>
              </w:tabs>
              <w:autoSpaceDE w:val="0"/>
              <w:autoSpaceDN w:val="0"/>
              <w:adjustRightInd w:val="0"/>
              <w:rPr>
                <w:snapToGrid w:val="0"/>
                <w:sz w:val="22"/>
                <w:szCs w:val="22"/>
              </w:rPr>
            </w:pPr>
            <w:r w:rsidRPr="002A38D3">
              <w:rPr>
                <w:snapToGrid w:val="0"/>
                <w:sz w:val="22"/>
                <w:szCs w:val="22"/>
              </w:rPr>
              <w:t>2,196</w:t>
            </w:r>
          </w:p>
        </w:tc>
        <w:tc>
          <w:tcPr>
            <w:tcW w:w="1208" w:type="dxa"/>
          </w:tcPr>
          <w:p w14:paraId="74CA23C0" w14:textId="77777777" w:rsidR="002A38D3" w:rsidRPr="002A38D3" w:rsidRDefault="002A38D3" w:rsidP="002A38D3">
            <w:pPr>
              <w:widowControl w:val="0"/>
              <w:tabs>
                <w:tab w:val="decimal" w:pos="907"/>
              </w:tabs>
              <w:autoSpaceDE w:val="0"/>
              <w:autoSpaceDN w:val="0"/>
              <w:adjustRightInd w:val="0"/>
              <w:rPr>
                <w:snapToGrid w:val="0"/>
                <w:sz w:val="22"/>
                <w:szCs w:val="22"/>
              </w:rPr>
            </w:pPr>
            <w:r w:rsidRPr="002A38D3">
              <w:rPr>
                <w:snapToGrid w:val="0"/>
                <w:sz w:val="22"/>
                <w:szCs w:val="22"/>
              </w:rPr>
              <w:t>1,637</w:t>
            </w:r>
          </w:p>
        </w:tc>
      </w:tr>
      <w:tr w:rsidR="002A38D3" w:rsidRPr="002A38D3" w14:paraId="00C4604C" w14:textId="77777777" w:rsidTr="007F2635">
        <w:trPr>
          <w:trHeight w:val="276"/>
        </w:trPr>
        <w:tc>
          <w:tcPr>
            <w:tcW w:w="237" w:type="dxa"/>
          </w:tcPr>
          <w:p w14:paraId="387BCA90" w14:textId="77777777" w:rsidR="002A38D3" w:rsidRPr="002A38D3" w:rsidRDefault="002A38D3" w:rsidP="002A38D3">
            <w:pPr>
              <w:widowControl w:val="0"/>
              <w:autoSpaceDE w:val="0"/>
              <w:autoSpaceDN w:val="0"/>
              <w:adjustRightInd w:val="0"/>
              <w:jc w:val="right"/>
              <w:rPr>
                <w:snapToGrid w:val="0"/>
                <w:sz w:val="22"/>
                <w:szCs w:val="22"/>
              </w:rPr>
            </w:pPr>
          </w:p>
        </w:tc>
        <w:tc>
          <w:tcPr>
            <w:tcW w:w="1462" w:type="dxa"/>
          </w:tcPr>
          <w:p w14:paraId="0016CB49" w14:textId="77777777" w:rsidR="002A38D3" w:rsidRPr="002A38D3" w:rsidRDefault="002A38D3" w:rsidP="002A38D3">
            <w:pPr>
              <w:widowControl w:val="0"/>
              <w:autoSpaceDE w:val="0"/>
              <w:autoSpaceDN w:val="0"/>
              <w:adjustRightInd w:val="0"/>
              <w:jc w:val="right"/>
              <w:rPr>
                <w:snapToGrid w:val="0"/>
                <w:sz w:val="22"/>
                <w:szCs w:val="22"/>
              </w:rPr>
            </w:pPr>
          </w:p>
        </w:tc>
        <w:tc>
          <w:tcPr>
            <w:tcW w:w="2921" w:type="dxa"/>
          </w:tcPr>
          <w:p w14:paraId="05816240"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4FA2E39A"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370274D7" w14:textId="77777777" w:rsidR="002A38D3" w:rsidRPr="002A38D3" w:rsidRDefault="002A38D3" w:rsidP="002A38D3">
            <w:pPr>
              <w:widowControl w:val="0"/>
              <w:tabs>
                <w:tab w:val="decimal" w:pos="960"/>
              </w:tabs>
              <w:autoSpaceDE w:val="0"/>
              <w:autoSpaceDN w:val="0"/>
              <w:adjustRightInd w:val="0"/>
              <w:rPr>
                <w:snapToGrid w:val="0"/>
                <w:sz w:val="22"/>
                <w:szCs w:val="22"/>
              </w:rPr>
            </w:pPr>
          </w:p>
        </w:tc>
        <w:tc>
          <w:tcPr>
            <w:tcW w:w="1208" w:type="dxa"/>
          </w:tcPr>
          <w:p w14:paraId="744920F6" w14:textId="77777777" w:rsidR="002A38D3" w:rsidRPr="002A38D3" w:rsidRDefault="002A38D3" w:rsidP="002A38D3">
            <w:pPr>
              <w:widowControl w:val="0"/>
              <w:tabs>
                <w:tab w:val="decimal" w:pos="910"/>
              </w:tabs>
              <w:autoSpaceDE w:val="0"/>
              <w:autoSpaceDN w:val="0"/>
              <w:adjustRightInd w:val="0"/>
              <w:rPr>
                <w:snapToGrid w:val="0"/>
                <w:sz w:val="22"/>
                <w:szCs w:val="22"/>
              </w:rPr>
            </w:pPr>
          </w:p>
        </w:tc>
        <w:tc>
          <w:tcPr>
            <w:tcW w:w="1208" w:type="dxa"/>
            <w:tcBorders>
              <w:top w:val="single" w:sz="6" w:space="0" w:color="auto"/>
            </w:tcBorders>
          </w:tcPr>
          <w:p w14:paraId="34827ACC" w14:textId="77777777" w:rsidR="002A38D3" w:rsidRPr="002A38D3" w:rsidRDefault="002A38D3" w:rsidP="002A38D3">
            <w:pPr>
              <w:widowControl w:val="0"/>
              <w:tabs>
                <w:tab w:val="decimal" w:pos="860"/>
              </w:tabs>
              <w:autoSpaceDE w:val="0"/>
              <w:autoSpaceDN w:val="0"/>
              <w:adjustRightInd w:val="0"/>
              <w:rPr>
                <w:snapToGrid w:val="0"/>
                <w:sz w:val="22"/>
                <w:szCs w:val="22"/>
              </w:rPr>
            </w:pPr>
            <w:r w:rsidRPr="002A38D3">
              <w:rPr>
                <w:snapToGrid w:val="0"/>
                <w:sz w:val="22"/>
                <w:szCs w:val="22"/>
              </w:rPr>
              <w:t>4,640</w:t>
            </w:r>
          </w:p>
        </w:tc>
        <w:tc>
          <w:tcPr>
            <w:tcW w:w="1208" w:type="dxa"/>
            <w:tcBorders>
              <w:top w:val="single" w:sz="6" w:space="0" w:color="auto"/>
            </w:tcBorders>
          </w:tcPr>
          <w:p w14:paraId="0CADC0A6" w14:textId="77777777" w:rsidR="002A38D3" w:rsidRPr="002A38D3" w:rsidRDefault="002A38D3" w:rsidP="002A38D3">
            <w:pPr>
              <w:widowControl w:val="0"/>
              <w:tabs>
                <w:tab w:val="decimal" w:pos="907"/>
              </w:tabs>
              <w:autoSpaceDE w:val="0"/>
              <w:autoSpaceDN w:val="0"/>
              <w:adjustRightInd w:val="0"/>
              <w:rPr>
                <w:snapToGrid w:val="0"/>
                <w:sz w:val="22"/>
                <w:szCs w:val="22"/>
              </w:rPr>
            </w:pPr>
            <w:r w:rsidRPr="002A38D3">
              <w:rPr>
                <w:snapToGrid w:val="0"/>
                <w:sz w:val="22"/>
                <w:szCs w:val="22"/>
              </w:rPr>
              <w:t>3,548</w:t>
            </w:r>
          </w:p>
        </w:tc>
      </w:tr>
      <w:tr w:rsidR="002A38D3" w:rsidRPr="002A38D3" w14:paraId="39F7A744" w14:textId="77777777" w:rsidTr="007F2635">
        <w:trPr>
          <w:trHeight w:val="276"/>
        </w:trPr>
        <w:tc>
          <w:tcPr>
            <w:tcW w:w="237" w:type="dxa"/>
          </w:tcPr>
          <w:p w14:paraId="08AEFBBC"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3BFC10A6"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Loss from operations</w:t>
            </w:r>
          </w:p>
        </w:tc>
        <w:tc>
          <w:tcPr>
            <w:tcW w:w="478" w:type="dxa"/>
          </w:tcPr>
          <w:p w14:paraId="50177BD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2FF7E7CA" w14:textId="77777777" w:rsidR="002A38D3" w:rsidRPr="002A38D3" w:rsidRDefault="002A38D3" w:rsidP="002A38D3">
            <w:pPr>
              <w:widowControl w:val="0"/>
              <w:tabs>
                <w:tab w:val="decimal" w:pos="960"/>
              </w:tabs>
              <w:autoSpaceDE w:val="0"/>
              <w:autoSpaceDN w:val="0"/>
              <w:adjustRightInd w:val="0"/>
              <w:rPr>
                <w:snapToGrid w:val="0"/>
                <w:sz w:val="22"/>
                <w:szCs w:val="22"/>
              </w:rPr>
            </w:pPr>
          </w:p>
        </w:tc>
        <w:tc>
          <w:tcPr>
            <w:tcW w:w="1208" w:type="dxa"/>
          </w:tcPr>
          <w:p w14:paraId="5483F8B0" w14:textId="77777777" w:rsidR="002A38D3" w:rsidRPr="002A38D3" w:rsidRDefault="002A38D3" w:rsidP="002A38D3">
            <w:pPr>
              <w:widowControl w:val="0"/>
              <w:tabs>
                <w:tab w:val="decimal" w:pos="910"/>
              </w:tabs>
              <w:autoSpaceDE w:val="0"/>
              <w:autoSpaceDN w:val="0"/>
              <w:adjustRightInd w:val="0"/>
              <w:jc w:val="center"/>
              <w:rPr>
                <w:snapToGrid w:val="0"/>
                <w:sz w:val="22"/>
                <w:szCs w:val="22"/>
              </w:rPr>
            </w:pPr>
          </w:p>
        </w:tc>
        <w:tc>
          <w:tcPr>
            <w:tcW w:w="1208" w:type="dxa"/>
            <w:tcBorders>
              <w:top w:val="single" w:sz="6" w:space="0" w:color="auto"/>
            </w:tcBorders>
          </w:tcPr>
          <w:p w14:paraId="65E85CA4" w14:textId="77777777" w:rsidR="002A38D3" w:rsidRPr="002A38D3" w:rsidRDefault="002A38D3" w:rsidP="002A38D3">
            <w:pPr>
              <w:widowControl w:val="0"/>
              <w:tabs>
                <w:tab w:val="decimal" w:pos="860"/>
              </w:tabs>
              <w:autoSpaceDE w:val="0"/>
              <w:autoSpaceDN w:val="0"/>
              <w:adjustRightInd w:val="0"/>
              <w:rPr>
                <w:snapToGrid w:val="0"/>
                <w:sz w:val="22"/>
                <w:szCs w:val="22"/>
              </w:rPr>
            </w:pPr>
            <w:r w:rsidRPr="002A38D3">
              <w:rPr>
                <w:snapToGrid w:val="0"/>
                <w:sz w:val="22"/>
                <w:szCs w:val="22"/>
              </w:rPr>
              <w:t>(2,817)</w:t>
            </w:r>
          </w:p>
        </w:tc>
        <w:tc>
          <w:tcPr>
            <w:tcW w:w="1208" w:type="dxa"/>
            <w:tcBorders>
              <w:top w:val="single" w:sz="6" w:space="0" w:color="auto"/>
            </w:tcBorders>
          </w:tcPr>
          <w:p w14:paraId="1E36DE37" w14:textId="77777777" w:rsidR="002A38D3" w:rsidRPr="002A38D3" w:rsidRDefault="002A38D3" w:rsidP="002A38D3">
            <w:pPr>
              <w:widowControl w:val="0"/>
              <w:tabs>
                <w:tab w:val="decimal" w:pos="907"/>
              </w:tabs>
              <w:autoSpaceDE w:val="0"/>
              <w:autoSpaceDN w:val="0"/>
              <w:adjustRightInd w:val="0"/>
              <w:jc w:val="center"/>
              <w:rPr>
                <w:snapToGrid w:val="0"/>
                <w:sz w:val="22"/>
                <w:szCs w:val="22"/>
              </w:rPr>
            </w:pPr>
            <w:r w:rsidRPr="002A38D3">
              <w:rPr>
                <w:snapToGrid w:val="0"/>
                <w:sz w:val="22"/>
                <w:szCs w:val="22"/>
              </w:rPr>
              <w:t>(2,372)</w:t>
            </w:r>
          </w:p>
        </w:tc>
      </w:tr>
      <w:tr w:rsidR="002A38D3" w:rsidRPr="002A38D3" w14:paraId="3862C4C1" w14:textId="77777777" w:rsidTr="007F2635">
        <w:trPr>
          <w:trHeight w:val="276"/>
        </w:trPr>
        <w:tc>
          <w:tcPr>
            <w:tcW w:w="237" w:type="dxa"/>
          </w:tcPr>
          <w:p w14:paraId="6CD8B9E3"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51601FAB"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Other income (expense), net</w:t>
            </w:r>
          </w:p>
        </w:tc>
        <w:tc>
          <w:tcPr>
            <w:tcW w:w="478" w:type="dxa"/>
          </w:tcPr>
          <w:p w14:paraId="6FABB3AB"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29188B14" w14:textId="77777777" w:rsidR="002A38D3" w:rsidRPr="002A38D3" w:rsidRDefault="002A38D3" w:rsidP="002A38D3">
            <w:pPr>
              <w:widowControl w:val="0"/>
              <w:tabs>
                <w:tab w:val="decimal" w:pos="960"/>
              </w:tabs>
              <w:autoSpaceDE w:val="0"/>
              <w:autoSpaceDN w:val="0"/>
              <w:adjustRightInd w:val="0"/>
              <w:rPr>
                <w:snapToGrid w:val="0"/>
                <w:sz w:val="22"/>
                <w:szCs w:val="22"/>
              </w:rPr>
            </w:pPr>
          </w:p>
        </w:tc>
        <w:tc>
          <w:tcPr>
            <w:tcW w:w="1208" w:type="dxa"/>
          </w:tcPr>
          <w:p w14:paraId="2D9C3DBB" w14:textId="77777777" w:rsidR="002A38D3" w:rsidRPr="002A38D3" w:rsidRDefault="002A38D3" w:rsidP="002A38D3">
            <w:pPr>
              <w:widowControl w:val="0"/>
              <w:tabs>
                <w:tab w:val="decimal" w:pos="910"/>
              </w:tabs>
              <w:autoSpaceDE w:val="0"/>
              <w:autoSpaceDN w:val="0"/>
              <w:adjustRightInd w:val="0"/>
              <w:rPr>
                <w:snapToGrid w:val="0"/>
                <w:sz w:val="22"/>
                <w:szCs w:val="22"/>
              </w:rPr>
            </w:pPr>
          </w:p>
        </w:tc>
        <w:tc>
          <w:tcPr>
            <w:tcW w:w="1208" w:type="dxa"/>
          </w:tcPr>
          <w:p w14:paraId="5DF90300" w14:textId="77777777" w:rsidR="002A38D3" w:rsidRPr="002A38D3" w:rsidRDefault="002A38D3" w:rsidP="002A38D3">
            <w:pPr>
              <w:widowControl w:val="0"/>
              <w:tabs>
                <w:tab w:val="decimal" w:pos="860"/>
              </w:tabs>
              <w:autoSpaceDE w:val="0"/>
              <w:autoSpaceDN w:val="0"/>
              <w:adjustRightInd w:val="0"/>
              <w:rPr>
                <w:snapToGrid w:val="0"/>
                <w:sz w:val="22"/>
                <w:szCs w:val="22"/>
              </w:rPr>
            </w:pPr>
            <w:r w:rsidRPr="002A38D3">
              <w:rPr>
                <w:snapToGrid w:val="0"/>
                <w:sz w:val="22"/>
                <w:szCs w:val="22"/>
              </w:rPr>
              <w:t>(141)</w:t>
            </w:r>
          </w:p>
        </w:tc>
        <w:tc>
          <w:tcPr>
            <w:tcW w:w="1208" w:type="dxa"/>
          </w:tcPr>
          <w:p w14:paraId="34F50F90" w14:textId="77777777" w:rsidR="002A38D3" w:rsidRPr="002A38D3" w:rsidRDefault="002A38D3" w:rsidP="002A38D3">
            <w:pPr>
              <w:widowControl w:val="0"/>
              <w:tabs>
                <w:tab w:val="decimal" w:pos="907"/>
              </w:tabs>
              <w:autoSpaceDE w:val="0"/>
              <w:autoSpaceDN w:val="0"/>
              <w:adjustRightInd w:val="0"/>
              <w:rPr>
                <w:snapToGrid w:val="0"/>
                <w:sz w:val="22"/>
                <w:szCs w:val="22"/>
              </w:rPr>
            </w:pPr>
            <w:r w:rsidRPr="002A38D3">
              <w:rPr>
                <w:snapToGrid w:val="0"/>
                <w:sz w:val="22"/>
                <w:szCs w:val="22"/>
              </w:rPr>
              <w:t>2</w:t>
            </w:r>
          </w:p>
        </w:tc>
      </w:tr>
      <w:tr w:rsidR="002A38D3" w:rsidRPr="002A38D3" w14:paraId="3B521ADD" w14:textId="77777777" w:rsidTr="007F2635">
        <w:trPr>
          <w:trHeight w:val="276"/>
        </w:trPr>
        <w:tc>
          <w:tcPr>
            <w:tcW w:w="237" w:type="dxa"/>
          </w:tcPr>
          <w:p w14:paraId="4022F7DB" w14:textId="77777777" w:rsidR="002A38D3" w:rsidRPr="002A38D3" w:rsidRDefault="002A38D3" w:rsidP="002A38D3">
            <w:pPr>
              <w:widowControl w:val="0"/>
              <w:autoSpaceDE w:val="0"/>
              <w:autoSpaceDN w:val="0"/>
              <w:adjustRightInd w:val="0"/>
              <w:jc w:val="right"/>
              <w:rPr>
                <w:snapToGrid w:val="0"/>
                <w:sz w:val="22"/>
                <w:szCs w:val="22"/>
              </w:rPr>
            </w:pPr>
          </w:p>
        </w:tc>
        <w:tc>
          <w:tcPr>
            <w:tcW w:w="1462" w:type="dxa"/>
          </w:tcPr>
          <w:p w14:paraId="188B5AF0" w14:textId="77777777" w:rsidR="002A38D3" w:rsidRPr="002A38D3" w:rsidRDefault="002A38D3" w:rsidP="002A38D3">
            <w:pPr>
              <w:widowControl w:val="0"/>
              <w:autoSpaceDE w:val="0"/>
              <w:autoSpaceDN w:val="0"/>
              <w:adjustRightInd w:val="0"/>
              <w:jc w:val="right"/>
              <w:rPr>
                <w:snapToGrid w:val="0"/>
                <w:sz w:val="22"/>
                <w:szCs w:val="22"/>
              </w:rPr>
            </w:pPr>
          </w:p>
        </w:tc>
        <w:tc>
          <w:tcPr>
            <w:tcW w:w="2921" w:type="dxa"/>
          </w:tcPr>
          <w:p w14:paraId="352C5C84"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01E5F7B1"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6E5BFC91" w14:textId="77777777" w:rsidR="002A38D3" w:rsidRPr="002A38D3" w:rsidRDefault="002A38D3" w:rsidP="002A38D3">
            <w:pPr>
              <w:widowControl w:val="0"/>
              <w:tabs>
                <w:tab w:val="decimal" w:pos="960"/>
              </w:tabs>
              <w:autoSpaceDE w:val="0"/>
              <w:autoSpaceDN w:val="0"/>
              <w:adjustRightInd w:val="0"/>
              <w:rPr>
                <w:snapToGrid w:val="0"/>
                <w:sz w:val="22"/>
                <w:szCs w:val="22"/>
              </w:rPr>
            </w:pPr>
          </w:p>
        </w:tc>
        <w:tc>
          <w:tcPr>
            <w:tcW w:w="1208" w:type="dxa"/>
          </w:tcPr>
          <w:p w14:paraId="59F53A84" w14:textId="77777777" w:rsidR="002A38D3" w:rsidRPr="002A38D3" w:rsidRDefault="002A38D3" w:rsidP="002A38D3">
            <w:pPr>
              <w:widowControl w:val="0"/>
              <w:tabs>
                <w:tab w:val="decimal" w:pos="910"/>
              </w:tabs>
              <w:autoSpaceDE w:val="0"/>
              <w:autoSpaceDN w:val="0"/>
              <w:adjustRightInd w:val="0"/>
              <w:rPr>
                <w:snapToGrid w:val="0"/>
                <w:sz w:val="22"/>
                <w:szCs w:val="22"/>
              </w:rPr>
            </w:pPr>
          </w:p>
        </w:tc>
        <w:tc>
          <w:tcPr>
            <w:tcW w:w="1208" w:type="dxa"/>
            <w:tcBorders>
              <w:top w:val="single" w:sz="6" w:space="0" w:color="auto"/>
            </w:tcBorders>
          </w:tcPr>
          <w:p w14:paraId="2FD2C3D4" w14:textId="77777777" w:rsidR="002A38D3" w:rsidRPr="002A38D3" w:rsidRDefault="002A38D3" w:rsidP="002A38D3">
            <w:pPr>
              <w:widowControl w:val="0"/>
              <w:tabs>
                <w:tab w:val="decimal" w:pos="860"/>
              </w:tabs>
              <w:autoSpaceDE w:val="0"/>
              <w:autoSpaceDN w:val="0"/>
              <w:adjustRightInd w:val="0"/>
              <w:jc w:val="center"/>
              <w:rPr>
                <w:snapToGrid w:val="0"/>
                <w:sz w:val="22"/>
                <w:szCs w:val="22"/>
              </w:rPr>
            </w:pPr>
          </w:p>
        </w:tc>
        <w:tc>
          <w:tcPr>
            <w:tcW w:w="1208" w:type="dxa"/>
            <w:tcBorders>
              <w:top w:val="single" w:sz="6" w:space="0" w:color="auto"/>
            </w:tcBorders>
          </w:tcPr>
          <w:p w14:paraId="43AF68BE" w14:textId="77777777" w:rsidR="002A38D3" w:rsidRPr="002A38D3" w:rsidRDefault="002A38D3" w:rsidP="002A38D3">
            <w:pPr>
              <w:widowControl w:val="0"/>
              <w:tabs>
                <w:tab w:val="decimal" w:pos="907"/>
              </w:tabs>
              <w:autoSpaceDE w:val="0"/>
              <w:autoSpaceDN w:val="0"/>
              <w:adjustRightInd w:val="0"/>
              <w:jc w:val="center"/>
              <w:rPr>
                <w:snapToGrid w:val="0"/>
                <w:sz w:val="22"/>
                <w:szCs w:val="22"/>
              </w:rPr>
            </w:pPr>
          </w:p>
        </w:tc>
      </w:tr>
      <w:tr w:rsidR="002A38D3" w:rsidRPr="002A38D3" w14:paraId="6176949C" w14:textId="77777777" w:rsidTr="007F2635">
        <w:trPr>
          <w:cantSplit/>
          <w:trHeight w:val="293"/>
        </w:trPr>
        <w:tc>
          <w:tcPr>
            <w:tcW w:w="4620" w:type="dxa"/>
            <w:gridSpan w:val="3"/>
          </w:tcPr>
          <w:p w14:paraId="57DD61F5"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Net loss</w:t>
            </w:r>
          </w:p>
        </w:tc>
        <w:tc>
          <w:tcPr>
            <w:tcW w:w="478" w:type="dxa"/>
          </w:tcPr>
          <w:p w14:paraId="6303CD64"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23EB69EB" w14:textId="77777777" w:rsidR="002A38D3" w:rsidRPr="002A38D3" w:rsidRDefault="002A38D3" w:rsidP="002A38D3">
            <w:pPr>
              <w:widowControl w:val="0"/>
              <w:tabs>
                <w:tab w:val="left" w:pos="150"/>
                <w:tab w:val="decimal" w:pos="960"/>
              </w:tabs>
              <w:autoSpaceDE w:val="0"/>
              <w:autoSpaceDN w:val="0"/>
              <w:adjustRightInd w:val="0"/>
              <w:rPr>
                <w:snapToGrid w:val="0"/>
                <w:sz w:val="22"/>
                <w:szCs w:val="22"/>
              </w:rPr>
            </w:pPr>
          </w:p>
        </w:tc>
        <w:tc>
          <w:tcPr>
            <w:tcW w:w="1208" w:type="dxa"/>
          </w:tcPr>
          <w:p w14:paraId="194B2820" w14:textId="77777777" w:rsidR="002A38D3" w:rsidRPr="002A38D3" w:rsidRDefault="002A38D3" w:rsidP="002A38D3">
            <w:pPr>
              <w:widowControl w:val="0"/>
              <w:tabs>
                <w:tab w:val="left" w:pos="100"/>
                <w:tab w:val="decimal" w:pos="910"/>
              </w:tabs>
              <w:autoSpaceDE w:val="0"/>
              <w:autoSpaceDN w:val="0"/>
              <w:adjustRightInd w:val="0"/>
              <w:rPr>
                <w:snapToGrid w:val="0"/>
                <w:sz w:val="22"/>
                <w:szCs w:val="22"/>
              </w:rPr>
            </w:pPr>
            <w:r w:rsidRPr="002A38D3">
              <w:rPr>
                <w:snapToGrid w:val="0"/>
                <w:sz w:val="22"/>
                <w:szCs w:val="22"/>
              </w:rPr>
              <w:tab/>
            </w:r>
          </w:p>
        </w:tc>
        <w:tc>
          <w:tcPr>
            <w:tcW w:w="1208" w:type="dxa"/>
            <w:tcBorders>
              <w:bottom w:val="double" w:sz="6" w:space="0" w:color="auto"/>
            </w:tcBorders>
          </w:tcPr>
          <w:p w14:paraId="734F1F99" w14:textId="77777777" w:rsidR="002A38D3" w:rsidRPr="002A38D3" w:rsidRDefault="002A38D3" w:rsidP="002A38D3">
            <w:pPr>
              <w:widowControl w:val="0"/>
              <w:tabs>
                <w:tab w:val="left" w:pos="50"/>
                <w:tab w:val="decimal" w:pos="860"/>
              </w:tabs>
              <w:autoSpaceDE w:val="0"/>
              <w:autoSpaceDN w:val="0"/>
              <w:adjustRightInd w:val="0"/>
              <w:rPr>
                <w:snapToGrid w:val="0"/>
                <w:sz w:val="22"/>
                <w:szCs w:val="22"/>
              </w:rPr>
            </w:pPr>
            <w:r w:rsidRPr="002A38D3">
              <w:rPr>
                <w:snapToGrid w:val="0"/>
                <w:sz w:val="22"/>
                <w:szCs w:val="22"/>
              </w:rPr>
              <w:tab/>
              <w:t>$</w:t>
            </w:r>
            <w:r w:rsidRPr="002A38D3">
              <w:rPr>
                <w:snapToGrid w:val="0"/>
                <w:sz w:val="22"/>
                <w:szCs w:val="22"/>
              </w:rPr>
              <w:tab/>
              <w:t>(2,958)</w:t>
            </w:r>
          </w:p>
        </w:tc>
        <w:tc>
          <w:tcPr>
            <w:tcW w:w="1208" w:type="dxa"/>
            <w:tcBorders>
              <w:bottom w:val="double" w:sz="6" w:space="0" w:color="auto"/>
            </w:tcBorders>
          </w:tcPr>
          <w:p w14:paraId="3D7C37D4" w14:textId="77777777" w:rsidR="002A38D3" w:rsidRPr="002A38D3" w:rsidRDefault="002A38D3" w:rsidP="002A38D3">
            <w:pPr>
              <w:widowControl w:val="0"/>
              <w:tabs>
                <w:tab w:val="left" w:pos="97"/>
                <w:tab w:val="decimal" w:pos="907"/>
              </w:tabs>
              <w:autoSpaceDE w:val="0"/>
              <w:autoSpaceDN w:val="0"/>
              <w:adjustRightInd w:val="0"/>
              <w:rPr>
                <w:snapToGrid w:val="0"/>
                <w:sz w:val="22"/>
                <w:szCs w:val="22"/>
              </w:rPr>
            </w:pPr>
            <w:r w:rsidRPr="002A38D3">
              <w:rPr>
                <w:snapToGrid w:val="0"/>
                <w:sz w:val="22"/>
                <w:szCs w:val="22"/>
              </w:rPr>
              <w:tab/>
              <w:t>$</w:t>
            </w:r>
            <w:r w:rsidRPr="002A38D3">
              <w:rPr>
                <w:snapToGrid w:val="0"/>
                <w:sz w:val="22"/>
                <w:szCs w:val="22"/>
              </w:rPr>
              <w:tab/>
              <w:t>(2,371)</w:t>
            </w:r>
          </w:p>
        </w:tc>
      </w:tr>
      <w:tr w:rsidR="002A38D3" w:rsidRPr="002A38D3" w14:paraId="25F09368" w14:textId="77777777" w:rsidTr="007F2635">
        <w:trPr>
          <w:trHeight w:val="293"/>
        </w:trPr>
        <w:tc>
          <w:tcPr>
            <w:tcW w:w="237" w:type="dxa"/>
          </w:tcPr>
          <w:p w14:paraId="1D300149" w14:textId="77777777" w:rsidR="002A38D3" w:rsidRPr="002A38D3" w:rsidRDefault="002A38D3" w:rsidP="002A38D3">
            <w:pPr>
              <w:widowControl w:val="0"/>
              <w:autoSpaceDE w:val="0"/>
              <w:autoSpaceDN w:val="0"/>
              <w:adjustRightInd w:val="0"/>
              <w:jc w:val="right"/>
              <w:rPr>
                <w:snapToGrid w:val="0"/>
                <w:sz w:val="22"/>
                <w:szCs w:val="22"/>
              </w:rPr>
            </w:pPr>
          </w:p>
        </w:tc>
        <w:tc>
          <w:tcPr>
            <w:tcW w:w="1462" w:type="dxa"/>
          </w:tcPr>
          <w:p w14:paraId="55AE147A" w14:textId="77777777" w:rsidR="002A38D3" w:rsidRPr="002A38D3" w:rsidRDefault="002A38D3" w:rsidP="002A38D3">
            <w:pPr>
              <w:widowControl w:val="0"/>
              <w:autoSpaceDE w:val="0"/>
              <w:autoSpaceDN w:val="0"/>
              <w:adjustRightInd w:val="0"/>
              <w:jc w:val="right"/>
              <w:rPr>
                <w:snapToGrid w:val="0"/>
                <w:sz w:val="22"/>
                <w:szCs w:val="22"/>
              </w:rPr>
            </w:pPr>
          </w:p>
        </w:tc>
        <w:tc>
          <w:tcPr>
            <w:tcW w:w="2921" w:type="dxa"/>
          </w:tcPr>
          <w:p w14:paraId="125466B0"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4AF423A9"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1308ED4E" w14:textId="77777777" w:rsidR="002A38D3" w:rsidRPr="002A38D3" w:rsidRDefault="002A38D3" w:rsidP="002A38D3">
            <w:pPr>
              <w:widowControl w:val="0"/>
              <w:autoSpaceDE w:val="0"/>
              <w:autoSpaceDN w:val="0"/>
              <w:adjustRightInd w:val="0"/>
              <w:jc w:val="center"/>
              <w:rPr>
                <w:snapToGrid w:val="0"/>
                <w:sz w:val="22"/>
                <w:szCs w:val="22"/>
              </w:rPr>
            </w:pPr>
          </w:p>
        </w:tc>
        <w:tc>
          <w:tcPr>
            <w:tcW w:w="1208" w:type="dxa"/>
          </w:tcPr>
          <w:p w14:paraId="588473D2" w14:textId="77777777" w:rsidR="002A38D3" w:rsidRPr="002A38D3" w:rsidRDefault="002A38D3" w:rsidP="002A38D3">
            <w:pPr>
              <w:widowControl w:val="0"/>
              <w:autoSpaceDE w:val="0"/>
              <w:autoSpaceDN w:val="0"/>
              <w:adjustRightInd w:val="0"/>
              <w:jc w:val="center"/>
              <w:rPr>
                <w:snapToGrid w:val="0"/>
                <w:sz w:val="22"/>
                <w:szCs w:val="22"/>
              </w:rPr>
            </w:pPr>
          </w:p>
        </w:tc>
        <w:tc>
          <w:tcPr>
            <w:tcW w:w="1208" w:type="dxa"/>
          </w:tcPr>
          <w:p w14:paraId="6C5C18C0" w14:textId="77777777" w:rsidR="002A38D3" w:rsidRPr="002A38D3" w:rsidRDefault="002A38D3" w:rsidP="002A38D3">
            <w:pPr>
              <w:widowControl w:val="0"/>
              <w:autoSpaceDE w:val="0"/>
              <w:autoSpaceDN w:val="0"/>
              <w:adjustRightInd w:val="0"/>
              <w:jc w:val="center"/>
              <w:rPr>
                <w:snapToGrid w:val="0"/>
                <w:sz w:val="22"/>
                <w:szCs w:val="22"/>
              </w:rPr>
            </w:pPr>
          </w:p>
        </w:tc>
        <w:tc>
          <w:tcPr>
            <w:tcW w:w="1208" w:type="dxa"/>
          </w:tcPr>
          <w:p w14:paraId="242E794F" w14:textId="77777777" w:rsidR="002A38D3" w:rsidRPr="002A38D3" w:rsidRDefault="002A38D3" w:rsidP="002A38D3">
            <w:pPr>
              <w:widowControl w:val="0"/>
              <w:autoSpaceDE w:val="0"/>
              <w:autoSpaceDN w:val="0"/>
              <w:adjustRightInd w:val="0"/>
              <w:jc w:val="center"/>
              <w:rPr>
                <w:snapToGrid w:val="0"/>
                <w:sz w:val="22"/>
                <w:szCs w:val="22"/>
              </w:rPr>
            </w:pPr>
          </w:p>
        </w:tc>
      </w:tr>
      <w:tr w:rsidR="002A38D3" w:rsidRPr="002A38D3" w14:paraId="23F1E056" w14:textId="77777777" w:rsidTr="007F2635">
        <w:trPr>
          <w:trHeight w:val="276"/>
        </w:trPr>
        <w:tc>
          <w:tcPr>
            <w:tcW w:w="4620" w:type="dxa"/>
            <w:gridSpan w:val="3"/>
          </w:tcPr>
          <w:p w14:paraId="1953D01B"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Net loss per common share</w:t>
            </w:r>
          </w:p>
        </w:tc>
        <w:tc>
          <w:tcPr>
            <w:tcW w:w="478" w:type="dxa"/>
          </w:tcPr>
          <w:p w14:paraId="3F634EA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5FCE7639" w14:textId="77777777" w:rsidR="002A38D3" w:rsidRPr="002A38D3" w:rsidRDefault="002A38D3" w:rsidP="002A38D3">
            <w:pPr>
              <w:widowControl w:val="0"/>
              <w:tabs>
                <w:tab w:val="left" w:pos="150"/>
                <w:tab w:val="decimal" w:pos="690"/>
              </w:tabs>
              <w:autoSpaceDE w:val="0"/>
              <w:autoSpaceDN w:val="0"/>
              <w:adjustRightInd w:val="0"/>
              <w:rPr>
                <w:snapToGrid w:val="0"/>
                <w:sz w:val="22"/>
                <w:szCs w:val="22"/>
              </w:rPr>
            </w:pPr>
          </w:p>
        </w:tc>
        <w:tc>
          <w:tcPr>
            <w:tcW w:w="1208" w:type="dxa"/>
          </w:tcPr>
          <w:p w14:paraId="0E9A6311" w14:textId="77777777" w:rsidR="002A38D3" w:rsidRPr="002A38D3" w:rsidRDefault="002A38D3" w:rsidP="002A38D3">
            <w:pPr>
              <w:widowControl w:val="0"/>
              <w:tabs>
                <w:tab w:val="left" w:pos="100"/>
                <w:tab w:val="decimal" w:pos="640"/>
              </w:tabs>
              <w:autoSpaceDE w:val="0"/>
              <w:autoSpaceDN w:val="0"/>
              <w:adjustRightInd w:val="0"/>
              <w:rPr>
                <w:snapToGrid w:val="0"/>
                <w:sz w:val="22"/>
                <w:szCs w:val="22"/>
              </w:rPr>
            </w:pPr>
          </w:p>
        </w:tc>
        <w:tc>
          <w:tcPr>
            <w:tcW w:w="1208" w:type="dxa"/>
            <w:tcBorders>
              <w:bottom w:val="double" w:sz="4" w:space="0" w:color="auto"/>
            </w:tcBorders>
            <w:shd w:val="clear" w:color="auto" w:fill="auto"/>
          </w:tcPr>
          <w:p w14:paraId="53D74E67" w14:textId="77777777" w:rsidR="002A38D3" w:rsidRPr="002A38D3" w:rsidRDefault="002A38D3" w:rsidP="002A38D3">
            <w:pPr>
              <w:widowControl w:val="0"/>
              <w:tabs>
                <w:tab w:val="left" w:pos="140"/>
                <w:tab w:val="decimal" w:pos="590"/>
              </w:tabs>
              <w:autoSpaceDE w:val="0"/>
              <w:autoSpaceDN w:val="0"/>
              <w:adjustRightInd w:val="0"/>
              <w:rPr>
                <w:snapToGrid w:val="0"/>
                <w:sz w:val="22"/>
                <w:szCs w:val="22"/>
              </w:rPr>
            </w:pPr>
            <w:r w:rsidRPr="002A38D3">
              <w:rPr>
                <w:snapToGrid w:val="0"/>
                <w:sz w:val="22"/>
                <w:szCs w:val="22"/>
              </w:rPr>
              <w:tab/>
              <w:t>$</w:t>
            </w:r>
            <w:r w:rsidRPr="002A38D3">
              <w:rPr>
                <w:snapToGrid w:val="0"/>
                <w:sz w:val="22"/>
                <w:szCs w:val="22"/>
              </w:rPr>
              <w:tab/>
              <w:t>(2.14)</w:t>
            </w:r>
          </w:p>
        </w:tc>
        <w:tc>
          <w:tcPr>
            <w:tcW w:w="1208" w:type="dxa"/>
            <w:tcBorders>
              <w:bottom w:val="double" w:sz="4" w:space="0" w:color="auto"/>
            </w:tcBorders>
            <w:shd w:val="clear" w:color="auto" w:fill="auto"/>
          </w:tcPr>
          <w:p w14:paraId="05E7AD59" w14:textId="77777777" w:rsidR="002A38D3" w:rsidRPr="002A38D3" w:rsidRDefault="002A38D3" w:rsidP="002A38D3">
            <w:pPr>
              <w:widowControl w:val="0"/>
              <w:tabs>
                <w:tab w:val="left" w:pos="97"/>
                <w:tab w:val="decimal" w:pos="637"/>
              </w:tabs>
              <w:autoSpaceDE w:val="0"/>
              <w:autoSpaceDN w:val="0"/>
              <w:adjustRightInd w:val="0"/>
              <w:rPr>
                <w:snapToGrid w:val="0"/>
                <w:sz w:val="22"/>
                <w:szCs w:val="22"/>
              </w:rPr>
            </w:pPr>
            <w:r w:rsidRPr="002A38D3">
              <w:rPr>
                <w:snapToGrid w:val="0"/>
                <w:sz w:val="22"/>
                <w:szCs w:val="22"/>
              </w:rPr>
              <w:tab/>
              <w:t>$</w:t>
            </w:r>
            <w:r w:rsidRPr="002A38D3">
              <w:rPr>
                <w:snapToGrid w:val="0"/>
                <w:sz w:val="22"/>
                <w:szCs w:val="22"/>
              </w:rPr>
              <w:tab/>
              <w:t>(781.87)</w:t>
            </w:r>
          </w:p>
        </w:tc>
      </w:tr>
      <w:tr w:rsidR="002A38D3" w:rsidRPr="002A38D3" w14:paraId="53405EEC" w14:textId="77777777" w:rsidTr="007F2635">
        <w:trPr>
          <w:trHeight w:val="276"/>
        </w:trPr>
        <w:tc>
          <w:tcPr>
            <w:tcW w:w="4620" w:type="dxa"/>
            <w:gridSpan w:val="3"/>
          </w:tcPr>
          <w:p w14:paraId="11381524" w14:textId="77777777" w:rsidR="002A38D3" w:rsidRPr="002A38D3" w:rsidRDefault="002A38D3" w:rsidP="002A38D3">
            <w:pPr>
              <w:widowControl w:val="0"/>
              <w:autoSpaceDE w:val="0"/>
              <w:autoSpaceDN w:val="0"/>
              <w:adjustRightInd w:val="0"/>
              <w:rPr>
                <w:snapToGrid w:val="0"/>
                <w:sz w:val="22"/>
                <w:szCs w:val="22"/>
              </w:rPr>
            </w:pPr>
          </w:p>
        </w:tc>
        <w:tc>
          <w:tcPr>
            <w:tcW w:w="478" w:type="dxa"/>
          </w:tcPr>
          <w:p w14:paraId="2F8FCE03"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3ADF0AF4" w14:textId="77777777" w:rsidR="002A38D3" w:rsidRPr="002A38D3" w:rsidRDefault="002A38D3" w:rsidP="002A38D3">
            <w:pPr>
              <w:widowControl w:val="0"/>
              <w:tabs>
                <w:tab w:val="left" w:pos="150"/>
                <w:tab w:val="decimal" w:pos="690"/>
              </w:tabs>
              <w:autoSpaceDE w:val="0"/>
              <w:autoSpaceDN w:val="0"/>
              <w:adjustRightInd w:val="0"/>
              <w:rPr>
                <w:snapToGrid w:val="0"/>
                <w:sz w:val="22"/>
                <w:szCs w:val="22"/>
              </w:rPr>
            </w:pPr>
          </w:p>
        </w:tc>
        <w:tc>
          <w:tcPr>
            <w:tcW w:w="1208" w:type="dxa"/>
          </w:tcPr>
          <w:p w14:paraId="19B3FF85" w14:textId="77777777" w:rsidR="002A38D3" w:rsidRPr="002A38D3" w:rsidRDefault="002A38D3" w:rsidP="002A38D3">
            <w:pPr>
              <w:widowControl w:val="0"/>
              <w:tabs>
                <w:tab w:val="left" w:pos="100"/>
                <w:tab w:val="decimal" w:pos="640"/>
              </w:tabs>
              <w:autoSpaceDE w:val="0"/>
              <w:autoSpaceDN w:val="0"/>
              <w:adjustRightInd w:val="0"/>
              <w:rPr>
                <w:snapToGrid w:val="0"/>
                <w:sz w:val="22"/>
                <w:szCs w:val="22"/>
              </w:rPr>
            </w:pPr>
          </w:p>
        </w:tc>
        <w:tc>
          <w:tcPr>
            <w:tcW w:w="1208" w:type="dxa"/>
          </w:tcPr>
          <w:p w14:paraId="295E52BB" w14:textId="77777777" w:rsidR="002A38D3" w:rsidRPr="002A38D3" w:rsidRDefault="002A38D3" w:rsidP="002A38D3">
            <w:pPr>
              <w:widowControl w:val="0"/>
              <w:tabs>
                <w:tab w:val="left" w:pos="140"/>
                <w:tab w:val="decimal" w:pos="590"/>
              </w:tabs>
              <w:autoSpaceDE w:val="0"/>
              <w:autoSpaceDN w:val="0"/>
              <w:adjustRightInd w:val="0"/>
              <w:rPr>
                <w:snapToGrid w:val="0"/>
                <w:sz w:val="22"/>
                <w:szCs w:val="22"/>
              </w:rPr>
            </w:pPr>
          </w:p>
        </w:tc>
        <w:tc>
          <w:tcPr>
            <w:tcW w:w="1208" w:type="dxa"/>
          </w:tcPr>
          <w:p w14:paraId="2298995E" w14:textId="77777777" w:rsidR="002A38D3" w:rsidRPr="002A38D3" w:rsidRDefault="002A38D3" w:rsidP="002A38D3">
            <w:pPr>
              <w:widowControl w:val="0"/>
              <w:tabs>
                <w:tab w:val="left" w:pos="97"/>
                <w:tab w:val="decimal" w:pos="637"/>
              </w:tabs>
              <w:autoSpaceDE w:val="0"/>
              <w:autoSpaceDN w:val="0"/>
              <w:adjustRightInd w:val="0"/>
              <w:rPr>
                <w:snapToGrid w:val="0"/>
                <w:sz w:val="22"/>
                <w:szCs w:val="22"/>
              </w:rPr>
            </w:pPr>
          </w:p>
        </w:tc>
      </w:tr>
      <w:tr w:rsidR="002A38D3" w:rsidRPr="002A38D3" w14:paraId="27AA043A" w14:textId="77777777" w:rsidTr="007F2635">
        <w:trPr>
          <w:trHeight w:val="276"/>
        </w:trPr>
        <w:tc>
          <w:tcPr>
            <w:tcW w:w="4620" w:type="dxa"/>
            <w:gridSpan w:val="3"/>
          </w:tcPr>
          <w:p w14:paraId="67867147"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Weighted average shares outstanding</w:t>
            </w:r>
          </w:p>
        </w:tc>
        <w:tc>
          <w:tcPr>
            <w:tcW w:w="478" w:type="dxa"/>
          </w:tcPr>
          <w:p w14:paraId="2BB4A010"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4B6D5589" w14:textId="77777777" w:rsidR="002A38D3" w:rsidRPr="002A38D3" w:rsidRDefault="002A38D3" w:rsidP="002A38D3">
            <w:pPr>
              <w:widowControl w:val="0"/>
              <w:tabs>
                <w:tab w:val="left" w:pos="150"/>
                <w:tab w:val="decimal" w:pos="690"/>
              </w:tabs>
              <w:autoSpaceDE w:val="0"/>
              <w:autoSpaceDN w:val="0"/>
              <w:adjustRightInd w:val="0"/>
              <w:rPr>
                <w:snapToGrid w:val="0"/>
                <w:sz w:val="22"/>
                <w:szCs w:val="22"/>
              </w:rPr>
            </w:pPr>
          </w:p>
        </w:tc>
        <w:tc>
          <w:tcPr>
            <w:tcW w:w="1208" w:type="dxa"/>
          </w:tcPr>
          <w:p w14:paraId="3C774CCD" w14:textId="77777777" w:rsidR="002A38D3" w:rsidRPr="002A38D3" w:rsidRDefault="002A38D3" w:rsidP="002A38D3">
            <w:pPr>
              <w:widowControl w:val="0"/>
              <w:tabs>
                <w:tab w:val="left" w:pos="100"/>
                <w:tab w:val="decimal" w:pos="640"/>
              </w:tabs>
              <w:autoSpaceDE w:val="0"/>
              <w:autoSpaceDN w:val="0"/>
              <w:adjustRightInd w:val="0"/>
              <w:rPr>
                <w:snapToGrid w:val="0"/>
                <w:sz w:val="22"/>
                <w:szCs w:val="22"/>
              </w:rPr>
            </w:pPr>
          </w:p>
        </w:tc>
        <w:tc>
          <w:tcPr>
            <w:tcW w:w="1208" w:type="dxa"/>
          </w:tcPr>
          <w:p w14:paraId="47CA1AC1" w14:textId="77777777" w:rsidR="002A38D3" w:rsidRPr="002A38D3" w:rsidRDefault="002A38D3" w:rsidP="002A38D3">
            <w:pPr>
              <w:widowControl w:val="0"/>
              <w:tabs>
                <w:tab w:val="left" w:pos="140"/>
                <w:tab w:val="decimal" w:pos="856"/>
              </w:tabs>
              <w:autoSpaceDE w:val="0"/>
              <w:autoSpaceDN w:val="0"/>
              <w:adjustRightInd w:val="0"/>
              <w:rPr>
                <w:snapToGrid w:val="0"/>
                <w:sz w:val="22"/>
                <w:szCs w:val="22"/>
              </w:rPr>
            </w:pPr>
            <w:r w:rsidRPr="002A38D3">
              <w:rPr>
                <w:snapToGrid w:val="0"/>
                <w:sz w:val="22"/>
                <w:szCs w:val="22"/>
              </w:rPr>
              <w:tab/>
            </w:r>
            <w:r w:rsidRPr="002A38D3">
              <w:rPr>
                <w:snapToGrid w:val="0"/>
                <w:sz w:val="22"/>
                <w:szCs w:val="22"/>
              </w:rPr>
              <w:tab/>
              <w:t>1,383,523</w:t>
            </w:r>
          </w:p>
        </w:tc>
        <w:tc>
          <w:tcPr>
            <w:tcW w:w="1208" w:type="dxa"/>
          </w:tcPr>
          <w:p w14:paraId="2F71467D" w14:textId="77777777" w:rsidR="002A38D3" w:rsidRPr="002A38D3" w:rsidRDefault="002A38D3" w:rsidP="002A38D3">
            <w:pPr>
              <w:widowControl w:val="0"/>
              <w:tabs>
                <w:tab w:val="left" w:pos="97"/>
                <w:tab w:val="decimal" w:pos="908"/>
              </w:tabs>
              <w:autoSpaceDE w:val="0"/>
              <w:autoSpaceDN w:val="0"/>
              <w:adjustRightInd w:val="0"/>
              <w:rPr>
                <w:snapToGrid w:val="0"/>
                <w:sz w:val="22"/>
                <w:szCs w:val="22"/>
              </w:rPr>
            </w:pPr>
            <w:r w:rsidRPr="002A38D3">
              <w:rPr>
                <w:snapToGrid w:val="0"/>
                <w:sz w:val="22"/>
                <w:szCs w:val="22"/>
              </w:rPr>
              <w:tab/>
            </w:r>
            <w:r w:rsidRPr="002A38D3">
              <w:rPr>
                <w:snapToGrid w:val="0"/>
                <w:sz w:val="22"/>
                <w:szCs w:val="22"/>
              </w:rPr>
              <w:tab/>
              <w:t>3,032</w:t>
            </w:r>
          </w:p>
        </w:tc>
      </w:tr>
    </w:tbl>
    <w:p w14:paraId="4070DE3E" w14:textId="77777777" w:rsidR="002A38D3" w:rsidRPr="002A38D3" w:rsidRDefault="002A38D3" w:rsidP="002A38D3">
      <w:pPr>
        <w:widowControl w:val="0"/>
        <w:autoSpaceDE w:val="0"/>
        <w:autoSpaceDN w:val="0"/>
        <w:adjustRightInd w:val="0"/>
        <w:jc w:val="both"/>
        <w:rPr>
          <w:sz w:val="22"/>
          <w:szCs w:val="22"/>
        </w:rPr>
      </w:pPr>
    </w:p>
    <w:p w14:paraId="450ABAB4" w14:textId="77777777" w:rsidR="002A38D3" w:rsidRPr="002A38D3" w:rsidRDefault="002A38D3" w:rsidP="002A38D3">
      <w:pPr>
        <w:widowControl w:val="0"/>
        <w:autoSpaceDE w:val="0"/>
        <w:autoSpaceDN w:val="0"/>
        <w:adjustRightInd w:val="0"/>
        <w:jc w:val="both"/>
        <w:rPr>
          <w:sz w:val="22"/>
          <w:szCs w:val="22"/>
        </w:r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1208"/>
        <w:gridCol w:w="1208"/>
        <w:gridCol w:w="1208"/>
      </w:tblGrid>
      <w:tr w:rsidR="002A38D3" w:rsidRPr="002A38D3" w14:paraId="1E5F1B82" w14:textId="77777777" w:rsidTr="007F2635">
        <w:trPr>
          <w:cantSplit/>
          <w:trHeight w:val="293"/>
        </w:trPr>
        <w:tc>
          <w:tcPr>
            <w:tcW w:w="9930" w:type="dxa"/>
            <w:gridSpan w:val="8"/>
          </w:tcPr>
          <w:p w14:paraId="47A95E7C" w14:textId="77777777" w:rsidR="002A38D3" w:rsidRPr="002A38D3" w:rsidRDefault="002A38D3" w:rsidP="002A38D3">
            <w:pPr>
              <w:widowControl w:val="0"/>
              <w:autoSpaceDE w:val="0"/>
              <w:autoSpaceDN w:val="0"/>
              <w:adjustRightInd w:val="0"/>
              <w:jc w:val="center"/>
              <w:rPr>
                <w:b/>
                <w:bCs/>
                <w:snapToGrid w:val="0"/>
                <w:sz w:val="22"/>
                <w:szCs w:val="22"/>
              </w:rPr>
            </w:pPr>
          </w:p>
          <w:p w14:paraId="479AA5BF" w14:textId="77777777" w:rsidR="002A38D3" w:rsidRPr="002A38D3" w:rsidRDefault="002A38D3" w:rsidP="002A38D3">
            <w:pPr>
              <w:widowControl w:val="0"/>
              <w:autoSpaceDE w:val="0"/>
              <w:autoSpaceDN w:val="0"/>
              <w:adjustRightInd w:val="0"/>
              <w:jc w:val="center"/>
              <w:rPr>
                <w:b/>
                <w:bCs/>
                <w:snapToGrid w:val="0"/>
                <w:sz w:val="22"/>
                <w:szCs w:val="22"/>
              </w:rPr>
            </w:pPr>
          </w:p>
          <w:p w14:paraId="12D55D0B" w14:textId="77777777" w:rsidR="002A38D3" w:rsidRPr="002A38D3" w:rsidRDefault="002A38D3" w:rsidP="002A38D3">
            <w:pPr>
              <w:widowControl w:val="0"/>
              <w:autoSpaceDE w:val="0"/>
              <w:autoSpaceDN w:val="0"/>
              <w:adjustRightInd w:val="0"/>
              <w:jc w:val="center"/>
              <w:rPr>
                <w:snapToGrid w:val="0"/>
                <w:sz w:val="22"/>
                <w:szCs w:val="22"/>
              </w:rPr>
            </w:pPr>
            <w:r w:rsidRPr="002A38D3">
              <w:rPr>
                <w:b/>
                <w:bCs/>
                <w:snapToGrid w:val="0"/>
                <w:sz w:val="22"/>
                <w:szCs w:val="22"/>
              </w:rPr>
              <w:t>Condensed Consolidated Balance Sheet Information</w:t>
            </w:r>
          </w:p>
        </w:tc>
      </w:tr>
      <w:tr w:rsidR="002A38D3" w:rsidRPr="002A38D3" w14:paraId="70AC7B0B" w14:textId="77777777" w:rsidTr="007F2635">
        <w:trPr>
          <w:cantSplit/>
          <w:trHeight w:val="293"/>
        </w:trPr>
        <w:tc>
          <w:tcPr>
            <w:tcW w:w="9930" w:type="dxa"/>
            <w:gridSpan w:val="8"/>
          </w:tcPr>
          <w:p w14:paraId="41AEF9A8" w14:textId="77777777" w:rsidR="002A38D3" w:rsidRPr="002A38D3" w:rsidRDefault="002A38D3" w:rsidP="002A38D3">
            <w:pPr>
              <w:widowControl w:val="0"/>
              <w:autoSpaceDE w:val="0"/>
              <w:autoSpaceDN w:val="0"/>
              <w:adjustRightInd w:val="0"/>
              <w:jc w:val="center"/>
              <w:rPr>
                <w:i/>
                <w:snapToGrid w:val="0"/>
                <w:sz w:val="22"/>
                <w:szCs w:val="22"/>
              </w:rPr>
            </w:pPr>
            <w:r w:rsidRPr="002A38D3">
              <w:rPr>
                <w:bCs/>
                <w:i/>
                <w:snapToGrid w:val="0"/>
                <w:sz w:val="22"/>
                <w:szCs w:val="22"/>
              </w:rPr>
              <w:t>(amounts in thousands, except common share information)</w:t>
            </w:r>
          </w:p>
        </w:tc>
      </w:tr>
      <w:tr w:rsidR="002A38D3" w:rsidRPr="002A38D3" w14:paraId="0789FC74" w14:textId="77777777" w:rsidTr="007F2635">
        <w:trPr>
          <w:trHeight w:val="276"/>
        </w:trPr>
        <w:tc>
          <w:tcPr>
            <w:tcW w:w="1699" w:type="dxa"/>
            <w:gridSpan w:val="2"/>
          </w:tcPr>
          <w:p w14:paraId="23F94D1C" w14:textId="77777777" w:rsidR="002A38D3" w:rsidRPr="002A38D3" w:rsidRDefault="002A38D3" w:rsidP="002A38D3">
            <w:pPr>
              <w:widowControl w:val="0"/>
              <w:autoSpaceDE w:val="0"/>
              <w:autoSpaceDN w:val="0"/>
              <w:adjustRightInd w:val="0"/>
              <w:rPr>
                <w:snapToGrid w:val="0"/>
                <w:sz w:val="22"/>
                <w:szCs w:val="22"/>
              </w:rPr>
            </w:pPr>
          </w:p>
        </w:tc>
        <w:tc>
          <w:tcPr>
            <w:tcW w:w="2921" w:type="dxa"/>
          </w:tcPr>
          <w:p w14:paraId="2E0FE53E"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32DA4C99"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7BB95196"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0F7BD6B0" w14:textId="77777777" w:rsidR="002A38D3" w:rsidRPr="002A38D3" w:rsidRDefault="002A38D3" w:rsidP="002A38D3">
            <w:pPr>
              <w:widowControl w:val="0"/>
              <w:autoSpaceDE w:val="0"/>
              <w:autoSpaceDN w:val="0"/>
              <w:adjustRightInd w:val="0"/>
              <w:jc w:val="right"/>
              <w:rPr>
                <w:snapToGrid w:val="0"/>
                <w:sz w:val="22"/>
                <w:szCs w:val="22"/>
              </w:rPr>
            </w:pPr>
          </w:p>
        </w:tc>
        <w:tc>
          <w:tcPr>
            <w:tcW w:w="2416" w:type="dxa"/>
            <w:gridSpan w:val="2"/>
            <w:tcBorders>
              <w:bottom w:val="single" w:sz="4" w:space="0" w:color="auto"/>
            </w:tcBorders>
          </w:tcPr>
          <w:p w14:paraId="1CE7E6B2" w14:textId="77777777" w:rsidR="002A38D3" w:rsidRPr="002A38D3" w:rsidRDefault="002A38D3" w:rsidP="002A38D3">
            <w:pPr>
              <w:widowControl w:val="0"/>
              <w:autoSpaceDE w:val="0"/>
              <w:autoSpaceDN w:val="0"/>
              <w:adjustRightInd w:val="0"/>
              <w:jc w:val="center"/>
              <w:rPr>
                <w:snapToGrid w:val="0"/>
                <w:sz w:val="22"/>
                <w:szCs w:val="22"/>
              </w:rPr>
            </w:pPr>
            <w:r w:rsidRPr="002A38D3">
              <w:rPr>
                <w:snapToGrid w:val="0"/>
                <w:sz w:val="22"/>
                <w:szCs w:val="22"/>
              </w:rPr>
              <w:t>December 31,</w:t>
            </w:r>
          </w:p>
        </w:tc>
      </w:tr>
      <w:tr w:rsidR="002A38D3" w:rsidRPr="002A38D3" w14:paraId="4ED1C657" w14:textId="77777777" w:rsidTr="007F2635">
        <w:trPr>
          <w:trHeight w:val="276"/>
        </w:trPr>
        <w:tc>
          <w:tcPr>
            <w:tcW w:w="1699" w:type="dxa"/>
            <w:gridSpan w:val="2"/>
          </w:tcPr>
          <w:p w14:paraId="53A6B40C" w14:textId="77777777" w:rsidR="002A38D3" w:rsidRPr="002A38D3" w:rsidRDefault="002A38D3" w:rsidP="002A38D3">
            <w:pPr>
              <w:widowControl w:val="0"/>
              <w:autoSpaceDE w:val="0"/>
              <w:autoSpaceDN w:val="0"/>
              <w:adjustRightInd w:val="0"/>
              <w:rPr>
                <w:snapToGrid w:val="0"/>
                <w:sz w:val="22"/>
                <w:szCs w:val="22"/>
              </w:rPr>
            </w:pPr>
          </w:p>
        </w:tc>
        <w:tc>
          <w:tcPr>
            <w:tcW w:w="2921" w:type="dxa"/>
          </w:tcPr>
          <w:p w14:paraId="3D561C42"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2B86D909"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6F40E590"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27B3C777"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Borders>
              <w:bottom w:val="single" w:sz="4" w:space="0" w:color="auto"/>
            </w:tcBorders>
          </w:tcPr>
          <w:p w14:paraId="36F7E757" w14:textId="77777777" w:rsidR="002A38D3" w:rsidRPr="002A38D3" w:rsidRDefault="002A38D3" w:rsidP="002A38D3">
            <w:pPr>
              <w:widowControl w:val="0"/>
              <w:autoSpaceDE w:val="0"/>
              <w:autoSpaceDN w:val="0"/>
              <w:adjustRightInd w:val="0"/>
              <w:jc w:val="center"/>
              <w:rPr>
                <w:snapToGrid w:val="0"/>
                <w:sz w:val="22"/>
                <w:szCs w:val="22"/>
              </w:rPr>
            </w:pPr>
            <w:r w:rsidRPr="002A38D3">
              <w:rPr>
                <w:snapToGrid w:val="0"/>
                <w:sz w:val="22"/>
                <w:szCs w:val="22"/>
              </w:rPr>
              <w:t>2020</w:t>
            </w:r>
          </w:p>
        </w:tc>
        <w:tc>
          <w:tcPr>
            <w:tcW w:w="1208" w:type="dxa"/>
            <w:tcBorders>
              <w:bottom w:val="single" w:sz="4" w:space="0" w:color="auto"/>
            </w:tcBorders>
          </w:tcPr>
          <w:p w14:paraId="5F72B68A" w14:textId="77777777" w:rsidR="002A38D3" w:rsidRPr="002A38D3" w:rsidRDefault="002A38D3" w:rsidP="002A38D3">
            <w:pPr>
              <w:widowControl w:val="0"/>
              <w:autoSpaceDE w:val="0"/>
              <w:autoSpaceDN w:val="0"/>
              <w:adjustRightInd w:val="0"/>
              <w:jc w:val="center"/>
              <w:rPr>
                <w:snapToGrid w:val="0"/>
                <w:sz w:val="22"/>
                <w:szCs w:val="22"/>
              </w:rPr>
            </w:pPr>
            <w:r w:rsidRPr="002A38D3">
              <w:rPr>
                <w:snapToGrid w:val="0"/>
                <w:sz w:val="22"/>
                <w:szCs w:val="22"/>
              </w:rPr>
              <w:t>2019</w:t>
            </w:r>
          </w:p>
        </w:tc>
      </w:tr>
      <w:tr w:rsidR="002A38D3" w:rsidRPr="002A38D3" w14:paraId="5B43150D" w14:textId="77777777" w:rsidTr="007F2635">
        <w:trPr>
          <w:trHeight w:val="276"/>
        </w:trPr>
        <w:tc>
          <w:tcPr>
            <w:tcW w:w="1699" w:type="dxa"/>
            <w:gridSpan w:val="2"/>
          </w:tcPr>
          <w:p w14:paraId="60B2DB42"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Assets:</w:t>
            </w:r>
          </w:p>
        </w:tc>
        <w:tc>
          <w:tcPr>
            <w:tcW w:w="2921" w:type="dxa"/>
          </w:tcPr>
          <w:p w14:paraId="48926325"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32F2590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164F6D64"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0024601C"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0E87D04A"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Borders>
              <w:top w:val="single" w:sz="4" w:space="0" w:color="auto"/>
            </w:tcBorders>
          </w:tcPr>
          <w:p w14:paraId="0B4E709E" w14:textId="77777777" w:rsidR="002A38D3" w:rsidRPr="002A38D3" w:rsidRDefault="002A38D3" w:rsidP="002A38D3">
            <w:pPr>
              <w:widowControl w:val="0"/>
              <w:autoSpaceDE w:val="0"/>
              <w:autoSpaceDN w:val="0"/>
              <w:adjustRightInd w:val="0"/>
              <w:jc w:val="right"/>
              <w:rPr>
                <w:snapToGrid w:val="0"/>
                <w:sz w:val="22"/>
                <w:szCs w:val="22"/>
              </w:rPr>
            </w:pPr>
          </w:p>
        </w:tc>
      </w:tr>
      <w:tr w:rsidR="002A38D3" w:rsidRPr="002A38D3" w14:paraId="7E241F15" w14:textId="77777777" w:rsidTr="007F2635">
        <w:trPr>
          <w:trHeight w:val="276"/>
        </w:trPr>
        <w:tc>
          <w:tcPr>
            <w:tcW w:w="237" w:type="dxa"/>
          </w:tcPr>
          <w:p w14:paraId="378B73D6"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7BE7BC2B"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Cash and cash equivalents</w:t>
            </w:r>
          </w:p>
        </w:tc>
        <w:tc>
          <w:tcPr>
            <w:tcW w:w="478" w:type="dxa"/>
          </w:tcPr>
          <w:p w14:paraId="042ABF40"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76F7B704" w14:textId="77777777" w:rsidR="002A38D3" w:rsidRPr="002A38D3" w:rsidRDefault="002A38D3" w:rsidP="002A38D3">
            <w:pPr>
              <w:widowControl w:val="0"/>
              <w:tabs>
                <w:tab w:val="left" w:pos="150"/>
                <w:tab w:val="decimal" w:pos="960"/>
              </w:tabs>
              <w:autoSpaceDE w:val="0"/>
              <w:autoSpaceDN w:val="0"/>
              <w:adjustRightInd w:val="0"/>
              <w:rPr>
                <w:snapToGrid w:val="0"/>
                <w:sz w:val="22"/>
                <w:szCs w:val="22"/>
              </w:rPr>
            </w:pPr>
          </w:p>
        </w:tc>
        <w:tc>
          <w:tcPr>
            <w:tcW w:w="1208" w:type="dxa"/>
          </w:tcPr>
          <w:p w14:paraId="1834FA35" w14:textId="77777777" w:rsidR="002A38D3" w:rsidRPr="002A38D3" w:rsidRDefault="002A38D3" w:rsidP="002A38D3">
            <w:pPr>
              <w:widowControl w:val="0"/>
              <w:tabs>
                <w:tab w:val="left" w:pos="180"/>
                <w:tab w:val="decimal" w:pos="910"/>
              </w:tabs>
              <w:autoSpaceDE w:val="0"/>
              <w:autoSpaceDN w:val="0"/>
              <w:adjustRightInd w:val="0"/>
              <w:rPr>
                <w:snapToGrid w:val="0"/>
                <w:sz w:val="22"/>
                <w:szCs w:val="22"/>
              </w:rPr>
            </w:pPr>
          </w:p>
        </w:tc>
        <w:tc>
          <w:tcPr>
            <w:tcW w:w="1208" w:type="dxa"/>
          </w:tcPr>
          <w:p w14:paraId="436F9081" w14:textId="77777777" w:rsidR="002A38D3" w:rsidRPr="002A38D3" w:rsidRDefault="002A38D3" w:rsidP="002A38D3">
            <w:pPr>
              <w:widowControl w:val="0"/>
              <w:tabs>
                <w:tab w:val="left" w:pos="165"/>
                <w:tab w:val="decimal" w:pos="960"/>
              </w:tabs>
              <w:autoSpaceDE w:val="0"/>
              <w:autoSpaceDN w:val="0"/>
              <w:adjustRightInd w:val="0"/>
              <w:rPr>
                <w:snapToGrid w:val="0"/>
                <w:sz w:val="22"/>
                <w:szCs w:val="22"/>
              </w:rPr>
            </w:pPr>
            <w:r w:rsidRPr="002A38D3">
              <w:rPr>
                <w:snapToGrid w:val="0"/>
                <w:sz w:val="22"/>
                <w:szCs w:val="22"/>
              </w:rPr>
              <w:t>$</w:t>
            </w:r>
            <w:r w:rsidRPr="002A38D3">
              <w:rPr>
                <w:snapToGrid w:val="0"/>
                <w:sz w:val="22"/>
                <w:szCs w:val="22"/>
              </w:rPr>
              <w:tab/>
            </w:r>
            <w:r w:rsidRPr="002A38D3">
              <w:rPr>
                <w:snapToGrid w:val="0"/>
                <w:sz w:val="22"/>
                <w:szCs w:val="22"/>
              </w:rPr>
              <w:tab/>
              <w:t>9,884</w:t>
            </w:r>
          </w:p>
        </w:tc>
        <w:tc>
          <w:tcPr>
            <w:tcW w:w="1208" w:type="dxa"/>
          </w:tcPr>
          <w:p w14:paraId="2A07891E" w14:textId="77777777" w:rsidR="002A38D3" w:rsidRPr="002A38D3" w:rsidRDefault="002A38D3" w:rsidP="002A38D3">
            <w:pPr>
              <w:widowControl w:val="0"/>
              <w:tabs>
                <w:tab w:val="left" w:pos="150"/>
                <w:tab w:val="decimal" w:pos="1005"/>
              </w:tabs>
              <w:autoSpaceDE w:val="0"/>
              <w:autoSpaceDN w:val="0"/>
              <w:adjustRightInd w:val="0"/>
              <w:rPr>
                <w:snapToGrid w:val="0"/>
                <w:sz w:val="22"/>
                <w:szCs w:val="22"/>
              </w:rPr>
            </w:pPr>
            <w:r w:rsidRPr="002A38D3">
              <w:rPr>
                <w:snapToGrid w:val="0"/>
                <w:sz w:val="22"/>
                <w:szCs w:val="22"/>
              </w:rPr>
              <w:t>$</w:t>
            </w:r>
            <w:r w:rsidRPr="002A38D3">
              <w:rPr>
                <w:snapToGrid w:val="0"/>
                <w:sz w:val="22"/>
                <w:szCs w:val="22"/>
              </w:rPr>
              <w:tab/>
            </w:r>
            <w:r w:rsidRPr="002A38D3">
              <w:rPr>
                <w:snapToGrid w:val="0"/>
                <w:sz w:val="22"/>
                <w:szCs w:val="22"/>
              </w:rPr>
              <w:tab/>
              <w:t>283</w:t>
            </w:r>
          </w:p>
        </w:tc>
      </w:tr>
      <w:tr w:rsidR="002A38D3" w:rsidRPr="002A38D3" w14:paraId="2C18F885" w14:textId="77777777" w:rsidTr="007F2635">
        <w:trPr>
          <w:trHeight w:val="276"/>
        </w:trPr>
        <w:tc>
          <w:tcPr>
            <w:tcW w:w="237" w:type="dxa"/>
          </w:tcPr>
          <w:p w14:paraId="4AC96B01"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2C1AE14D"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Other current assets</w:t>
            </w:r>
          </w:p>
        </w:tc>
        <w:tc>
          <w:tcPr>
            <w:tcW w:w="478" w:type="dxa"/>
          </w:tcPr>
          <w:p w14:paraId="1E421BF2"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6936C5A3" w14:textId="77777777" w:rsidR="002A38D3" w:rsidRPr="002A38D3" w:rsidRDefault="002A38D3" w:rsidP="002A38D3">
            <w:pPr>
              <w:widowControl w:val="0"/>
              <w:autoSpaceDE w:val="0"/>
              <w:autoSpaceDN w:val="0"/>
              <w:adjustRightInd w:val="0"/>
              <w:rPr>
                <w:snapToGrid w:val="0"/>
                <w:sz w:val="22"/>
                <w:szCs w:val="22"/>
              </w:rPr>
            </w:pPr>
          </w:p>
        </w:tc>
        <w:tc>
          <w:tcPr>
            <w:tcW w:w="1208" w:type="dxa"/>
          </w:tcPr>
          <w:p w14:paraId="7548FD4A" w14:textId="77777777" w:rsidR="002A38D3" w:rsidRPr="002A38D3" w:rsidRDefault="002A38D3" w:rsidP="002A38D3">
            <w:pPr>
              <w:widowControl w:val="0"/>
              <w:autoSpaceDE w:val="0"/>
              <w:autoSpaceDN w:val="0"/>
              <w:adjustRightInd w:val="0"/>
              <w:rPr>
                <w:snapToGrid w:val="0"/>
                <w:sz w:val="22"/>
                <w:szCs w:val="22"/>
              </w:rPr>
            </w:pPr>
          </w:p>
        </w:tc>
        <w:tc>
          <w:tcPr>
            <w:tcW w:w="1208" w:type="dxa"/>
            <w:tcBorders>
              <w:bottom w:val="single" w:sz="4" w:space="0" w:color="auto"/>
            </w:tcBorders>
          </w:tcPr>
          <w:p w14:paraId="0C2A027C" w14:textId="77777777" w:rsidR="002A38D3" w:rsidRPr="002A38D3" w:rsidRDefault="002A38D3" w:rsidP="002A38D3">
            <w:pPr>
              <w:widowControl w:val="0"/>
              <w:tabs>
                <w:tab w:val="decimal" w:pos="960"/>
              </w:tabs>
              <w:autoSpaceDE w:val="0"/>
              <w:autoSpaceDN w:val="0"/>
              <w:adjustRightInd w:val="0"/>
              <w:rPr>
                <w:snapToGrid w:val="0"/>
                <w:sz w:val="22"/>
                <w:szCs w:val="22"/>
              </w:rPr>
            </w:pPr>
            <w:r w:rsidRPr="002A38D3">
              <w:rPr>
                <w:snapToGrid w:val="0"/>
                <w:sz w:val="22"/>
                <w:szCs w:val="22"/>
              </w:rPr>
              <w:t>351</w:t>
            </w:r>
          </w:p>
        </w:tc>
        <w:tc>
          <w:tcPr>
            <w:tcW w:w="1208" w:type="dxa"/>
            <w:tcBorders>
              <w:bottom w:val="single" w:sz="4" w:space="0" w:color="auto"/>
            </w:tcBorders>
          </w:tcPr>
          <w:p w14:paraId="42AE199A" w14:textId="77777777" w:rsidR="002A38D3" w:rsidRPr="002A38D3" w:rsidRDefault="002A38D3" w:rsidP="002A38D3">
            <w:pPr>
              <w:widowControl w:val="0"/>
              <w:tabs>
                <w:tab w:val="decimal" w:pos="1005"/>
              </w:tabs>
              <w:autoSpaceDE w:val="0"/>
              <w:autoSpaceDN w:val="0"/>
              <w:adjustRightInd w:val="0"/>
              <w:rPr>
                <w:snapToGrid w:val="0"/>
                <w:sz w:val="22"/>
                <w:szCs w:val="22"/>
              </w:rPr>
            </w:pPr>
            <w:r w:rsidRPr="002A38D3">
              <w:rPr>
                <w:snapToGrid w:val="0"/>
                <w:sz w:val="22"/>
                <w:szCs w:val="22"/>
              </w:rPr>
              <w:t>164</w:t>
            </w:r>
          </w:p>
        </w:tc>
      </w:tr>
      <w:tr w:rsidR="002A38D3" w:rsidRPr="002A38D3" w14:paraId="09492289" w14:textId="77777777" w:rsidTr="007F2635">
        <w:trPr>
          <w:trHeight w:val="276"/>
        </w:trPr>
        <w:tc>
          <w:tcPr>
            <w:tcW w:w="237" w:type="dxa"/>
          </w:tcPr>
          <w:p w14:paraId="5502DC68"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69CE76AB"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Total current assets</w:t>
            </w:r>
          </w:p>
        </w:tc>
        <w:tc>
          <w:tcPr>
            <w:tcW w:w="478" w:type="dxa"/>
          </w:tcPr>
          <w:p w14:paraId="30AB65C0"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3A6B323E"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3D7356E8"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Borders>
              <w:top w:val="single" w:sz="4" w:space="0" w:color="auto"/>
            </w:tcBorders>
          </w:tcPr>
          <w:p w14:paraId="0CD9C8B8" w14:textId="77777777" w:rsidR="002A38D3" w:rsidRPr="002A38D3" w:rsidRDefault="002A38D3" w:rsidP="002A38D3">
            <w:pPr>
              <w:widowControl w:val="0"/>
              <w:tabs>
                <w:tab w:val="left" w:pos="150"/>
                <w:tab w:val="decimal" w:pos="960"/>
              </w:tabs>
              <w:autoSpaceDE w:val="0"/>
              <w:autoSpaceDN w:val="0"/>
              <w:adjustRightInd w:val="0"/>
              <w:rPr>
                <w:snapToGrid w:val="0"/>
                <w:sz w:val="22"/>
                <w:szCs w:val="22"/>
              </w:rPr>
            </w:pPr>
            <w:r w:rsidRPr="002A38D3">
              <w:rPr>
                <w:snapToGrid w:val="0"/>
                <w:sz w:val="22"/>
                <w:szCs w:val="22"/>
              </w:rPr>
              <w:tab/>
            </w:r>
            <w:r w:rsidRPr="002A38D3">
              <w:rPr>
                <w:snapToGrid w:val="0"/>
                <w:sz w:val="22"/>
                <w:szCs w:val="22"/>
              </w:rPr>
              <w:tab/>
              <w:t>10,235</w:t>
            </w:r>
          </w:p>
        </w:tc>
        <w:tc>
          <w:tcPr>
            <w:tcW w:w="1208" w:type="dxa"/>
            <w:tcBorders>
              <w:top w:val="single" w:sz="4" w:space="0" w:color="auto"/>
            </w:tcBorders>
          </w:tcPr>
          <w:p w14:paraId="19F5E46E" w14:textId="77777777" w:rsidR="002A38D3" w:rsidRPr="002A38D3" w:rsidRDefault="002A38D3" w:rsidP="002A38D3">
            <w:pPr>
              <w:widowControl w:val="0"/>
              <w:tabs>
                <w:tab w:val="left" w:pos="195"/>
                <w:tab w:val="decimal" w:pos="1005"/>
              </w:tabs>
              <w:autoSpaceDE w:val="0"/>
              <w:autoSpaceDN w:val="0"/>
              <w:adjustRightInd w:val="0"/>
              <w:rPr>
                <w:snapToGrid w:val="0"/>
                <w:sz w:val="22"/>
                <w:szCs w:val="22"/>
              </w:rPr>
            </w:pPr>
            <w:r w:rsidRPr="002A38D3">
              <w:rPr>
                <w:snapToGrid w:val="0"/>
                <w:sz w:val="22"/>
                <w:szCs w:val="22"/>
              </w:rPr>
              <w:tab/>
            </w:r>
            <w:r w:rsidRPr="002A38D3">
              <w:rPr>
                <w:snapToGrid w:val="0"/>
                <w:sz w:val="22"/>
                <w:szCs w:val="22"/>
              </w:rPr>
              <w:tab/>
              <w:t>447</w:t>
            </w:r>
          </w:p>
        </w:tc>
      </w:tr>
      <w:tr w:rsidR="002A38D3" w:rsidRPr="002A38D3" w14:paraId="1543FE69" w14:textId="77777777" w:rsidTr="007F2635">
        <w:tblPrEx>
          <w:tblCellMar>
            <w:left w:w="108" w:type="dxa"/>
            <w:right w:w="108" w:type="dxa"/>
          </w:tblCellMar>
        </w:tblPrEx>
        <w:trPr>
          <w:trHeight w:val="276"/>
        </w:trPr>
        <w:tc>
          <w:tcPr>
            <w:tcW w:w="237" w:type="dxa"/>
          </w:tcPr>
          <w:p w14:paraId="55BE9BB0"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0C679871" w14:textId="77777777" w:rsidR="002A38D3" w:rsidRPr="002A38D3" w:rsidRDefault="002A38D3" w:rsidP="002A38D3">
            <w:pPr>
              <w:widowControl w:val="0"/>
              <w:autoSpaceDE w:val="0"/>
              <w:autoSpaceDN w:val="0"/>
              <w:adjustRightInd w:val="0"/>
              <w:ind w:left="-81"/>
              <w:rPr>
                <w:snapToGrid w:val="0"/>
                <w:sz w:val="22"/>
                <w:szCs w:val="22"/>
              </w:rPr>
            </w:pPr>
            <w:r w:rsidRPr="002A38D3">
              <w:rPr>
                <w:snapToGrid w:val="0"/>
                <w:sz w:val="22"/>
                <w:szCs w:val="22"/>
              </w:rPr>
              <w:t>Property and other assets</w:t>
            </w:r>
          </w:p>
        </w:tc>
        <w:tc>
          <w:tcPr>
            <w:tcW w:w="478" w:type="dxa"/>
          </w:tcPr>
          <w:p w14:paraId="7D4FD0E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7A0F4F44"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3860DA04"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Borders>
              <w:bottom w:val="single" w:sz="4" w:space="0" w:color="auto"/>
            </w:tcBorders>
          </w:tcPr>
          <w:p w14:paraId="76989E19" w14:textId="77777777" w:rsidR="002A38D3" w:rsidRPr="002A38D3" w:rsidRDefault="002A38D3" w:rsidP="002A38D3">
            <w:pPr>
              <w:widowControl w:val="0"/>
              <w:tabs>
                <w:tab w:val="decimal" w:pos="924"/>
              </w:tabs>
              <w:autoSpaceDE w:val="0"/>
              <w:autoSpaceDN w:val="0"/>
              <w:adjustRightInd w:val="0"/>
              <w:rPr>
                <w:snapToGrid w:val="0"/>
                <w:sz w:val="22"/>
                <w:szCs w:val="22"/>
              </w:rPr>
            </w:pPr>
            <w:r w:rsidRPr="002A38D3">
              <w:rPr>
                <w:snapToGrid w:val="0"/>
                <w:sz w:val="22"/>
                <w:szCs w:val="22"/>
              </w:rPr>
              <w:t>159</w:t>
            </w:r>
          </w:p>
        </w:tc>
        <w:tc>
          <w:tcPr>
            <w:tcW w:w="1208" w:type="dxa"/>
            <w:tcBorders>
              <w:bottom w:val="single" w:sz="4" w:space="0" w:color="auto"/>
            </w:tcBorders>
          </w:tcPr>
          <w:p w14:paraId="57F60C55" w14:textId="77777777" w:rsidR="002A38D3" w:rsidRPr="002A38D3" w:rsidRDefault="002A38D3" w:rsidP="002A38D3">
            <w:pPr>
              <w:widowControl w:val="0"/>
              <w:tabs>
                <w:tab w:val="decimal" w:pos="1005"/>
              </w:tabs>
              <w:autoSpaceDE w:val="0"/>
              <w:autoSpaceDN w:val="0"/>
              <w:adjustRightInd w:val="0"/>
              <w:rPr>
                <w:snapToGrid w:val="0"/>
                <w:sz w:val="22"/>
                <w:szCs w:val="22"/>
              </w:rPr>
            </w:pPr>
            <w:r w:rsidRPr="002A38D3">
              <w:rPr>
                <w:snapToGrid w:val="0"/>
                <w:sz w:val="22"/>
                <w:szCs w:val="22"/>
              </w:rPr>
              <w:t>22</w:t>
            </w:r>
          </w:p>
        </w:tc>
      </w:tr>
      <w:tr w:rsidR="002A38D3" w:rsidRPr="002A38D3" w14:paraId="6D8BF582" w14:textId="77777777" w:rsidTr="007F2635">
        <w:tblPrEx>
          <w:tblCellMar>
            <w:left w:w="108" w:type="dxa"/>
            <w:right w:w="108" w:type="dxa"/>
          </w:tblCellMar>
        </w:tblPrEx>
        <w:trPr>
          <w:trHeight w:val="276"/>
        </w:trPr>
        <w:tc>
          <w:tcPr>
            <w:tcW w:w="237" w:type="dxa"/>
          </w:tcPr>
          <w:p w14:paraId="6C83BA57"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14907E4A" w14:textId="77777777" w:rsidR="002A38D3" w:rsidRPr="002A38D3" w:rsidRDefault="002A38D3" w:rsidP="002A38D3">
            <w:pPr>
              <w:widowControl w:val="0"/>
              <w:autoSpaceDE w:val="0"/>
              <w:autoSpaceDN w:val="0"/>
              <w:adjustRightInd w:val="0"/>
              <w:ind w:left="-81"/>
              <w:rPr>
                <w:snapToGrid w:val="0"/>
                <w:sz w:val="22"/>
                <w:szCs w:val="22"/>
              </w:rPr>
            </w:pPr>
            <w:r w:rsidRPr="002A38D3">
              <w:rPr>
                <w:snapToGrid w:val="0"/>
                <w:sz w:val="22"/>
                <w:szCs w:val="22"/>
              </w:rPr>
              <w:t>Total assets</w:t>
            </w:r>
          </w:p>
        </w:tc>
        <w:tc>
          <w:tcPr>
            <w:tcW w:w="478" w:type="dxa"/>
          </w:tcPr>
          <w:p w14:paraId="064998E7"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507B9C5A"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3129F8A5"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3234A483" w14:textId="77777777" w:rsidR="002A38D3" w:rsidRPr="002A38D3" w:rsidRDefault="002A38D3" w:rsidP="002A38D3">
            <w:pPr>
              <w:widowControl w:val="0"/>
              <w:tabs>
                <w:tab w:val="left" w:pos="150"/>
                <w:tab w:val="decimal" w:pos="924"/>
              </w:tabs>
              <w:autoSpaceDE w:val="0"/>
              <w:autoSpaceDN w:val="0"/>
              <w:adjustRightInd w:val="0"/>
              <w:rPr>
                <w:snapToGrid w:val="0"/>
                <w:sz w:val="22"/>
                <w:szCs w:val="22"/>
              </w:rPr>
            </w:pPr>
            <w:r w:rsidRPr="002A38D3">
              <w:rPr>
                <w:snapToGrid w:val="0"/>
                <w:sz w:val="22"/>
                <w:szCs w:val="22"/>
              </w:rPr>
              <w:t>$</w:t>
            </w:r>
            <w:r w:rsidRPr="002A38D3">
              <w:rPr>
                <w:snapToGrid w:val="0"/>
                <w:sz w:val="22"/>
                <w:szCs w:val="22"/>
              </w:rPr>
              <w:tab/>
            </w:r>
            <w:r w:rsidRPr="002A38D3">
              <w:rPr>
                <w:snapToGrid w:val="0"/>
                <w:sz w:val="22"/>
                <w:szCs w:val="22"/>
              </w:rPr>
              <w:tab/>
              <w:t>10,394</w:t>
            </w:r>
          </w:p>
        </w:tc>
        <w:tc>
          <w:tcPr>
            <w:tcW w:w="1208" w:type="dxa"/>
          </w:tcPr>
          <w:p w14:paraId="289815E0" w14:textId="77777777" w:rsidR="002A38D3" w:rsidRPr="002A38D3" w:rsidRDefault="002A38D3" w:rsidP="002A38D3">
            <w:pPr>
              <w:widowControl w:val="0"/>
              <w:tabs>
                <w:tab w:val="left" w:pos="150"/>
                <w:tab w:val="decimal" w:pos="1005"/>
              </w:tabs>
              <w:autoSpaceDE w:val="0"/>
              <w:autoSpaceDN w:val="0"/>
              <w:adjustRightInd w:val="0"/>
              <w:rPr>
                <w:snapToGrid w:val="0"/>
                <w:sz w:val="22"/>
                <w:szCs w:val="22"/>
              </w:rPr>
            </w:pPr>
            <w:r w:rsidRPr="002A38D3">
              <w:rPr>
                <w:snapToGrid w:val="0"/>
                <w:sz w:val="22"/>
                <w:szCs w:val="22"/>
              </w:rPr>
              <w:t>$</w:t>
            </w:r>
            <w:r w:rsidRPr="002A38D3">
              <w:rPr>
                <w:snapToGrid w:val="0"/>
                <w:sz w:val="22"/>
                <w:szCs w:val="22"/>
              </w:rPr>
              <w:tab/>
            </w:r>
            <w:r w:rsidRPr="002A38D3">
              <w:rPr>
                <w:snapToGrid w:val="0"/>
                <w:sz w:val="22"/>
                <w:szCs w:val="22"/>
              </w:rPr>
              <w:tab/>
              <w:t>469</w:t>
            </w:r>
          </w:p>
        </w:tc>
      </w:tr>
      <w:tr w:rsidR="002A38D3" w:rsidRPr="002A38D3" w14:paraId="1B469C68" w14:textId="77777777" w:rsidTr="007F2635">
        <w:trPr>
          <w:trHeight w:val="276"/>
        </w:trPr>
        <w:tc>
          <w:tcPr>
            <w:tcW w:w="237" w:type="dxa"/>
          </w:tcPr>
          <w:p w14:paraId="2D5672D7" w14:textId="77777777" w:rsidR="002A38D3" w:rsidRPr="002A38D3" w:rsidRDefault="002A38D3" w:rsidP="002A38D3">
            <w:pPr>
              <w:widowControl w:val="0"/>
              <w:autoSpaceDE w:val="0"/>
              <w:autoSpaceDN w:val="0"/>
              <w:adjustRightInd w:val="0"/>
              <w:jc w:val="right"/>
              <w:rPr>
                <w:snapToGrid w:val="0"/>
                <w:sz w:val="22"/>
                <w:szCs w:val="22"/>
              </w:rPr>
            </w:pPr>
          </w:p>
        </w:tc>
        <w:tc>
          <w:tcPr>
            <w:tcW w:w="1462" w:type="dxa"/>
          </w:tcPr>
          <w:p w14:paraId="68806A42" w14:textId="77777777" w:rsidR="002A38D3" w:rsidRPr="002A38D3" w:rsidRDefault="002A38D3" w:rsidP="002A38D3">
            <w:pPr>
              <w:widowControl w:val="0"/>
              <w:autoSpaceDE w:val="0"/>
              <w:autoSpaceDN w:val="0"/>
              <w:adjustRightInd w:val="0"/>
              <w:jc w:val="right"/>
              <w:rPr>
                <w:snapToGrid w:val="0"/>
                <w:sz w:val="22"/>
                <w:szCs w:val="22"/>
              </w:rPr>
            </w:pPr>
          </w:p>
        </w:tc>
        <w:tc>
          <w:tcPr>
            <w:tcW w:w="2921" w:type="dxa"/>
          </w:tcPr>
          <w:p w14:paraId="2179631C" w14:textId="77777777" w:rsidR="002A38D3" w:rsidRPr="002A38D3" w:rsidRDefault="002A38D3" w:rsidP="002A38D3">
            <w:pPr>
              <w:widowControl w:val="0"/>
              <w:autoSpaceDE w:val="0"/>
              <w:autoSpaceDN w:val="0"/>
              <w:adjustRightInd w:val="0"/>
              <w:jc w:val="right"/>
              <w:rPr>
                <w:snapToGrid w:val="0"/>
                <w:sz w:val="22"/>
                <w:szCs w:val="22"/>
              </w:rPr>
            </w:pPr>
          </w:p>
        </w:tc>
        <w:tc>
          <w:tcPr>
            <w:tcW w:w="478" w:type="dxa"/>
          </w:tcPr>
          <w:p w14:paraId="48DBE9A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37A0C77A"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2E115230"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Borders>
              <w:top w:val="double" w:sz="4" w:space="0" w:color="auto"/>
            </w:tcBorders>
          </w:tcPr>
          <w:p w14:paraId="698ABE1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Borders>
              <w:top w:val="double" w:sz="4" w:space="0" w:color="auto"/>
            </w:tcBorders>
          </w:tcPr>
          <w:p w14:paraId="0AAC9E6E" w14:textId="77777777" w:rsidR="002A38D3" w:rsidRPr="002A38D3" w:rsidRDefault="002A38D3" w:rsidP="002A38D3">
            <w:pPr>
              <w:widowControl w:val="0"/>
              <w:autoSpaceDE w:val="0"/>
              <w:autoSpaceDN w:val="0"/>
              <w:adjustRightInd w:val="0"/>
              <w:jc w:val="right"/>
              <w:rPr>
                <w:snapToGrid w:val="0"/>
                <w:sz w:val="22"/>
                <w:szCs w:val="22"/>
              </w:rPr>
            </w:pPr>
          </w:p>
        </w:tc>
      </w:tr>
      <w:tr w:rsidR="002A38D3" w:rsidRPr="002A38D3" w14:paraId="58CB802E" w14:textId="77777777" w:rsidTr="007F2635">
        <w:trPr>
          <w:trHeight w:val="276"/>
        </w:trPr>
        <w:tc>
          <w:tcPr>
            <w:tcW w:w="4620" w:type="dxa"/>
            <w:gridSpan w:val="3"/>
          </w:tcPr>
          <w:p w14:paraId="7EEB0F54"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Liabilities and stockholders’ equity</w:t>
            </w:r>
          </w:p>
        </w:tc>
        <w:tc>
          <w:tcPr>
            <w:tcW w:w="478" w:type="dxa"/>
          </w:tcPr>
          <w:p w14:paraId="1AB809A5"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2156C9CC"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19885C32"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1F45AFC6"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4F750EF4" w14:textId="77777777" w:rsidR="002A38D3" w:rsidRPr="002A38D3" w:rsidRDefault="002A38D3" w:rsidP="002A38D3">
            <w:pPr>
              <w:widowControl w:val="0"/>
              <w:autoSpaceDE w:val="0"/>
              <w:autoSpaceDN w:val="0"/>
              <w:adjustRightInd w:val="0"/>
              <w:jc w:val="right"/>
              <w:rPr>
                <w:snapToGrid w:val="0"/>
                <w:sz w:val="22"/>
                <w:szCs w:val="22"/>
              </w:rPr>
            </w:pPr>
          </w:p>
        </w:tc>
      </w:tr>
      <w:tr w:rsidR="002A38D3" w:rsidRPr="002A38D3" w14:paraId="28C0A276" w14:textId="77777777" w:rsidTr="007F2635">
        <w:trPr>
          <w:trHeight w:val="276"/>
        </w:trPr>
        <w:tc>
          <w:tcPr>
            <w:tcW w:w="237" w:type="dxa"/>
          </w:tcPr>
          <w:p w14:paraId="120140E0"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552294E2"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Total liabilities</w:t>
            </w:r>
          </w:p>
        </w:tc>
        <w:tc>
          <w:tcPr>
            <w:tcW w:w="478" w:type="dxa"/>
          </w:tcPr>
          <w:p w14:paraId="2AB69531"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398652A4"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711D2F3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07AA83A5" w14:textId="77777777" w:rsidR="002A38D3" w:rsidRPr="002A38D3" w:rsidRDefault="002A38D3" w:rsidP="002A38D3">
            <w:pPr>
              <w:widowControl w:val="0"/>
              <w:tabs>
                <w:tab w:val="left" w:pos="150"/>
                <w:tab w:val="decimal" w:pos="960"/>
              </w:tabs>
              <w:autoSpaceDE w:val="0"/>
              <w:autoSpaceDN w:val="0"/>
              <w:adjustRightInd w:val="0"/>
              <w:rPr>
                <w:snapToGrid w:val="0"/>
                <w:sz w:val="22"/>
                <w:szCs w:val="22"/>
              </w:rPr>
            </w:pPr>
            <w:r w:rsidRPr="002A38D3">
              <w:rPr>
                <w:snapToGrid w:val="0"/>
                <w:sz w:val="22"/>
                <w:szCs w:val="22"/>
              </w:rPr>
              <w:t>$</w:t>
            </w:r>
            <w:r w:rsidRPr="002A38D3">
              <w:rPr>
                <w:snapToGrid w:val="0"/>
                <w:sz w:val="22"/>
                <w:szCs w:val="22"/>
              </w:rPr>
              <w:tab/>
            </w:r>
            <w:r w:rsidRPr="002A38D3">
              <w:rPr>
                <w:snapToGrid w:val="0"/>
                <w:sz w:val="22"/>
                <w:szCs w:val="22"/>
              </w:rPr>
              <w:tab/>
              <w:t>825</w:t>
            </w:r>
          </w:p>
        </w:tc>
        <w:tc>
          <w:tcPr>
            <w:tcW w:w="1208" w:type="dxa"/>
          </w:tcPr>
          <w:p w14:paraId="3388F8E1" w14:textId="77777777" w:rsidR="002A38D3" w:rsidRPr="002A38D3" w:rsidRDefault="002A38D3" w:rsidP="002A38D3">
            <w:pPr>
              <w:widowControl w:val="0"/>
              <w:tabs>
                <w:tab w:val="left" w:pos="165"/>
                <w:tab w:val="decimal" w:pos="1005"/>
              </w:tabs>
              <w:autoSpaceDE w:val="0"/>
              <w:autoSpaceDN w:val="0"/>
              <w:adjustRightInd w:val="0"/>
              <w:rPr>
                <w:snapToGrid w:val="0"/>
                <w:sz w:val="22"/>
                <w:szCs w:val="22"/>
              </w:rPr>
            </w:pPr>
            <w:r w:rsidRPr="002A38D3">
              <w:rPr>
                <w:snapToGrid w:val="0"/>
                <w:sz w:val="22"/>
                <w:szCs w:val="22"/>
              </w:rPr>
              <w:t>$</w:t>
            </w:r>
            <w:r w:rsidRPr="002A38D3">
              <w:rPr>
                <w:snapToGrid w:val="0"/>
                <w:sz w:val="22"/>
                <w:szCs w:val="22"/>
              </w:rPr>
              <w:tab/>
            </w:r>
            <w:r w:rsidRPr="002A38D3">
              <w:rPr>
                <w:snapToGrid w:val="0"/>
                <w:sz w:val="22"/>
                <w:szCs w:val="22"/>
              </w:rPr>
              <w:tab/>
              <w:t>2,043</w:t>
            </w:r>
          </w:p>
        </w:tc>
      </w:tr>
      <w:tr w:rsidR="002A38D3" w:rsidRPr="002A38D3" w14:paraId="24D95BCC" w14:textId="77777777" w:rsidTr="007F2635">
        <w:trPr>
          <w:trHeight w:val="276"/>
        </w:trPr>
        <w:tc>
          <w:tcPr>
            <w:tcW w:w="237" w:type="dxa"/>
          </w:tcPr>
          <w:p w14:paraId="012550BA"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0F96AA78"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Stockholders’ equity (deficiency)</w:t>
            </w:r>
          </w:p>
        </w:tc>
        <w:tc>
          <w:tcPr>
            <w:tcW w:w="478" w:type="dxa"/>
          </w:tcPr>
          <w:p w14:paraId="2216683B"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50A96BF9"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0EA00B0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Borders>
              <w:bottom w:val="single" w:sz="4" w:space="0" w:color="auto"/>
            </w:tcBorders>
          </w:tcPr>
          <w:p w14:paraId="2CD50748" w14:textId="77777777" w:rsidR="002A38D3" w:rsidRPr="002A38D3" w:rsidRDefault="002A38D3" w:rsidP="002A38D3">
            <w:pPr>
              <w:widowControl w:val="0"/>
              <w:tabs>
                <w:tab w:val="decimal" w:pos="960"/>
              </w:tabs>
              <w:autoSpaceDE w:val="0"/>
              <w:autoSpaceDN w:val="0"/>
              <w:adjustRightInd w:val="0"/>
              <w:rPr>
                <w:snapToGrid w:val="0"/>
                <w:sz w:val="22"/>
                <w:szCs w:val="22"/>
              </w:rPr>
            </w:pPr>
            <w:r w:rsidRPr="002A38D3">
              <w:rPr>
                <w:snapToGrid w:val="0"/>
                <w:sz w:val="22"/>
                <w:szCs w:val="22"/>
              </w:rPr>
              <w:t>9,569</w:t>
            </w:r>
          </w:p>
        </w:tc>
        <w:tc>
          <w:tcPr>
            <w:tcW w:w="1208" w:type="dxa"/>
            <w:tcBorders>
              <w:bottom w:val="single" w:sz="4" w:space="0" w:color="auto"/>
            </w:tcBorders>
          </w:tcPr>
          <w:p w14:paraId="03851DEA" w14:textId="77777777" w:rsidR="002A38D3" w:rsidRPr="002A38D3" w:rsidRDefault="002A38D3" w:rsidP="002A38D3">
            <w:pPr>
              <w:widowControl w:val="0"/>
              <w:tabs>
                <w:tab w:val="decimal" w:pos="1005"/>
              </w:tabs>
              <w:autoSpaceDE w:val="0"/>
              <w:autoSpaceDN w:val="0"/>
              <w:adjustRightInd w:val="0"/>
              <w:rPr>
                <w:snapToGrid w:val="0"/>
                <w:sz w:val="22"/>
                <w:szCs w:val="22"/>
              </w:rPr>
            </w:pPr>
            <w:r w:rsidRPr="002A38D3">
              <w:rPr>
                <w:snapToGrid w:val="0"/>
                <w:sz w:val="22"/>
                <w:szCs w:val="22"/>
              </w:rPr>
              <w:t>(1,574)</w:t>
            </w:r>
          </w:p>
        </w:tc>
      </w:tr>
      <w:tr w:rsidR="002A38D3" w:rsidRPr="002A38D3" w14:paraId="39ED7699" w14:textId="77777777" w:rsidTr="007F2635">
        <w:trPr>
          <w:trHeight w:val="276"/>
        </w:trPr>
        <w:tc>
          <w:tcPr>
            <w:tcW w:w="237" w:type="dxa"/>
          </w:tcPr>
          <w:p w14:paraId="41A36705" w14:textId="77777777" w:rsidR="002A38D3" w:rsidRPr="002A38D3" w:rsidRDefault="002A38D3" w:rsidP="002A38D3">
            <w:pPr>
              <w:widowControl w:val="0"/>
              <w:autoSpaceDE w:val="0"/>
              <w:autoSpaceDN w:val="0"/>
              <w:adjustRightInd w:val="0"/>
              <w:jc w:val="right"/>
              <w:rPr>
                <w:snapToGrid w:val="0"/>
                <w:sz w:val="22"/>
                <w:szCs w:val="22"/>
              </w:rPr>
            </w:pPr>
          </w:p>
        </w:tc>
        <w:tc>
          <w:tcPr>
            <w:tcW w:w="6069" w:type="dxa"/>
            <w:gridSpan w:val="4"/>
          </w:tcPr>
          <w:p w14:paraId="34B3F05A"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Total liabilities and stockholders’ equity</w:t>
            </w:r>
          </w:p>
        </w:tc>
        <w:tc>
          <w:tcPr>
            <w:tcW w:w="1208" w:type="dxa"/>
          </w:tcPr>
          <w:p w14:paraId="761875B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Borders>
              <w:top w:val="single" w:sz="4" w:space="0" w:color="auto"/>
              <w:bottom w:val="double" w:sz="4" w:space="0" w:color="auto"/>
            </w:tcBorders>
          </w:tcPr>
          <w:p w14:paraId="236A246A" w14:textId="77777777" w:rsidR="002A38D3" w:rsidRPr="002A38D3" w:rsidRDefault="002A38D3" w:rsidP="002A38D3">
            <w:pPr>
              <w:widowControl w:val="0"/>
              <w:tabs>
                <w:tab w:val="left" w:pos="165"/>
                <w:tab w:val="decimal" w:pos="960"/>
              </w:tabs>
              <w:autoSpaceDE w:val="0"/>
              <w:autoSpaceDN w:val="0"/>
              <w:adjustRightInd w:val="0"/>
              <w:rPr>
                <w:snapToGrid w:val="0"/>
                <w:sz w:val="22"/>
                <w:szCs w:val="22"/>
              </w:rPr>
            </w:pPr>
            <w:r w:rsidRPr="002A38D3">
              <w:rPr>
                <w:snapToGrid w:val="0"/>
                <w:sz w:val="22"/>
                <w:szCs w:val="22"/>
              </w:rPr>
              <w:t>$</w:t>
            </w:r>
            <w:r w:rsidRPr="002A38D3">
              <w:rPr>
                <w:snapToGrid w:val="0"/>
                <w:sz w:val="22"/>
                <w:szCs w:val="22"/>
              </w:rPr>
              <w:tab/>
            </w:r>
            <w:r w:rsidRPr="002A38D3">
              <w:rPr>
                <w:snapToGrid w:val="0"/>
                <w:sz w:val="22"/>
                <w:szCs w:val="22"/>
              </w:rPr>
              <w:tab/>
              <w:t>10,394</w:t>
            </w:r>
          </w:p>
        </w:tc>
        <w:tc>
          <w:tcPr>
            <w:tcW w:w="1208" w:type="dxa"/>
            <w:tcBorders>
              <w:top w:val="single" w:sz="4" w:space="0" w:color="auto"/>
              <w:bottom w:val="double" w:sz="4" w:space="0" w:color="auto"/>
            </w:tcBorders>
          </w:tcPr>
          <w:p w14:paraId="3A03AC15" w14:textId="77777777" w:rsidR="002A38D3" w:rsidRPr="002A38D3" w:rsidRDefault="002A38D3" w:rsidP="002A38D3">
            <w:pPr>
              <w:widowControl w:val="0"/>
              <w:tabs>
                <w:tab w:val="left" w:pos="105"/>
                <w:tab w:val="decimal" w:pos="1005"/>
              </w:tabs>
              <w:autoSpaceDE w:val="0"/>
              <w:autoSpaceDN w:val="0"/>
              <w:adjustRightInd w:val="0"/>
              <w:rPr>
                <w:snapToGrid w:val="0"/>
                <w:sz w:val="22"/>
                <w:szCs w:val="22"/>
              </w:rPr>
            </w:pPr>
            <w:r w:rsidRPr="002A38D3">
              <w:rPr>
                <w:snapToGrid w:val="0"/>
                <w:sz w:val="22"/>
                <w:szCs w:val="22"/>
              </w:rPr>
              <w:t>$</w:t>
            </w:r>
            <w:r w:rsidRPr="002A38D3">
              <w:rPr>
                <w:snapToGrid w:val="0"/>
                <w:sz w:val="22"/>
                <w:szCs w:val="22"/>
              </w:rPr>
              <w:tab/>
              <w:t>469</w:t>
            </w:r>
          </w:p>
        </w:tc>
      </w:tr>
      <w:tr w:rsidR="002A38D3" w:rsidRPr="002A38D3" w14:paraId="01B4520A" w14:textId="77777777" w:rsidTr="007F2635">
        <w:trPr>
          <w:trHeight w:val="276"/>
        </w:trPr>
        <w:tc>
          <w:tcPr>
            <w:tcW w:w="237" w:type="dxa"/>
          </w:tcPr>
          <w:p w14:paraId="65EBA4AB"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1C193334" w14:textId="77777777" w:rsidR="002A38D3" w:rsidRPr="002A38D3" w:rsidRDefault="002A38D3" w:rsidP="002A38D3">
            <w:pPr>
              <w:widowControl w:val="0"/>
              <w:autoSpaceDE w:val="0"/>
              <w:autoSpaceDN w:val="0"/>
              <w:adjustRightInd w:val="0"/>
              <w:rPr>
                <w:snapToGrid w:val="0"/>
                <w:sz w:val="22"/>
                <w:szCs w:val="22"/>
              </w:rPr>
            </w:pPr>
          </w:p>
        </w:tc>
        <w:tc>
          <w:tcPr>
            <w:tcW w:w="478" w:type="dxa"/>
          </w:tcPr>
          <w:p w14:paraId="0DCE07C4"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340CB4AF"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667C662D"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4D68CCED"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488A6E3F" w14:textId="77777777" w:rsidR="002A38D3" w:rsidRPr="002A38D3" w:rsidRDefault="002A38D3" w:rsidP="002A38D3">
            <w:pPr>
              <w:widowControl w:val="0"/>
              <w:autoSpaceDE w:val="0"/>
              <w:autoSpaceDN w:val="0"/>
              <w:adjustRightInd w:val="0"/>
              <w:jc w:val="right"/>
              <w:rPr>
                <w:snapToGrid w:val="0"/>
                <w:sz w:val="22"/>
                <w:szCs w:val="22"/>
              </w:rPr>
            </w:pPr>
          </w:p>
        </w:tc>
      </w:tr>
      <w:tr w:rsidR="002A38D3" w:rsidRPr="002A38D3" w14:paraId="22D0ADC7" w14:textId="77777777" w:rsidTr="007F2635">
        <w:trPr>
          <w:trHeight w:val="276"/>
        </w:trPr>
        <w:tc>
          <w:tcPr>
            <w:tcW w:w="237" w:type="dxa"/>
          </w:tcPr>
          <w:p w14:paraId="7DBBF35D" w14:textId="77777777" w:rsidR="002A38D3" w:rsidRPr="002A38D3" w:rsidRDefault="002A38D3" w:rsidP="002A38D3">
            <w:pPr>
              <w:widowControl w:val="0"/>
              <w:autoSpaceDE w:val="0"/>
              <w:autoSpaceDN w:val="0"/>
              <w:adjustRightInd w:val="0"/>
              <w:jc w:val="right"/>
              <w:rPr>
                <w:snapToGrid w:val="0"/>
                <w:sz w:val="22"/>
                <w:szCs w:val="22"/>
              </w:rPr>
            </w:pPr>
          </w:p>
        </w:tc>
        <w:tc>
          <w:tcPr>
            <w:tcW w:w="4383" w:type="dxa"/>
            <w:gridSpan w:val="2"/>
          </w:tcPr>
          <w:p w14:paraId="2E743DA9" w14:textId="77777777" w:rsidR="002A38D3" w:rsidRPr="002A38D3" w:rsidRDefault="002A38D3" w:rsidP="002A38D3">
            <w:pPr>
              <w:widowControl w:val="0"/>
              <w:autoSpaceDE w:val="0"/>
              <w:autoSpaceDN w:val="0"/>
              <w:adjustRightInd w:val="0"/>
              <w:rPr>
                <w:snapToGrid w:val="0"/>
                <w:sz w:val="22"/>
                <w:szCs w:val="22"/>
              </w:rPr>
            </w:pPr>
            <w:r w:rsidRPr="002A38D3">
              <w:rPr>
                <w:snapToGrid w:val="0"/>
                <w:sz w:val="22"/>
                <w:szCs w:val="22"/>
              </w:rPr>
              <w:t>Common Shares Outstanding</w:t>
            </w:r>
          </w:p>
        </w:tc>
        <w:tc>
          <w:tcPr>
            <w:tcW w:w="478" w:type="dxa"/>
          </w:tcPr>
          <w:p w14:paraId="3C6E4527"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6D5FAAF4"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0A2E3EEA" w14:textId="77777777" w:rsidR="002A38D3" w:rsidRPr="002A38D3" w:rsidRDefault="002A38D3" w:rsidP="002A38D3">
            <w:pPr>
              <w:widowControl w:val="0"/>
              <w:autoSpaceDE w:val="0"/>
              <w:autoSpaceDN w:val="0"/>
              <w:adjustRightInd w:val="0"/>
              <w:jc w:val="right"/>
              <w:rPr>
                <w:snapToGrid w:val="0"/>
                <w:sz w:val="22"/>
                <w:szCs w:val="22"/>
              </w:rPr>
            </w:pPr>
          </w:p>
        </w:tc>
        <w:tc>
          <w:tcPr>
            <w:tcW w:w="1208" w:type="dxa"/>
          </w:tcPr>
          <w:p w14:paraId="2B305C9E" w14:textId="77777777" w:rsidR="002A38D3" w:rsidRPr="002A38D3" w:rsidRDefault="002A38D3" w:rsidP="002A38D3">
            <w:pPr>
              <w:widowControl w:val="0"/>
              <w:tabs>
                <w:tab w:val="left" w:pos="150"/>
                <w:tab w:val="decimal" w:pos="960"/>
              </w:tabs>
              <w:autoSpaceDE w:val="0"/>
              <w:autoSpaceDN w:val="0"/>
              <w:adjustRightInd w:val="0"/>
              <w:rPr>
                <w:snapToGrid w:val="0"/>
                <w:sz w:val="22"/>
                <w:szCs w:val="22"/>
              </w:rPr>
            </w:pPr>
            <w:r w:rsidRPr="002A38D3">
              <w:rPr>
                <w:snapToGrid w:val="0"/>
                <w:sz w:val="22"/>
                <w:szCs w:val="22"/>
              </w:rPr>
              <w:tab/>
            </w:r>
            <w:r w:rsidRPr="002A38D3">
              <w:rPr>
                <w:snapToGrid w:val="0"/>
                <w:sz w:val="22"/>
                <w:szCs w:val="22"/>
              </w:rPr>
              <w:tab/>
              <w:t>3,832,892</w:t>
            </w:r>
          </w:p>
        </w:tc>
        <w:tc>
          <w:tcPr>
            <w:tcW w:w="1208" w:type="dxa"/>
          </w:tcPr>
          <w:p w14:paraId="795DE96B" w14:textId="77777777" w:rsidR="002A38D3" w:rsidRPr="002A38D3" w:rsidRDefault="002A38D3" w:rsidP="002A38D3">
            <w:pPr>
              <w:widowControl w:val="0"/>
              <w:tabs>
                <w:tab w:val="left" w:pos="165"/>
                <w:tab w:val="decimal" w:pos="1005"/>
              </w:tabs>
              <w:autoSpaceDE w:val="0"/>
              <w:autoSpaceDN w:val="0"/>
              <w:adjustRightInd w:val="0"/>
              <w:rPr>
                <w:snapToGrid w:val="0"/>
                <w:sz w:val="22"/>
                <w:szCs w:val="22"/>
              </w:rPr>
            </w:pPr>
            <w:r w:rsidRPr="002A38D3">
              <w:rPr>
                <w:snapToGrid w:val="0"/>
                <w:sz w:val="22"/>
                <w:szCs w:val="22"/>
              </w:rPr>
              <w:tab/>
            </w:r>
            <w:r w:rsidRPr="002A38D3">
              <w:rPr>
                <w:snapToGrid w:val="0"/>
                <w:sz w:val="22"/>
                <w:szCs w:val="22"/>
              </w:rPr>
              <w:tab/>
              <w:t>14,992</w:t>
            </w:r>
          </w:p>
        </w:tc>
      </w:tr>
    </w:tbl>
    <w:p w14:paraId="3AA7612B" w14:textId="77777777" w:rsidR="002A38D3" w:rsidRPr="002A38D3" w:rsidRDefault="002A38D3" w:rsidP="002A38D3">
      <w:pPr>
        <w:widowControl w:val="0"/>
        <w:autoSpaceDE w:val="0"/>
        <w:autoSpaceDN w:val="0"/>
        <w:adjustRightInd w:val="0"/>
        <w:jc w:val="both"/>
        <w:rPr>
          <w:sz w:val="22"/>
          <w:szCs w:val="22"/>
        </w:rPr>
      </w:pPr>
    </w:p>
    <w:p w14:paraId="2B519A86" w14:textId="69CBF892" w:rsidR="004B3179" w:rsidRDefault="004B3179" w:rsidP="00CE3919">
      <w:pPr>
        <w:ind w:left="144" w:right="144"/>
        <w:rPr>
          <w:sz w:val="20"/>
          <w:szCs w:val="20"/>
        </w:rPr>
      </w:pPr>
    </w:p>
    <w:sectPr w:rsidR="004B3179" w:rsidSect="00F9336E">
      <w:headerReference w:type="first" r:id="rId10"/>
      <w:footerReference w:type="first" r:id="rId11"/>
      <w:pgSz w:w="12240" w:h="15840" w:code="1"/>
      <w:pgMar w:top="1440" w:right="1296" w:bottom="1008" w:left="1296" w:header="547" w:footer="70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7791A" w14:textId="77777777" w:rsidR="00DF5BEA" w:rsidRPr="00AA6838" w:rsidRDefault="00C602F3" w:rsidP="00AA6838">
    <w:pPr>
      <w:pStyle w:val="Footer"/>
      <w:jc w:val="center"/>
      <w:rPr>
        <w:b/>
      </w:rPr>
    </w:pPr>
    <w:r>
      <w:rPr>
        <w:b/>
      </w:rPr>
      <w:t>MORE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5BA78" w14:textId="77777777" w:rsidR="00DF5BEA" w:rsidRPr="00AA6838" w:rsidRDefault="00C602F3" w:rsidP="00AA6838">
    <w:pPr>
      <w:pStyle w:val="Footer"/>
      <w:jc w:val="center"/>
      <w:rPr>
        <w:b/>
      </w:rPr>
    </w:pPr>
    <w:r>
      <w:rPr>
        <w:b/>
      </w:rPr>
      <w:t>MORE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50F55" w14:textId="77777777" w:rsidR="00DF5BEA" w:rsidRDefault="00C602F3" w:rsidP="00472920">
    <w:pPr>
      <w:pStyle w:val="Footer"/>
      <w:jc w:val="center"/>
      <w:rPr>
        <w:b/>
      </w:rPr>
    </w:pPr>
    <w:r>
      <w:rPr>
        <w:b/>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503EF" w14:textId="77777777" w:rsidR="00DF5BEA" w:rsidRDefault="00C602F3">
    <w:pPr>
      <w:pStyle w:val="Header"/>
    </w:pPr>
    <w:r w:rsidRPr="004F39CB">
      <w:rPr>
        <w:noProof/>
      </w:rPr>
      <w:drawing>
        <wp:inline distT="0" distB="0" distL="0" distR="0" wp14:anchorId="0FA5C600" wp14:editId="65A9A020">
          <wp:extent cx="1892878" cy="501875"/>
          <wp:effectExtent l="19050" t="0" r="0" b="0"/>
          <wp:docPr id="4"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D952" w14:textId="77777777" w:rsidR="00DF5BEA" w:rsidRPr="00472920" w:rsidRDefault="00C602F3" w:rsidP="0047292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0641B"/>
    <w:multiLevelType w:val="hybridMultilevel"/>
    <w:tmpl w:val="5908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BB46D1"/>
    <w:multiLevelType w:val="hybridMultilevel"/>
    <w:tmpl w:val="12BC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79"/>
    <w:rsid w:val="00096511"/>
    <w:rsid w:val="000E6508"/>
    <w:rsid w:val="002049D0"/>
    <w:rsid w:val="002A38D3"/>
    <w:rsid w:val="003B670F"/>
    <w:rsid w:val="00401F33"/>
    <w:rsid w:val="004B3179"/>
    <w:rsid w:val="006B4011"/>
    <w:rsid w:val="00766EB9"/>
    <w:rsid w:val="0089446A"/>
    <w:rsid w:val="009B15B2"/>
    <w:rsid w:val="009F7B30"/>
    <w:rsid w:val="00B51502"/>
    <w:rsid w:val="00B61191"/>
    <w:rsid w:val="00BF415F"/>
    <w:rsid w:val="00C815CE"/>
    <w:rsid w:val="00CB1EAA"/>
    <w:rsid w:val="00CC52F4"/>
    <w:rsid w:val="00CE3919"/>
    <w:rsid w:val="00D95C48"/>
    <w:rsid w:val="00E115D3"/>
    <w:rsid w:val="00EB5CF9"/>
    <w:rsid w:val="00F073F4"/>
    <w:rsid w:val="00F6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74FEA4"/>
  <w15:docId w15:val="{A58224E9-FEC6-4772-B1B7-DCE99921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uiPriority w:val="99"/>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paragraph" w:styleId="Header">
    <w:name w:val="header"/>
    <w:basedOn w:val="Normal"/>
    <w:link w:val="HeaderChar"/>
    <w:uiPriority w:val="99"/>
    <w:semiHidden/>
    <w:unhideWhenUsed/>
    <w:rsid w:val="002A38D3"/>
    <w:pPr>
      <w:tabs>
        <w:tab w:val="center" w:pos="4680"/>
        <w:tab w:val="right" w:pos="9360"/>
      </w:tabs>
    </w:pPr>
  </w:style>
  <w:style w:type="character" w:customStyle="1" w:styleId="HeaderChar">
    <w:name w:val="Header Char"/>
    <w:basedOn w:val="DefaultParagraphFont"/>
    <w:link w:val="Header"/>
    <w:uiPriority w:val="99"/>
    <w:semiHidden/>
    <w:rsid w:val="002A38D3"/>
    <w:rPr>
      <w:sz w:val="24"/>
      <w:szCs w:val="24"/>
    </w:rPr>
  </w:style>
  <w:style w:type="paragraph" w:styleId="Footer">
    <w:name w:val="footer"/>
    <w:basedOn w:val="Normal"/>
    <w:link w:val="FooterChar"/>
    <w:uiPriority w:val="99"/>
    <w:semiHidden/>
    <w:unhideWhenUsed/>
    <w:rsid w:val="002A38D3"/>
    <w:pPr>
      <w:tabs>
        <w:tab w:val="center" w:pos="4680"/>
        <w:tab w:val="right" w:pos="9360"/>
      </w:tabs>
    </w:pPr>
  </w:style>
  <w:style w:type="character" w:customStyle="1" w:styleId="FooterChar">
    <w:name w:val="Footer Char"/>
    <w:basedOn w:val="DefaultParagraphFont"/>
    <w:link w:val="Footer"/>
    <w:uiPriority w:val="99"/>
    <w:semiHidden/>
    <w:rsid w:val="002A3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s.choruscall.com/links/govx210324.html" TargetMode="External"/><Relationship Id="rId11" Type="http://schemas.openxmlformats.org/officeDocument/2006/relationships/footer" Target="footer3.xml"/><Relationship Id="rId5" Type="http://schemas.openxmlformats.org/officeDocument/2006/relationships/hyperlink" Target="https://dpregister.com/sreg/10152894/e3a3a9bd2c"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govx20200928_8k.htm</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govx20200928_8k.htm</dc:title>
  <dc:creator>Mark Reynolds</dc:creator>
  <cp:lastModifiedBy>Susan Reuland</cp:lastModifiedBy>
  <cp:revision>2</cp:revision>
  <dcterms:created xsi:type="dcterms:W3CDTF">2021-03-23T21:21:00Z</dcterms:created>
  <dcterms:modified xsi:type="dcterms:W3CDTF">2021-03-23T21:21:00Z</dcterms:modified>
</cp:coreProperties>
</file>