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D0C22" w14:textId="77777777" w:rsidR="00FB49ED" w:rsidRPr="00FB49ED" w:rsidRDefault="00E96748"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E96748"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A825C2"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8A7A42F">
          <v:rect id="_x0000_i1025" style="width:117pt;height:.75pt" o:hrpct="250" o:hralign="center" o:hrstd="t" o:hrnoshade="t" o:hr="t" fillcolor="black" stroked="f"/>
        </w:pict>
      </w:r>
    </w:p>
    <w:p w14:paraId="06EC20C2"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E96748"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60965875"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6F55A0">
        <w:rPr>
          <w:rFonts w:ascii="Times New Roman" w:eastAsia="Times New Roman" w:hAnsi="Times New Roman" w:cs="Times New Roman"/>
          <w:b/>
          <w:bCs/>
          <w:sz w:val="20"/>
          <w:szCs w:val="20"/>
        </w:rPr>
        <w:t>August</w:t>
      </w:r>
      <w:r w:rsidR="00F37726">
        <w:rPr>
          <w:rFonts w:ascii="Times New Roman" w:eastAsia="Times New Roman" w:hAnsi="Times New Roman" w:cs="Times New Roman"/>
          <w:b/>
          <w:bCs/>
          <w:sz w:val="20"/>
          <w:szCs w:val="20"/>
        </w:rPr>
        <w:t xml:space="preserve"> </w:t>
      </w:r>
      <w:r w:rsidR="006F55A0">
        <w:rPr>
          <w:rFonts w:ascii="Times New Roman" w:eastAsia="Times New Roman" w:hAnsi="Times New Roman" w:cs="Times New Roman"/>
          <w:b/>
          <w:bCs/>
          <w:sz w:val="20"/>
          <w:szCs w:val="20"/>
        </w:rPr>
        <w:t>10</w:t>
      </w:r>
      <w:r w:rsidRPr="00DA7D4C">
        <w:rPr>
          <w:rFonts w:ascii="Times New Roman" w:eastAsia="Times New Roman" w:hAnsi="Times New Roman" w:cs="Times New Roman"/>
          <w:b/>
          <w:bCs/>
          <w:sz w:val="20"/>
          <w:szCs w:val="20"/>
        </w:rPr>
        <w:t>, 20</w:t>
      </w:r>
      <w:r w:rsidR="00EE7D9E">
        <w:rPr>
          <w:rFonts w:ascii="Times New Roman" w:eastAsia="Times New Roman" w:hAnsi="Times New Roman" w:cs="Times New Roman"/>
          <w:b/>
          <w:bCs/>
          <w:sz w:val="20"/>
          <w:szCs w:val="20"/>
        </w:rPr>
        <w:t>20</w:t>
      </w:r>
    </w:p>
    <w:p w14:paraId="6B7BC9D9"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A825C2"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25286D9">
          <v:rect id="_x0000_i1026" style="width:117pt;height:.75pt" o:hrpct="250" o:hralign="center" o:hrstd="t" o:hrnoshade="t" o:hr="t" fillcolor="black" stroked="f"/>
        </w:pict>
      </w:r>
    </w:p>
    <w:p w14:paraId="7833AC4F" w14:textId="77777777" w:rsidR="00DA7D4C" w:rsidRPr="00DA7D4C" w:rsidRDefault="00E96748"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374E61" w14:paraId="68A8A80A" w14:textId="77777777" w:rsidTr="00DA7D4C">
        <w:trPr>
          <w:tblCellSpacing w:w="0" w:type="dxa"/>
        </w:trPr>
        <w:tc>
          <w:tcPr>
            <w:tcW w:w="1600" w:type="pct"/>
            <w:hideMark/>
          </w:tcPr>
          <w:p w14:paraId="651A580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374E61" w14:paraId="790E6D6E" w14:textId="77777777" w:rsidTr="00DA7D4C">
        <w:trPr>
          <w:tblCellSpacing w:w="0" w:type="dxa"/>
        </w:trPr>
        <w:tc>
          <w:tcPr>
            <w:tcW w:w="1600" w:type="pct"/>
            <w:hideMark/>
          </w:tcPr>
          <w:p w14:paraId="2943696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 xml:space="preserve">(State or </w:t>
            </w:r>
            <w:proofErr w:type="gramStart"/>
            <w:r w:rsidRPr="00DA7D4C">
              <w:rPr>
                <w:rFonts w:ascii="Times New Roman" w:eastAsia="Times New Roman" w:hAnsi="Times New Roman" w:cs="Times New Roman"/>
                <w:b/>
                <w:bCs/>
                <w:sz w:val="20"/>
                <w:szCs w:val="20"/>
              </w:rPr>
              <w:t>other</w:t>
            </w:r>
            <w:proofErr w:type="gramEnd"/>
            <w:r w:rsidRPr="00DA7D4C">
              <w:rPr>
                <w:rFonts w:ascii="Times New Roman" w:eastAsia="Times New Roman" w:hAnsi="Times New Roman" w:cs="Times New Roman"/>
                <w:b/>
                <w:bCs/>
                <w:sz w:val="20"/>
                <w:szCs w:val="20"/>
              </w:rPr>
              <w:t xml:space="preserve"> jurisdiction of</w:t>
            </w:r>
          </w:p>
          <w:p w14:paraId="1A2FE2EC"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4AFCE2A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6290971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81EF3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6F96656D"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7BDF7F6" w14:textId="77777777" w:rsidR="00074941" w:rsidRDefault="00074941" w:rsidP="00FB49ED">
      <w:pPr>
        <w:spacing w:line="240" w:lineRule="auto"/>
        <w:rPr>
          <w:rFonts w:ascii="Times New Roman" w:eastAsia="Times New Roman" w:hAnsi="Times New Roman" w:cs="Times New Roman"/>
          <w:sz w:val="20"/>
          <w:szCs w:val="20"/>
        </w:rPr>
      </w:pPr>
    </w:p>
    <w:p w14:paraId="4DDE91D3" w14:textId="77777777" w:rsidR="00074941" w:rsidRDefault="00E96748">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E8D366C" w14:textId="77777777" w:rsidR="00FB49ED" w:rsidRPr="00FB49ED" w:rsidRDefault="00FB49ED" w:rsidP="00FB49ED">
      <w:pPr>
        <w:spacing w:line="240" w:lineRule="auto"/>
        <w:rPr>
          <w:rFonts w:ascii="Times New Roman" w:eastAsia="Times New Roman" w:hAnsi="Times New Roman" w:cs="Times New Roman"/>
          <w:sz w:val="20"/>
          <w:szCs w:val="20"/>
        </w:rPr>
      </w:pPr>
    </w:p>
    <w:p w14:paraId="3A6DC73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0807E18"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This Form 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  Except as required by law, the Company does not undertake to update its forward looking statements.</w:t>
      </w:r>
    </w:p>
    <w:p w14:paraId="7C7234E2"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275308E" w14:textId="77777777" w:rsidR="00BC224C" w:rsidRPr="00125FB2" w:rsidRDefault="00BC224C" w:rsidP="00BC224C">
      <w:pPr>
        <w:spacing w:line="240" w:lineRule="auto"/>
        <w:rPr>
          <w:rFonts w:ascii="Times New Roman" w:eastAsia="Times New Roman" w:hAnsi="Times New Roman" w:cs="Times New Roman"/>
          <w:b/>
          <w:sz w:val="20"/>
          <w:szCs w:val="20"/>
        </w:rPr>
      </w:pPr>
      <w:r w:rsidRPr="00125FB2">
        <w:rPr>
          <w:rFonts w:ascii="Times New Roman" w:eastAsia="Times New Roman" w:hAnsi="Times New Roman" w:cs="Times New Roman"/>
          <w:b/>
          <w:sz w:val="20"/>
          <w:szCs w:val="20"/>
        </w:rPr>
        <w:t>Item 2.02</w:t>
      </w:r>
      <w:r w:rsidRPr="00125FB2">
        <w:rPr>
          <w:rFonts w:ascii="Times New Roman" w:eastAsia="Times New Roman" w:hAnsi="Times New Roman" w:cs="Times New Roman"/>
          <w:b/>
          <w:sz w:val="20"/>
          <w:szCs w:val="20"/>
        </w:rPr>
        <w:tab/>
        <w:t>Results of Operations and Financial Condition</w:t>
      </w:r>
    </w:p>
    <w:p w14:paraId="24D482E4" w14:textId="77777777" w:rsidR="00BC224C" w:rsidRPr="00125FB2" w:rsidRDefault="00BC224C" w:rsidP="00BC224C">
      <w:pPr>
        <w:spacing w:line="240" w:lineRule="auto"/>
        <w:rPr>
          <w:rFonts w:ascii="Times New Roman" w:eastAsia="Times New Roman" w:hAnsi="Times New Roman" w:cs="Times New Roman"/>
          <w:sz w:val="20"/>
          <w:szCs w:val="20"/>
        </w:rPr>
      </w:pPr>
    </w:p>
    <w:p w14:paraId="07AE2D5D" w14:textId="5B11F81F" w:rsidR="00BC224C" w:rsidRPr="00125FB2" w:rsidRDefault="00BC224C" w:rsidP="00BC224C">
      <w:pPr>
        <w:spacing w:line="240" w:lineRule="auto"/>
        <w:rPr>
          <w:rFonts w:ascii="Times New Roman" w:eastAsia="Times New Roman" w:hAnsi="Times New Roman" w:cs="Times New Roman"/>
          <w:sz w:val="20"/>
          <w:szCs w:val="20"/>
        </w:rPr>
      </w:pPr>
      <w:r w:rsidRPr="00125FB2">
        <w:rPr>
          <w:rFonts w:ascii="Times New Roman" w:eastAsia="Times New Roman" w:hAnsi="Times New Roman" w:cs="Times New Roman"/>
          <w:bCs/>
          <w:sz w:val="20"/>
          <w:szCs w:val="20"/>
        </w:rPr>
        <w:t xml:space="preserve">On </w:t>
      </w:r>
      <w:r w:rsidR="006F55A0">
        <w:rPr>
          <w:rFonts w:ascii="Times New Roman" w:eastAsia="Times New Roman" w:hAnsi="Times New Roman" w:cs="Times New Roman"/>
          <w:bCs/>
          <w:sz w:val="20"/>
          <w:szCs w:val="20"/>
        </w:rPr>
        <w:t>August</w:t>
      </w:r>
      <w:r w:rsidRPr="00125FB2">
        <w:rPr>
          <w:rFonts w:ascii="Times New Roman" w:eastAsia="Times New Roman" w:hAnsi="Times New Roman" w:cs="Times New Roman"/>
          <w:bCs/>
          <w:sz w:val="20"/>
          <w:szCs w:val="20"/>
        </w:rPr>
        <w:t xml:space="preserve"> </w:t>
      </w:r>
      <w:r w:rsidR="006F55A0">
        <w:rPr>
          <w:rFonts w:ascii="Times New Roman" w:eastAsia="Times New Roman" w:hAnsi="Times New Roman" w:cs="Times New Roman"/>
          <w:bCs/>
          <w:sz w:val="20"/>
          <w:szCs w:val="20"/>
        </w:rPr>
        <w:t>10</w:t>
      </w:r>
      <w:r w:rsidRPr="00125FB2">
        <w:rPr>
          <w:rFonts w:ascii="Times New Roman" w:eastAsia="Times New Roman" w:hAnsi="Times New Roman" w:cs="Times New Roman"/>
          <w:bCs/>
          <w:sz w:val="20"/>
          <w:szCs w:val="20"/>
        </w:rPr>
        <w:t>, 20</w:t>
      </w:r>
      <w:r>
        <w:rPr>
          <w:rFonts w:ascii="Times New Roman" w:eastAsia="Times New Roman" w:hAnsi="Times New Roman" w:cs="Times New Roman"/>
          <w:bCs/>
          <w:sz w:val="20"/>
          <w:szCs w:val="20"/>
        </w:rPr>
        <w:t>20</w:t>
      </w:r>
      <w:r w:rsidRPr="00125FB2">
        <w:rPr>
          <w:rFonts w:ascii="Times New Roman" w:eastAsia="Times New Roman" w:hAnsi="Times New Roman" w:cs="Times New Roman"/>
          <w:bCs/>
          <w:sz w:val="20"/>
          <w:szCs w:val="20"/>
        </w:rPr>
        <w:t xml:space="preserve"> we issued a press release reporting our results of operations for the </w:t>
      </w:r>
      <w:r w:rsidR="00F37726">
        <w:rPr>
          <w:rFonts w:ascii="Times New Roman" w:eastAsia="Times New Roman" w:hAnsi="Times New Roman" w:cs="Times New Roman"/>
          <w:bCs/>
          <w:sz w:val="20"/>
          <w:szCs w:val="20"/>
        </w:rPr>
        <w:t>quarter</w:t>
      </w:r>
      <w:r w:rsidRPr="00125FB2">
        <w:rPr>
          <w:rFonts w:ascii="Times New Roman" w:eastAsia="Times New Roman" w:hAnsi="Times New Roman" w:cs="Times New Roman"/>
          <w:bCs/>
          <w:sz w:val="20"/>
          <w:szCs w:val="20"/>
        </w:rPr>
        <w:t xml:space="preserve"> ended </w:t>
      </w:r>
      <w:r w:rsidR="006F55A0">
        <w:rPr>
          <w:rFonts w:ascii="Times New Roman" w:eastAsia="Times New Roman" w:hAnsi="Times New Roman" w:cs="Times New Roman"/>
          <w:bCs/>
          <w:sz w:val="20"/>
          <w:szCs w:val="20"/>
        </w:rPr>
        <w:t>June</w:t>
      </w:r>
      <w:r>
        <w:rPr>
          <w:rFonts w:ascii="Times New Roman" w:eastAsia="Times New Roman" w:hAnsi="Times New Roman" w:cs="Times New Roman"/>
          <w:bCs/>
          <w:sz w:val="20"/>
          <w:szCs w:val="20"/>
        </w:rPr>
        <w:t> 3</w:t>
      </w:r>
      <w:r w:rsidR="006F55A0">
        <w:rPr>
          <w:rFonts w:ascii="Times New Roman" w:eastAsia="Times New Roman" w:hAnsi="Times New Roman" w:cs="Times New Roman"/>
          <w:bCs/>
          <w:sz w:val="20"/>
          <w:szCs w:val="20"/>
        </w:rPr>
        <w:t>0</w:t>
      </w:r>
      <w:r w:rsidRPr="00125FB2">
        <w:rPr>
          <w:rFonts w:ascii="Times New Roman" w:eastAsia="Times New Roman" w:hAnsi="Times New Roman" w:cs="Times New Roman"/>
          <w:bCs/>
          <w:sz w:val="20"/>
          <w:szCs w:val="20"/>
        </w:rPr>
        <w:t>, 20</w:t>
      </w:r>
      <w:r w:rsidR="00F37726">
        <w:rPr>
          <w:rFonts w:ascii="Times New Roman" w:eastAsia="Times New Roman" w:hAnsi="Times New Roman" w:cs="Times New Roman"/>
          <w:bCs/>
          <w:sz w:val="20"/>
          <w:szCs w:val="20"/>
        </w:rPr>
        <w:t>20</w:t>
      </w:r>
      <w:r w:rsidRPr="00125FB2">
        <w:rPr>
          <w:rFonts w:ascii="Times New Roman" w:eastAsia="Times New Roman" w:hAnsi="Times New Roman" w:cs="Times New Roman"/>
          <w:bCs/>
          <w:sz w:val="20"/>
          <w:szCs w:val="20"/>
        </w:rPr>
        <w:t>.</w:t>
      </w:r>
      <w:r w:rsidRPr="00125FB2">
        <w:rPr>
          <w:rFonts w:ascii="Times New Roman" w:eastAsia="Times New Roman" w:hAnsi="Times New Roman" w:cs="Times New Roman"/>
          <w:sz w:val="20"/>
          <w:szCs w:val="20"/>
        </w:rPr>
        <w:t xml:space="preserve">  A copy of the press release is attached to this Current Report.</w:t>
      </w:r>
    </w:p>
    <w:p w14:paraId="28A93C3A" w14:textId="30ACD0B4" w:rsidR="00FB49ED" w:rsidRPr="00FB49ED" w:rsidRDefault="00E96748" w:rsidP="00A956D3">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374E61" w14:paraId="01AC6C15" w14:textId="77777777" w:rsidTr="00FB49ED">
        <w:trPr>
          <w:tblCellSpacing w:w="0" w:type="dxa"/>
        </w:trPr>
        <w:tc>
          <w:tcPr>
            <w:tcW w:w="1080" w:type="dxa"/>
            <w:hideMark/>
          </w:tcPr>
          <w:p w14:paraId="7F78394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xml:space="preserve">Item 9.01 </w:t>
            </w:r>
          </w:p>
        </w:tc>
        <w:tc>
          <w:tcPr>
            <w:tcW w:w="0" w:type="auto"/>
            <w:hideMark/>
          </w:tcPr>
          <w:p w14:paraId="423B8D66"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Financial Statements and Exhibits</w:t>
            </w:r>
          </w:p>
        </w:tc>
      </w:tr>
    </w:tbl>
    <w:p w14:paraId="4EBB15EE"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A451D0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following exhibits are filed with this Current Report:</w:t>
      </w:r>
    </w:p>
    <w:p w14:paraId="4878B1E0" w14:textId="0C05BF2A" w:rsidR="00FB49ED" w:rsidRDefault="00FB49ED" w:rsidP="00FB49ED">
      <w:pPr>
        <w:spacing w:line="240" w:lineRule="auto"/>
        <w:jc w:val="both"/>
        <w:rPr>
          <w:rFonts w:ascii="Times New Roman" w:eastAsia="Times New Roman" w:hAnsi="Times New Roman" w:cs="Times New Roman"/>
          <w:sz w:val="20"/>
          <w:szCs w:val="20"/>
        </w:rPr>
      </w:pPr>
    </w:p>
    <w:p w14:paraId="7BC9FF8D" w14:textId="4CE40C42" w:rsidR="00BC224C" w:rsidRPr="00FB49ED" w:rsidRDefault="00BC224C" w:rsidP="00BC224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Exhibit 99.1</w:t>
      </w:r>
      <w:r>
        <w:rPr>
          <w:rFonts w:ascii="Times New Roman" w:eastAsia="Times New Roman" w:hAnsi="Times New Roman" w:cs="Times New Roman"/>
          <w:sz w:val="20"/>
          <w:szCs w:val="20"/>
        </w:rPr>
        <w:tab/>
        <w:t xml:space="preserve">Press Release, dated </w:t>
      </w:r>
      <w:r w:rsidR="006F55A0">
        <w:rPr>
          <w:rFonts w:ascii="Times New Roman" w:eastAsia="Times New Roman" w:hAnsi="Times New Roman" w:cs="Times New Roman"/>
          <w:sz w:val="20"/>
          <w:szCs w:val="20"/>
        </w:rPr>
        <w:t>August</w:t>
      </w:r>
      <w:r>
        <w:rPr>
          <w:rFonts w:ascii="Times New Roman" w:eastAsia="Times New Roman" w:hAnsi="Times New Roman" w:cs="Times New Roman"/>
          <w:sz w:val="20"/>
          <w:szCs w:val="20"/>
        </w:rPr>
        <w:t xml:space="preserve"> </w:t>
      </w:r>
      <w:r w:rsidR="006F55A0">
        <w:rPr>
          <w:rFonts w:ascii="Times New Roman" w:eastAsia="Times New Roman" w:hAnsi="Times New Roman" w:cs="Times New Roman"/>
          <w:sz w:val="20"/>
          <w:szCs w:val="20"/>
        </w:rPr>
        <w:t>10</w:t>
      </w:r>
      <w:r>
        <w:rPr>
          <w:rFonts w:ascii="Times New Roman" w:eastAsia="Times New Roman" w:hAnsi="Times New Roman" w:cs="Times New Roman"/>
          <w:sz w:val="20"/>
          <w:szCs w:val="20"/>
        </w:rPr>
        <w:t>, 2020</w:t>
      </w:r>
    </w:p>
    <w:p w14:paraId="3DED0D32" w14:textId="77777777" w:rsidR="00BC224C" w:rsidRPr="00FB49ED" w:rsidRDefault="00BC224C" w:rsidP="00FB49ED">
      <w:pPr>
        <w:spacing w:line="240" w:lineRule="auto"/>
        <w:jc w:val="both"/>
        <w:rPr>
          <w:rFonts w:ascii="Times New Roman" w:eastAsia="Times New Roman" w:hAnsi="Times New Roman" w:cs="Times New Roman"/>
          <w:sz w:val="20"/>
          <w:szCs w:val="20"/>
        </w:rPr>
      </w:pPr>
    </w:p>
    <w:p w14:paraId="691D560C"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57AE9D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6FD00CCF" w14:textId="77777777" w:rsidR="00FB49ED" w:rsidRPr="00FB49ED" w:rsidRDefault="00FB49ED" w:rsidP="00FB49ED">
      <w:pPr>
        <w:spacing w:line="240" w:lineRule="auto"/>
        <w:rPr>
          <w:rFonts w:ascii="Times New Roman" w:eastAsia="Times New Roman" w:hAnsi="Times New Roman" w:cs="Times New Roman"/>
          <w:sz w:val="20"/>
          <w:szCs w:val="20"/>
        </w:rPr>
      </w:pPr>
    </w:p>
    <w:p w14:paraId="1B884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56D1A369"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SIGNATURE</w:t>
      </w:r>
    </w:p>
    <w:p w14:paraId="4376D1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040CA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0BD57AC" w14:textId="5032FCEB"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Dated: </w:t>
      </w:r>
      <w:r w:rsidR="006F55A0">
        <w:rPr>
          <w:rFonts w:ascii="Times New Roman" w:eastAsia="Times New Roman" w:hAnsi="Times New Roman" w:cs="Times New Roman"/>
          <w:sz w:val="20"/>
          <w:szCs w:val="20"/>
        </w:rPr>
        <w:t>August</w:t>
      </w:r>
      <w:r w:rsidR="00EE7D9E">
        <w:rPr>
          <w:rFonts w:ascii="Times New Roman" w:eastAsia="Times New Roman" w:hAnsi="Times New Roman" w:cs="Times New Roman"/>
          <w:sz w:val="20"/>
          <w:szCs w:val="20"/>
        </w:rPr>
        <w:t xml:space="preserve"> </w:t>
      </w:r>
      <w:r w:rsidR="006F55A0">
        <w:rPr>
          <w:rFonts w:ascii="Times New Roman" w:eastAsia="Times New Roman" w:hAnsi="Times New Roman" w:cs="Times New Roman"/>
          <w:sz w:val="20"/>
          <w:szCs w:val="20"/>
        </w:rPr>
        <w:t>10</w:t>
      </w:r>
      <w:r w:rsidRPr="00FB49ED">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p>
    <w:p w14:paraId="2AD951B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374E61" w14:paraId="22E60DF0" w14:textId="77777777" w:rsidTr="00FB49ED">
        <w:trPr>
          <w:tblCellSpacing w:w="0" w:type="dxa"/>
        </w:trPr>
        <w:tc>
          <w:tcPr>
            <w:tcW w:w="2500" w:type="pct"/>
            <w:hideMark/>
          </w:tcPr>
          <w:p w14:paraId="6E212A4E"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0960D51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GEOVAX LABS, INC.</w:t>
            </w:r>
          </w:p>
        </w:tc>
        <w:tc>
          <w:tcPr>
            <w:tcW w:w="600" w:type="pct"/>
            <w:hideMark/>
          </w:tcPr>
          <w:p w14:paraId="62DBBCC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72FE60D5" w14:textId="77777777" w:rsidTr="00FB49ED">
        <w:trPr>
          <w:tblCellSpacing w:w="0" w:type="dxa"/>
        </w:trPr>
        <w:tc>
          <w:tcPr>
            <w:tcW w:w="2500" w:type="pct"/>
            <w:hideMark/>
          </w:tcPr>
          <w:p w14:paraId="6EB17C6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29FDD7C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A4ACF4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BBA22DD" w14:textId="77777777" w:rsidTr="00FB49ED">
        <w:trPr>
          <w:tblCellSpacing w:w="0" w:type="dxa"/>
        </w:trPr>
        <w:tc>
          <w:tcPr>
            <w:tcW w:w="2500" w:type="pct"/>
            <w:hideMark/>
          </w:tcPr>
          <w:p w14:paraId="23D5B24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5824509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43476B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4136ACB" w14:textId="77777777" w:rsidTr="00FB49ED">
        <w:trPr>
          <w:tblCellSpacing w:w="0" w:type="dxa"/>
        </w:trPr>
        <w:tc>
          <w:tcPr>
            <w:tcW w:w="2500" w:type="pct"/>
            <w:hideMark/>
          </w:tcPr>
          <w:p w14:paraId="5ED86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2FAD5B1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By:</w:t>
            </w:r>
          </w:p>
        </w:tc>
        <w:tc>
          <w:tcPr>
            <w:tcW w:w="1750" w:type="pct"/>
            <w:tcBorders>
              <w:bottom w:val="single" w:sz="6" w:space="0" w:color="000000"/>
            </w:tcBorders>
            <w:hideMark/>
          </w:tcPr>
          <w:p w14:paraId="288C483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/s/ Mark W. Reynolds</w:t>
            </w:r>
          </w:p>
        </w:tc>
        <w:tc>
          <w:tcPr>
            <w:tcW w:w="600" w:type="pct"/>
            <w:hideMark/>
          </w:tcPr>
          <w:p w14:paraId="28BC1F8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A1A30F6" w14:textId="77777777" w:rsidTr="00FB49ED">
        <w:trPr>
          <w:tblCellSpacing w:w="0" w:type="dxa"/>
        </w:trPr>
        <w:tc>
          <w:tcPr>
            <w:tcW w:w="2500" w:type="pct"/>
            <w:hideMark/>
          </w:tcPr>
          <w:p w14:paraId="07F4D04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5E7082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vAlign w:val="bottom"/>
            <w:hideMark/>
          </w:tcPr>
          <w:p w14:paraId="1B30FAF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Mark W. Reynolds</w:t>
            </w:r>
          </w:p>
        </w:tc>
        <w:tc>
          <w:tcPr>
            <w:tcW w:w="600" w:type="pct"/>
            <w:hideMark/>
          </w:tcPr>
          <w:p w14:paraId="4118A90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0AF8011" w14:textId="77777777" w:rsidTr="00FB49ED">
        <w:trPr>
          <w:tblCellSpacing w:w="0" w:type="dxa"/>
        </w:trPr>
        <w:tc>
          <w:tcPr>
            <w:tcW w:w="2500" w:type="pct"/>
            <w:hideMark/>
          </w:tcPr>
          <w:p w14:paraId="09D5340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33977C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hideMark/>
          </w:tcPr>
          <w:p w14:paraId="5EB631CA"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Chief Financial Officer</w:t>
            </w:r>
          </w:p>
        </w:tc>
        <w:tc>
          <w:tcPr>
            <w:tcW w:w="600" w:type="pct"/>
            <w:hideMark/>
          </w:tcPr>
          <w:p w14:paraId="0EA0FA50"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bl>
    <w:p w14:paraId="77D0DE1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2E446D6" w14:textId="1F58B8CE" w:rsidR="00FB49ED" w:rsidRPr="00FB49ED" w:rsidRDefault="00FB49ED" w:rsidP="00252821">
      <w:pPr>
        <w:spacing w:line="240" w:lineRule="auto"/>
        <w:rPr>
          <w:rFonts w:ascii="Times New Roman" w:eastAsia="Times New Roman" w:hAnsi="Times New Roman" w:cs="Times New Roman"/>
          <w:sz w:val="20"/>
          <w:szCs w:val="20"/>
        </w:rPr>
      </w:pPr>
    </w:p>
    <w:p w14:paraId="65371B63" w14:textId="77777777" w:rsidR="00CB50C7" w:rsidRDefault="00CB50C7">
      <w:pPr>
        <w:sectPr w:rsidR="00CB50C7">
          <w:footerReference w:type="default" r:id="rId6"/>
          <w:pgSz w:w="12240" w:h="15840"/>
          <w:pgMar w:top="1440" w:right="1440" w:bottom="1440" w:left="1440" w:header="720" w:footer="720" w:gutter="0"/>
          <w:cols w:space="720"/>
          <w:docGrid w:linePitch="360"/>
        </w:sectPr>
      </w:pPr>
    </w:p>
    <w:p w14:paraId="452A07ED" w14:textId="1AFC925E" w:rsidR="00CB50C7" w:rsidRPr="00CB50C7" w:rsidRDefault="00A825C2" w:rsidP="00CB50C7">
      <w:pPr>
        <w:widowControl w:val="0"/>
        <w:autoSpaceDE w:val="0"/>
        <w:autoSpaceDN w:val="0"/>
        <w:adjustRightInd w:val="0"/>
        <w:spacing w:line="240" w:lineRule="auto"/>
        <w:jc w:val="center"/>
        <w:rPr>
          <w:rFonts w:ascii="Times New Roman" w:eastAsia="Times New Roman" w:hAnsi="Times New Roman" w:cs="Times New Roman"/>
          <w:b/>
          <w:bCs/>
          <w:color w:val="FF0000"/>
          <w:sz w:val="32"/>
          <w:szCs w:val="32"/>
        </w:rPr>
      </w:pPr>
      <w:r>
        <w:rPr>
          <w:rFonts w:ascii="Times New Roman" w:eastAsia="Times New Roman" w:hAnsi="Times New Roman" w:cs="Times New Roman"/>
          <w:b/>
          <w:bCs/>
          <w:noProof/>
          <w:color w:val="FF0000"/>
          <w:sz w:val="32"/>
          <w:szCs w:val="32"/>
        </w:rPr>
        <w:lastRenderedPageBreak/>
        <mc:AlternateContent>
          <mc:Choice Requires="wps">
            <w:drawing>
              <wp:anchor distT="0" distB="0" distL="114300" distR="114300" simplePos="0" relativeHeight="251659264" behindDoc="0" locked="0" layoutInCell="1" allowOverlap="1" wp14:anchorId="6687DDE3" wp14:editId="61A5EC2D">
                <wp:simplePos x="0" y="0"/>
                <wp:positionH relativeFrom="column">
                  <wp:posOffset>5303520</wp:posOffset>
                </wp:positionH>
                <wp:positionV relativeFrom="paragraph">
                  <wp:posOffset>-167640</wp:posOffset>
                </wp:positionV>
                <wp:extent cx="1089660" cy="2743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89660" cy="274320"/>
                        </a:xfrm>
                        <a:prstGeom prst="rect">
                          <a:avLst/>
                        </a:prstGeom>
                        <a:noFill/>
                        <a:ln w="6350">
                          <a:noFill/>
                        </a:ln>
                      </wps:spPr>
                      <wps:txbx>
                        <w:txbxContent>
                          <w:p w14:paraId="4B70B5E0" w14:textId="2D27566A" w:rsidR="00A825C2" w:rsidRPr="00A825C2" w:rsidRDefault="00A825C2">
                            <w:pPr>
                              <w:rPr>
                                <w:b/>
                                <w:bCs/>
                              </w:rPr>
                            </w:pPr>
                            <w:r w:rsidRPr="00A825C2">
                              <w:rPr>
                                <w:b/>
                                <w:bCs/>
                              </w:rPr>
                              <w:t>Exhibit 99.1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7DDE3" id="_x0000_t202" coordsize="21600,21600" o:spt="202" path="m,l,21600r21600,l21600,xe">
                <v:stroke joinstyle="miter"/>
                <v:path gradientshapeok="t" o:connecttype="rect"/>
              </v:shapetype>
              <v:shape id="Text Box 1" o:spid="_x0000_s1026" type="#_x0000_t202" style="position:absolute;left:0;text-align:left;margin-left:417.6pt;margin-top:-13.2pt;width:85.8pt;height:2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" filled="f" stroked="f" strokeweight=".5pt">
                <v:textbox>
                  <w:txbxContent>
                    <w:p w14:paraId="4B70B5E0" w14:textId="2D27566A" w:rsidR="00A825C2" w:rsidRPr="00A825C2" w:rsidRDefault="00A825C2">
                      <w:pPr>
                        <w:rPr>
                          <w:b/>
                          <w:bCs/>
                        </w:rPr>
                      </w:pPr>
                      <w:r w:rsidRPr="00A825C2">
                        <w:rPr>
                          <w:b/>
                          <w:bCs/>
                        </w:rPr>
                        <w:t>Exhibit 99.1</w:t>
                      </w:r>
                    </w:p>
                  </w:txbxContent>
                </v:textbox>
              </v:shape>
            </w:pict>
          </mc:Fallback>
        </mc:AlternateContent>
      </w:r>
    </w:p>
    <w:p w14:paraId="787EFA51"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b/>
          <w:bCs/>
          <w:sz w:val="32"/>
          <w:szCs w:val="32"/>
        </w:rPr>
      </w:pPr>
      <w:r w:rsidRPr="00CB50C7">
        <w:rPr>
          <w:rFonts w:ascii="Times New Roman" w:eastAsia="Times New Roman" w:hAnsi="Times New Roman" w:cs="Times New Roman"/>
          <w:b/>
          <w:bCs/>
          <w:sz w:val="32"/>
          <w:szCs w:val="32"/>
        </w:rPr>
        <w:t>GeoVax Reports 2020 Second Quarter Financial Results</w:t>
      </w:r>
    </w:p>
    <w:p w14:paraId="3A55F2DB"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b/>
          <w:bCs/>
          <w:sz w:val="32"/>
          <w:szCs w:val="32"/>
        </w:rPr>
      </w:pPr>
      <w:r w:rsidRPr="00CB50C7">
        <w:rPr>
          <w:rFonts w:ascii="Times New Roman" w:eastAsia="Times New Roman" w:hAnsi="Times New Roman" w:cs="Times New Roman"/>
          <w:b/>
          <w:bCs/>
          <w:sz w:val="32"/>
          <w:szCs w:val="32"/>
        </w:rPr>
        <w:t>and Provides Corporate Update</w:t>
      </w:r>
    </w:p>
    <w:p w14:paraId="0E529819"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bCs/>
        </w:rPr>
      </w:pPr>
    </w:p>
    <w:p w14:paraId="11A1B713"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b/>
          <w:i/>
          <w:iCs/>
          <w:sz w:val="24"/>
          <w:szCs w:val="24"/>
        </w:rPr>
      </w:pPr>
      <w:r w:rsidRPr="00CB50C7">
        <w:rPr>
          <w:rFonts w:ascii="Times New Roman" w:eastAsia="Times New Roman" w:hAnsi="Times New Roman" w:cs="Times New Roman"/>
          <w:b/>
          <w:i/>
          <w:iCs/>
          <w:sz w:val="24"/>
          <w:szCs w:val="24"/>
        </w:rPr>
        <w:t>Company Demonstrated Progress on COVID-19 Vaccine Development;</w:t>
      </w:r>
    </w:p>
    <w:p w14:paraId="03F90C07"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b/>
          <w:i/>
          <w:iCs/>
          <w:sz w:val="24"/>
          <w:szCs w:val="24"/>
        </w:rPr>
      </w:pPr>
      <w:r w:rsidRPr="00CB50C7">
        <w:rPr>
          <w:rFonts w:ascii="Times New Roman" w:eastAsia="Times New Roman" w:hAnsi="Times New Roman" w:cs="Times New Roman"/>
          <w:b/>
          <w:i/>
          <w:iCs/>
          <w:sz w:val="24"/>
          <w:szCs w:val="24"/>
        </w:rPr>
        <w:t>Continued Progress in Other Infectious Disease and Immuno-Oncology Programs</w:t>
      </w:r>
    </w:p>
    <w:p w14:paraId="044F1DE5"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bCs/>
        </w:rPr>
      </w:pPr>
    </w:p>
    <w:p w14:paraId="6A3A9A41"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b/>
          <w:bCs/>
        </w:rPr>
        <w:t xml:space="preserve">ATLANTA, GA, August 10, 2020 </w:t>
      </w:r>
      <w:r w:rsidRPr="00CB50C7">
        <w:rPr>
          <w:rFonts w:ascii="Times New Roman" w:eastAsia="Times New Roman" w:hAnsi="Times New Roman" w:cs="Times New Roman"/>
          <w:bCs/>
        </w:rPr>
        <w:t>–</w:t>
      </w:r>
      <w:r w:rsidRPr="00CB50C7">
        <w:rPr>
          <w:rFonts w:ascii="Times New Roman" w:eastAsia="Times New Roman" w:hAnsi="Times New Roman" w:cs="Times New Roman"/>
        </w:rPr>
        <w:t xml:space="preserve"> GeoVax Labs, Inc. (OTC: GOVX), a biotechnology company developing human vaccines, today announced financial results for the quarter ended June 30, 2020 and provided an update on its corporate developments.</w:t>
      </w:r>
    </w:p>
    <w:p w14:paraId="653C9510"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 xml:space="preserve">David Dodd, </w:t>
      </w:r>
      <w:proofErr w:type="spellStart"/>
      <w:r w:rsidRPr="00CB50C7">
        <w:rPr>
          <w:rFonts w:ascii="Times New Roman" w:eastAsia="Times New Roman" w:hAnsi="Times New Roman" w:cs="Times New Roman"/>
        </w:rPr>
        <w:t>GeoVax’s</w:t>
      </w:r>
      <w:proofErr w:type="spellEnd"/>
      <w:r w:rsidRPr="00CB50C7">
        <w:rPr>
          <w:rFonts w:ascii="Times New Roman" w:eastAsia="Times New Roman" w:hAnsi="Times New Roman" w:cs="Times New Roman"/>
        </w:rPr>
        <w:t xml:space="preserve"> President &amp; CEO, commented, “During the first half of 2020, GeoVax continued to make progress in various areas of product development and corporate business strategy by carefully managing our resources and prioritizing our activities toward our most advanced programs. Most notable was our decision to apply our expertise to help solve the global pandemic of COVID-19.  In addition, we are diligently working to strengthen our capital position.  In sum, we are confident in our progress and believe that our strategy to build the company and enhance shareholder value is on the right path to success.”</w:t>
      </w:r>
    </w:p>
    <w:p w14:paraId="602F84C4" w14:textId="77777777" w:rsidR="00CB50C7" w:rsidRPr="00CB50C7" w:rsidRDefault="00CB50C7" w:rsidP="00CB50C7">
      <w:pPr>
        <w:widowControl w:val="0"/>
        <w:autoSpaceDE w:val="0"/>
        <w:autoSpaceDN w:val="0"/>
        <w:adjustRightInd w:val="0"/>
        <w:spacing w:after="60" w:line="240" w:lineRule="auto"/>
        <w:rPr>
          <w:rFonts w:ascii="Times New Roman" w:eastAsia="Times New Roman" w:hAnsi="Times New Roman" w:cs="Times New Roman"/>
        </w:rPr>
      </w:pPr>
      <w:r w:rsidRPr="00CB50C7">
        <w:rPr>
          <w:rFonts w:ascii="Times New Roman" w:eastAsia="Times New Roman" w:hAnsi="Times New Roman" w:cs="Times New Roman"/>
          <w:b/>
          <w:bCs/>
          <w:i/>
          <w:iCs/>
        </w:rPr>
        <w:t>Update on Coronavirus (COVID-19) Vaccine</w:t>
      </w:r>
    </w:p>
    <w:p w14:paraId="1A053A02"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In January 2020, GeoVax announced initiation of efforts to develop a vaccine against novel coronavirus disease (COVID-19) caused by the SARS-CoV-2 coronavirus.  The Company’s vaccine program was subsequently added to the “</w:t>
      </w:r>
      <w:hyperlink r:id="rId7" w:history="1">
        <w:r w:rsidRPr="00CB50C7">
          <w:rPr>
            <w:rFonts w:ascii="Times New Roman" w:eastAsia="Times New Roman" w:hAnsi="Times New Roman" w:cs="Times New Roman"/>
            <w:color w:val="0000FF"/>
            <w:u w:val="single"/>
          </w:rPr>
          <w:t>Draft Landscape of COVID-19 Candidate Vaccines</w:t>
        </w:r>
      </w:hyperlink>
      <w:r w:rsidRPr="00CB50C7">
        <w:rPr>
          <w:rFonts w:ascii="Times New Roman" w:eastAsia="Times New Roman" w:hAnsi="Times New Roman" w:cs="Times New Roman"/>
        </w:rPr>
        <w:t xml:space="preserve">” by the World Health Organization.  We are pleased with the progress of our four vaccine candidates for COVID-19, which have now entered animal challenge testing.  Our vaccine platform has a track record of safety in humans through our HIV vaccine program and the preclinical testing results we have seen with multiple vaccine programs (HIV, Ebola, Sudan, Marburg and Zika), which provide the scientific rationale to move forward confidently with this program. </w:t>
      </w:r>
    </w:p>
    <w:p w14:paraId="558F1A4B"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Once the Company narrows to a single COVID-19 vaccine candidate, we plan to proceed directly to manufacturing and initial human clinical testing for safety and immunogenicity, subject to additional fundraising and/or support from U.S. funding agencies.  Although other competitive vaccine candidates have been discussed in the public record, management believes that the GV-MVA-VLP</w:t>
      </w:r>
      <w:r w:rsidRPr="00CB50C7">
        <w:rPr>
          <w:rFonts w:ascii="Times New Roman" w:eastAsia="Times New Roman" w:hAnsi="Times New Roman" w:cs="Times New Roman"/>
          <w:vertAlign w:val="superscript"/>
        </w:rPr>
        <w:t>TM</w:t>
      </w:r>
      <w:r w:rsidRPr="00CB50C7">
        <w:rPr>
          <w:rFonts w:ascii="Times New Roman" w:eastAsia="Times New Roman" w:hAnsi="Times New Roman" w:cs="Times New Roman"/>
        </w:rPr>
        <w:t xml:space="preserve"> platform could provide vaccine candidates with excellent efficacy, safety and durability, all critical attributes of any COVID-19 vaccine that will serve us – and the public – should we gain FDA approval and distribution worldwide.</w:t>
      </w:r>
    </w:p>
    <w:p w14:paraId="6DF09898" w14:textId="77777777" w:rsidR="00CB50C7" w:rsidRPr="00CB50C7" w:rsidRDefault="00CB50C7" w:rsidP="00CB50C7">
      <w:pPr>
        <w:widowControl w:val="0"/>
        <w:autoSpaceDE w:val="0"/>
        <w:autoSpaceDN w:val="0"/>
        <w:adjustRightInd w:val="0"/>
        <w:spacing w:after="60" w:line="240" w:lineRule="auto"/>
        <w:jc w:val="center"/>
        <w:rPr>
          <w:rFonts w:ascii="Times New Roman" w:eastAsia="Times New Roman" w:hAnsi="Times New Roman" w:cs="Times New Roman"/>
        </w:rPr>
      </w:pPr>
      <w:r w:rsidRPr="00CB50C7">
        <w:rPr>
          <w:rFonts w:ascii="Times New Roman" w:eastAsia="Times New Roman" w:hAnsi="Times New Roman" w:cs="Times New Roman"/>
          <w:b/>
          <w:bCs/>
          <w:i/>
          <w:iCs/>
        </w:rPr>
        <w:t>Other Vaccine and Immunotherapy Programs</w:t>
      </w:r>
    </w:p>
    <w:p w14:paraId="421AE7E5"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b/>
          <w:bCs/>
          <w:i/>
          <w:iCs/>
        </w:rPr>
        <w:t>HIV Vaccines (Therapeutic</w:t>
      </w:r>
      <w:r w:rsidRPr="00CB50C7">
        <w:rPr>
          <w:rFonts w:ascii="Times New Roman" w:eastAsia="Times New Roman" w:hAnsi="Times New Roman" w:cs="Times New Roman"/>
        </w:rPr>
        <w:t xml:space="preserve">) – GeoVax will participate in a planned clinical trial led by researchers at American Gene Technologies (AGT) to develop a therapy aimed at eliminating HIV from infected people (a “functional cure”).  In late 2019, AGT submitted an Investigational New Drug (IND) application to the U.S. Food and Drug Administration (FDA) for its lead HIV program, AGT103-T, a lentiviral vector-based gene therapy.  Upon clearance by the FDA, this IND will allow AGT to initiate a Phase 1 clinical trial that will investigate the safety of AGT103-T in humans, measure key biomarkers, and explore surrogate markers of efficacy.  GeoVax will provide its novel MVA-VLP-HIV vaccine (MVA62B) for evaluation in an arm of the clinical trial in combination with AGT103-T.  AGT has stated its intention to begin recruiting patients for the Phase 1 study in 2020. </w:t>
      </w:r>
    </w:p>
    <w:p w14:paraId="1D3F0C98"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 xml:space="preserve">The Company is also participating in a collaborative effort led by researchers at the University of California, San Francisco (UCSF), to develop a combination therapy aimed at inducing remission in HIV-positive individuals (a separate approach towards a “functional cure”).  Funded by amfAR, The Foundation for AIDS Research, the proposed clinical trial will enroll 20 HIV-infected adults who are on stable and effective anti-retroviral therapy (ART) and will involve a combination of vaccines, drugs and biologics.  As with the AGT trial, GeoVax will provide MVA62B for use in the studies.  Patient enrollment for the clinical trial is expected to commence in late 2020. </w:t>
      </w:r>
    </w:p>
    <w:p w14:paraId="16D2D2E0"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b/>
          <w:bCs/>
          <w:i/>
          <w:iCs/>
        </w:rPr>
        <w:t>HIV Vaccines (Preventive</w:t>
      </w:r>
      <w:r w:rsidRPr="00CB50C7">
        <w:rPr>
          <w:rFonts w:ascii="Times New Roman" w:eastAsia="Times New Roman" w:hAnsi="Times New Roman" w:cs="Times New Roman"/>
        </w:rPr>
        <w:t xml:space="preserve">) – The development of </w:t>
      </w:r>
      <w:proofErr w:type="spellStart"/>
      <w:r w:rsidRPr="00CB50C7">
        <w:rPr>
          <w:rFonts w:ascii="Times New Roman" w:eastAsia="Times New Roman" w:hAnsi="Times New Roman" w:cs="Times New Roman"/>
        </w:rPr>
        <w:t>GeoVax’s</w:t>
      </w:r>
      <w:proofErr w:type="spellEnd"/>
      <w:r w:rsidRPr="00CB50C7">
        <w:rPr>
          <w:rFonts w:ascii="Times New Roman" w:eastAsia="Times New Roman" w:hAnsi="Times New Roman" w:cs="Times New Roman"/>
        </w:rPr>
        <w:t xml:space="preserve"> preventive HIV vaccine (GOVX-B11) from </w:t>
      </w:r>
      <w:r w:rsidRPr="00CB50C7">
        <w:rPr>
          <w:rFonts w:ascii="Times New Roman" w:eastAsia="Times New Roman" w:hAnsi="Times New Roman" w:cs="Times New Roman"/>
        </w:rPr>
        <w:lastRenderedPageBreak/>
        <w:t xml:space="preserve">preclinical studies to human clinical trials has been supported by funding from </w:t>
      </w:r>
      <w:r w:rsidRPr="00CB50C7">
        <w:rPr>
          <w:rFonts w:ascii="Times New Roman" w:eastAsia="Times New Roman" w:hAnsi="Times New Roman" w:cs="Times New Roman"/>
          <w:color w:val="000000"/>
        </w:rPr>
        <w:t xml:space="preserve">the National Institute of Allergy and Infectious Diseases (NIAID), part of the National Institutes of Health (NIH). </w:t>
      </w:r>
      <w:r w:rsidRPr="00CB50C7">
        <w:rPr>
          <w:rFonts w:ascii="Times New Roman" w:eastAsia="Times New Roman" w:hAnsi="Times New Roman" w:cs="Times New Roman"/>
        </w:rPr>
        <w:t xml:space="preserve"> Following human studies by </w:t>
      </w:r>
      <w:r w:rsidRPr="00CB50C7">
        <w:rPr>
          <w:rFonts w:ascii="Times New Roman" w:eastAsia="Times New Roman" w:hAnsi="Times New Roman" w:cs="Times New Roman"/>
          <w:color w:val="000000"/>
        </w:rPr>
        <w:t xml:space="preserve">the HIV Vaccine Trials Network (HVTN) with support from NIAID, the Company is </w:t>
      </w:r>
      <w:r w:rsidRPr="00CB50C7">
        <w:rPr>
          <w:rFonts w:ascii="Times New Roman" w:eastAsia="Times New Roman" w:hAnsi="Times New Roman" w:cs="Times New Roman"/>
        </w:rPr>
        <w:t xml:space="preserve">now planning for a new Phase 1 human clinical trial (designated HVTN 132) </w:t>
      </w:r>
      <w:r w:rsidRPr="00CB50C7">
        <w:rPr>
          <w:rFonts w:ascii="Times New Roman" w:eastAsia="Times New Roman" w:hAnsi="Times New Roman" w:cs="Times New Roman"/>
          <w:bCs/>
        </w:rPr>
        <w:t>to further assess the safety, tolerability, and immunogenicity (elicited antibody responses) of a prime-boost regimen of GOVX-B11 in combination with protein boost vaccines.  Management has expected that HVTN 132 would commence patient enrollment in late 2020, but now anticipates the trial to start during the first half of 2021 due to the trial sites being utilized for COVID-19 vaccine testing.</w:t>
      </w:r>
      <w:r w:rsidRPr="00CB50C7">
        <w:rPr>
          <w:rFonts w:ascii="Times New Roman" w:eastAsia="Times New Roman" w:hAnsi="Times New Roman" w:cs="Times New Roman"/>
        </w:rPr>
        <w:t xml:space="preserve"> </w:t>
      </w:r>
    </w:p>
    <w:p w14:paraId="30F0A2EF"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b/>
          <w:bCs/>
          <w:i/>
          <w:iCs/>
        </w:rPr>
        <w:t xml:space="preserve">Malaria Vaccine (collaboration with Leidos, Inc.) </w:t>
      </w:r>
      <w:r w:rsidRPr="00CB50C7">
        <w:rPr>
          <w:rFonts w:ascii="Times New Roman" w:eastAsia="Times New Roman" w:hAnsi="Times New Roman" w:cs="Times New Roman"/>
        </w:rPr>
        <w:t>– In February 2020, GeoVax expanded its ongoing collaboration with Leidos, Inc.</w:t>
      </w:r>
      <w:r w:rsidRPr="00CB50C7">
        <w:rPr>
          <w:rFonts w:ascii="Times New Roman" w:eastAsia="Times New Roman" w:hAnsi="Times New Roman" w:cs="Times New Roman"/>
          <w:bCs/>
        </w:rPr>
        <w:t xml:space="preserve"> to develop malaria vaccine candidates.  The work is supported </w:t>
      </w:r>
      <w:r w:rsidRPr="00CB50C7">
        <w:rPr>
          <w:rFonts w:ascii="Times New Roman" w:eastAsia="Times New Roman" w:hAnsi="Times New Roman" w:cs="Times New Roman"/>
        </w:rPr>
        <w:t xml:space="preserve">under a contract to Leidos from the United States Agency for International Development (USAID) Malaria Vaccine Development Program (MVDP).  Leidos has been tasked by USAID to advance promising vaccine candidates against </w:t>
      </w:r>
      <w:r w:rsidRPr="00CB50C7">
        <w:rPr>
          <w:rFonts w:ascii="Times New Roman" w:eastAsia="Times New Roman" w:hAnsi="Times New Roman" w:cs="Times New Roman"/>
          <w:i/>
        </w:rPr>
        <w:t>P. falciparum</w:t>
      </w:r>
      <w:r w:rsidRPr="00CB50C7">
        <w:rPr>
          <w:rFonts w:ascii="Times New Roman" w:eastAsia="Times New Roman" w:hAnsi="Times New Roman" w:cs="Times New Roman"/>
        </w:rPr>
        <w:t xml:space="preserve"> malaria and has selected the GeoVax MVA-VLP platform to be a part of this development effort.  Our collaboration with Leidos complements our ongoing malaria vaccine development project with Burnet Institute in Australia. </w:t>
      </w:r>
    </w:p>
    <w:p w14:paraId="1AA77036"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b/>
          <w:bCs/>
          <w:i/>
          <w:iCs/>
        </w:rPr>
      </w:pPr>
      <w:r w:rsidRPr="00CB50C7">
        <w:rPr>
          <w:rFonts w:ascii="Times New Roman" w:eastAsia="Times New Roman" w:hAnsi="Times New Roman" w:cs="Times New Roman"/>
          <w:b/>
          <w:bCs/>
          <w:i/>
          <w:iCs/>
        </w:rPr>
        <w:t xml:space="preserve">Lassa Fever Vaccine (supported by U.S. Dept. of Defense) – </w:t>
      </w:r>
      <w:proofErr w:type="spellStart"/>
      <w:r w:rsidRPr="00CB50C7">
        <w:rPr>
          <w:rFonts w:ascii="Times New Roman" w:eastAsia="Times New Roman" w:hAnsi="Times New Roman" w:cs="Times New Roman"/>
        </w:rPr>
        <w:t>GeoVax’s</w:t>
      </w:r>
      <w:proofErr w:type="spellEnd"/>
      <w:r w:rsidRPr="00CB50C7">
        <w:rPr>
          <w:rFonts w:ascii="Times New Roman" w:eastAsia="Times New Roman" w:hAnsi="Times New Roman" w:cs="Times New Roman"/>
        </w:rPr>
        <w:t xml:space="preserve"> Lassa fever vaccine continues to progress toward nonhuman primate testing and manufacturing process development in preparation for human clinical trials through grant support from the U.S. Department of Defense.</w:t>
      </w:r>
    </w:p>
    <w:p w14:paraId="248882BD"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b/>
          <w:bCs/>
          <w:i/>
          <w:iCs/>
        </w:rPr>
      </w:pPr>
      <w:r w:rsidRPr="00CB50C7">
        <w:rPr>
          <w:rFonts w:ascii="Times New Roman" w:eastAsia="Times New Roman" w:hAnsi="Times New Roman" w:cs="Times New Roman"/>
          <w:b/>
          <w:bCs/>
          <w:i/>
          <w:iCs/>
        </w:rPr>
        <w:t>Other Emerging Infectious Disease Vaccines</w:t>
      </w:r>
      <w:r w:rsidRPr="00CB50C7">
        <w:rPr>
          <w:rFonts w:ascii="Times New Roman" w:eastAsia="Times New Roman" w:hAnsi="Times New Roman" w:cs="Times New Roman"/>
        </w:rPr>
        <w:t xml:space="preserve"> – GeoVax has developed vaccines for several other pathogens, including Ebola, Sudan, Marburg and Zika virus, each of which, like COVID-19, represents a threat to world populations.  In preclinical animal models, 100% protection with </w:t>
      </w:r>
      <w:proofErr w:type="spellStart"/>
      <w:r w:rsidRPr="00CB50C7">
        <w:rPr>
          <w:rFonts w:ascii="Times New Roman" w:eastAsia="Times New Roman" w:hAnsi="Times New Roman" w:cs="Times New Roman"/>
        </w:rPr>
        <w:t>GeoVax’s</w:t>
      </w:r>
      <w:proofErr w:type="spellEnd"/>
      <w:r w:rsidRPr="00CB50C7">
        <w:rPr>
          <w:rFonts w:ascii="Times New Roman" w:eastAsia="Times New Roman" w:hAnsi="Times New Roman" w:cs="Times New Roman"/>
        </w:rPr>
        <w:t xml:space="preserve"> vaccine candidates against each of these viruses was demonstrated. </w:t>
      </w:r>
    </w:p>
    <w:p w14:paraId="240C4C34"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b/>
          <w:bCs/>
          <w:i/>
          <w:iCs/>
        </w:rPr>
        <w:t>Cancer Immunotherapy</w:t>
      </w:r>
      <w:r w:rsidRPr="00CB50C7">
        <w:rPr>
          <w:rFonts w:ascii="Times New Roman" w:eastAsia="Times New Roman" w:hAnsi="Times New Roman" w:cs="Times New Roman"/>
        </w:rPr>
        <w:t xml:space="preserve"> – </w:t>
      </w:r>
      <w:r w:rsidRPr="00CB50C7">
        <w:rPr>
          <w:rFonts w:ascii="Times New Roman" w:eastAsia="Times New Roman" w:hAnsi="Times New Roman" w:cs="Times New Roman"/>
          <w:bCs/>
        </w:rPr>
        <w:t xml:space="preserve">In September 2019, GeoVax incorporated </w:t>
      </w:r>
      <w:proofErr w:type="spellStart"/>
      <w:r w:rsidRPr="00CB50C7">
        <w:rPr>
          <w:rFonts w:ascii="Times New Roman" w:eastAsia="Times New Roman" w:hAnsi="Times New Roman" w:cs="Times New Roman"/>
          <w:bCs/>
        </w:rPr>
        <w:t>Immutak</w:t>
      </w:r>
      <w:proofErr w:type="spellEnd"/>
      <w:r w:rsidRPr="00CB50C7">
        <w:rPr>
          <w:rFonts w:ascii="Times New Roman" w:eastAsia="Times New Roman" w:hAnsi="Times New Roman" w:cs="Times New Roman"/>
          <w:bCs/>
        </w:rPr>
        <w:t xml:space="preserve"> Oncology, Inc. as a wholly-owned subsidiary to focus on the advancement of its immuno-oncology programs and to seek additional complementary technologies and clinical-stage products in the oncology space.  Management intends to leverage the completed and ongoing work with the Company’s collaborators at the University of Pittsburgh, </w:t>
      </w:r>
      <w:proofErr w:type="spellStart"/>
      <w:r w:rsidRPr="00CB50C7">
        <w:rPr>
          <w:rFonts w:ascii="Times New Roman" w:eastAsia="Times New Roman" w:hAnsi="Times New Roman" w:cs="Times New Roman"/>
          <w:bCs/>
        </w:rPr>
        <w:t>ViaMune</w:t>
      </w:r>
      <w:proofErr w:type="spellEnd"/>
      <w:r w:rsidRPr="00CB50C7">
        <w:rPr>
          <w:rFonts w:ascii="Times New Roman" w:eastAsia="Times New Roman" w:hAnsi="Times New Roman" w:cs="Times New Roman"/>
          <w:bCs/>
        </w:rPr>
        <w:t>, Leidos, and others, and is exploring a separate financing effort in support of these programs.</w:t>
      </w:r>
      <w:r w:rsidRPr="00CB50C7">
        <w:rPr>
          <w:rFonts w:ascii="Times New Roman" w:eastAsia="Times New Roman" w:hAnsi="Times New Roman" w:cs="Times New Roman"/>
        </w:rPr>
        <w:t xml:space="preserve">  Management believes developing its programs in this area to be a key component for increasing the value of GeoVax and providing a future growth opportunity.</w:t>
      </w:r>
    </w:p>
    <w:p w14:paraId="06D41B92" w14:textId="77777777" w:rsidR="00CB50C7" w:rsidRPr="00CB50C7" w:rsidRDefault="00CB50C7" w:rsidP="00CB50C7">
      <w:pPr>
        <w:widowControl w:val="0"/>
        <w:autoSpaceDE w:val="0"/>
        <w:autoSpaceDN w:val="0"/>
        <w:adjustRightInd w:val="0"/>
        <w:spacing w:after="60" w:line="240" w:lineRule="auto"/>
        <w:jc w:val="center"/>
        <w:rPr>
          <w:rFonts w:ascii="Times New Roman" w:eastAsia="Times New Roman" w:hAnsi="Times New Roman" w:cs="Times New Roman"/>
        </w:rPr>
      </w:pPr>
      <w:r w:rsidRPr="00CB50C7">
        <w:rPr>
          <w:rFonts w:ascii="Times New Roman" w:eastAsia="Times New Roman" w:hAnsi="Times New Roman" w:cs="Times New Roman"/>
          <w:b/>
          <w:bCs/>
          <w:i/>
          <w:iCs/>
        </w:rPr>
        <w:t>Capital Resources</w:t>
      </w:r>
    </w:p>
    <w:p w14:paraId="123257C1"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 xml:space="preserve">Although </w:t>
      </w:r>
      <w:proofErr w:type="spellStart"/>
      <w:r w:rsidRPr="00CB50C7">
        <w:rPr>
          <w:rFonts w:ascii="Times New Roman" w:eastAsia="Times New Roman" w:hAnsi="Times New Roman" w:cs="Times New Roman"/>
        </w:rPr>
        <w:t>GeoVax’s</w:t>
      </w:r>
      <w:proofErr w:type="spellEnd"/>
      <w:r w:rsidRPr="00CB50C7">
        <w:rPr>
          <w:rFonts w:ascii="Times New Roman" w:eastAsia="Times New Roman" w:hAnsi="Times New Roman" w:cs="Times New Roman"/>
        </w:rPr>
        <w:t xml:space="preserve"> internal capital resources have been limited, the Company has continued to make progress in various areas through the support of collaborators and sponsors. </w:t>
      </w:r>
      <w:proofErr w:type="spellStart"/>
      <w:r w:rsidRPr="00CB50C7">
        <w:rPr>
          <w:rFonts w:ascii="Times New Roman" w:eastAsia="Times New Roman" w:hAnsi="Times New Roman" w:cs="Times New Roman"/>
        </w:rPr>
        <w:t>GeoVax’s</w:t>
      </w:r>
      <w:proofErr w:type="spellEnd"/>
      <w:r w:rsidRPr="00CB50C7">
        <w:rPr>
          <w:rFonts w:ascii="Times New Roman" w:eastAsia="Times New Roman" w:hAnsi="Times New Roman" w:cs="Times New Roman"/>
        </w:rPr>
        <w:t xml:space="preserve"> capital resources are also supplemented by the continued deferral of portions of management’s salaries and full deferral of fees to the Company’s Board of Directors.  In April 2020, GeoVax augmented its cash resources through a $170,200 loan under the Paycheck Protection Program provisions of the CARES Act. In June 2020, the Company secured an additional $1 million of funding through the issuance of convertible debentures and warrants to an institutional investor, for continued work on various projects.</w:t>
      </w:r>
    </w:p>
    <w:p w14:paraId="305D44EE" w14:textId="77777777" w:rsidR="00CB50C7" w:rsidRPr="00CB50C7" w:rsidRDefault="00CB50C7" w:rsidP="00CB50C7">
      <w:pPr>
        <w:widowControl w:val="0"/>
        <w:autoSpaceDE w:val="0"/>
        <w:autoSpaceDN w:val="0"/>
        <w:adjustRightInd w:val="0"/>
        <w:spacing w:after="60" w:line="240" w:lineRule="auto"/>
        <w:jc w:val="both"/>
        <w:rPr>
          <w:rFonts w:ascii="Times New Roman" w:eastAsia="Times New Roman" w:hAnsi="Times New Roman" w:cs="Times New Roman"/>
          <w:b/>
        </w:rPr>
      </w:pPr>
      <w:r w:rsidRPr="00CB50C7">
        <w:rPr>
          <w:rFonts w:ascii="Times New Roman" w:eastAsia="Times New Roman" w:hAnsi="Times New Roman" w:cs="Times New Roman"/>
          <w:b/>
        </w:rPr>
        <w:t>Financial Results for the Period Ending June 30, 2020</w:t>
      </w:r>
    </w:p>
    <w:p w14:paraId="052A32AF" w14:textId="77777777" w:rsidR="00CB50C7" w:rsidRPr="00CB50C7" w:rsidRDefault="00CB50C7" w:rsidP="00CB50C7">
      <w:pPr>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 xml:space="preserve">GeoVax reported a net loss of $455,204 ($0.03 per share) for the three months ended June 30, 2020, compared to a net loss of $654,148 ($1,994.35 per share) for the same period in 2019.  For the six months ended June 30, 2020, the Company’s net loss was $1,050,898 ($0.11 per share) as compared to a net loss of $1,355,602 ($4,706.95 per share) in 2019. </w:t>
      </w:r>
    </w:p>
    <w:p w14:paraId="3EE71D58" w14:textId="77777777" w:rsidR="00CB50C7" w:rsidRPr="00CB50C7" w:rsidRDefault="00CB50C7" w:rsidP="00CB50C7">
      <w:pPr>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 xml:space="preserve">The Company reported grant and collaboration revenues of $440,602 and $1,156,579 for the three-month and six-month periods of 2020, respectively, as compared to $209,941 and $574,173 reported for the comparable periods of 2019.  As of June 30, 2020, there were $650,051 of approved funds remaining and available for use related to </w:t>
      </w:r>
      <w:proofErr w:type="spellStart"/>
      <w:r w:rsidRPr="00CB50C7">
        <w:rPr>
          <w:rFonts w:ascii="Times New Roman" w:eastAsia="Times New Roman" w:hAnsi="Times New Roman" w:cs="Times New Roman"/>
        </w:rPr>
        <w:t>GeoVax’s</w:t>
      </w:r>
      <w:proofErr w:type="spellEnd"/>
      <w:r w:rsidRPr="00CB50C7">
        <w:rPr>
          <w:rFonts w:ascii="Times New Roman" w:eastAsia="Times New Roman" w:hAnsi="Times New Roman" w:cs="Times New Roman"/>
        </w:rPr>
        <w:t xml:space="preserve"> grant from the U.S. Department of Defense in support of its Lassa fever vaccine development program.</w:t>
      </w:r>
    </w:p>
    <w:p w14:paraId="435D9488" w14:textId="77777777" w:rsidR="00CB50C7" w:rsidRPr="00CB50C7" w:rsidRDefault="00CB50C7" w:rsidP="00CB50C7">
      <w:pPr>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lastRenderedPageBreak/>
        <w:t xml:space="preserve">Research and development expenses were $461,421 and $1,270,357 for the three-month and six-month periods of 2020, respectively, as compared to $451,227 and $1,006,945 for the comparable periods of 2019.   Fluctuations in R&amp;D expenses from period to period are primarily attributable to the timing of expenditures related to government grants.  General and administrative expenses were $427,292 and $929,637 for the three-month and six-month periods of 2020, respectively, as compared to $412,650 and $922,714 for the comparable periods of 2019.  </w:t>
      </w:r>
    </w:p>
    <w:p w14:paraId="7817FDE5"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 xml:space="preserve">GeoVax reported cash balances of $710,682 at June 30, 2020, as compared to $283,341 at December 31, 2019.  Contributing to the increase in cash balances were the sale of convertible preferred stock in January 2020 for gross proceeds of $300,000, the issuance of a note payable in April 2020 for gross proceeds of $170,200, and the sale of convertible debentures in June 2020 for gross proceeds of $1,050,000. </w:t>
      </w:r>
    </w:p>
    <w:p w14:paraId="4B7427E3" w14:textId="77777777" w:rsidR="00CB50C7" w:rsidRPr="00CB50C7" w:rsidRDefault="00CB50C7" w:rsidP="00CB50C7">
      <w:pPr>
        <w:widowControl w:val="0"/>
        <w:autoSpaceDE w:val="0"/>
        <w:autoSpaceDN w:val="0"/>
        <w:adjustRightInd w:val="0"/>
        <w:spacing w:after="120" w:line="240" w:lineRule="auto"/>
        <w:jc w:val="both"/>
        <w:rPr>
          <w:rFonts w:ascii="Times New Roman" w:eastAsia="Times New Roman" w:hAnsi="Times New Roman" w:cs="Times New Roman"/>
        </w:rPr>
      </w:pPr>
      <w:r w:rsidRPr="00CB50C7">
        <w:rPr>
          <w:rFonts w:ascii="Times New Roman" w:eastAsia="Times New Roman" w:hAnsi="Times New Roman" w:cs="Times New Roman"/>
        </w:rPr>
        <w:t>Summarized financial information is included below. Further information concerning the Company’s financial position and results of operations are included in its Quarterly Report on Form 10-Q filed with the Securities and Exchange Commission.</w:t>
      </w:r>
    </w:p>
    <w:p w14:paraId="422B064F" w14:textId="77777777" w:rsidR="00CB50C7" w:rsidRPr="00CB50C7" w:rsidRDefault="00CB50C7" w:rsidP="00CB50C7">
      <w:pPr>
        <w:widowControl w:val="0"/>
        <w:shd w:val="clear" w:color="auto" w:fill="FFFFFF"/>
        <w:autoSpaceDE w:val="0"/>
        <w:autoSpaceDN w:val="0"/>
        <w:adjustRightInd w:val="0"/>
        <w:spacing w:after="60" w:line="240" w:lineRule="auto"/>
        <w:jc w:val="both"/>
        <w:rPr>
          <w:rFonts w:ascii="Times New Roman" w:eastAsia="Times New Roman" w:hAnsi="Times New Roman" w:cs="Times New Roman"/>
          <w:b/>
          <w:bCs/>
        </w:rPr>
      </w:pPr>
      <w:r w:rsidRPr="00CB50C7">
        <w:rPr>
          <w:rFonts w:ascii="Times New Roman" w:eastAsia="Times New Roman" w:hAnsi="Times New Roman" w:cs="Times New Roman"/>
          <w:b/>
          <w:bCs/>
        </w:rPr>
        <w:t>About GeoVax</w:t>
      </w:r>
    </w:p>
    <w:p w14:paraId="079DCC2F" w14:textId="77777777" w:rsidR="00CB50C7" w:rsidRPr="00CB50C7" w:rsidRDefault="00CB50C7" w:rsidP="00CB50C7">
      <w:pPr>
        <w:widowControl w:val="0"/>
        <w:autoSpaceDE w:val="0"/>
        <w:autoSpaceDN w:val="0"/>
        <w:adjustRightInd w:val="0"/>
        <w:spacing w:after="60" w:line="240" w:lineRule="auto"/>
        <w:jc w:val="both"/>
        <w:rPr>
          <w:rFonts w:ascii="Times New Roman" w:eastAsia="SimSun" w:hAnsi="Times New Roman" w:cs="Times New Roman"/>
        </w:rPr>
      </w:pPr>
      <w:bookmarkStart w:id="0" w:name="_Hlk514326477"/>
      <w:r w:rsidRPr="00CB50C7">
        <w:rPr>
          <w:rFonts w:ascii="Times New Roman" w:eastAsia="SimSun" w:hAnsi="Times New Roman" w:cs="Times New Roman"/>
        </w:rPr>
        <w:t xml:space="preserve">GeoVax Labs, Inc. is a clinical-stage biotechnology company developing human vaccines against infectious diseases and cancer using a novel </w:t>
      </w:r>
      <w:r w:rsidRPr="00CB50C7">
        <w:rPr>
          <w:rFonts w:ascii="Times New Roman" w:eastAsia="SimSun" w:hAnsi="Times New Roman" w:cs="Times New Roman"/>
          <w:lang w:val="en-GB"/>
        </w:rPr>
        <w:t>proprietary</w:t>
      </w:r>
      <w:r w:rsidRPr="00CB50C7">
        <w:rPr>
          <w:rFonts w:ascii="Times New Roman" w:eastAsia="SimSun" w:hAnsi="Times New Roman" w:cs="Times New Roman"/>
        </w:rPr>
        <w:t xml:space="preserve"> vaccine platform (GV-MVA-VLP</w:t>
      </w:r>
      <w:r w:rsidRPr="00CB50C7">
        <w:rPr>
          <w:rFonts w:ascii="Times New Roman" w:eastAsia="SimSun" w:hAnsi="Times New Roman" w:cs="Times New Roman"/>
          <w:vertAlign w:val="superscript"/>
        </w:rPr>
        <w:t>TM</w:t>
      </w:r>
      <w:r w:rsidRPr="00CB50C7">
        <w:rPr>
          <w:rFonts w:ascii="Times New Roman" w:eastAsia="SimSun" w:hAnsi="Times New Roman" w:cs="Times New Roman"/>
        </w:rPr>
        <w:t>). On this platform, MVA, a large virus capable of carrying several vaccine antigens, expresses proteins that assemble into VLP immunogens within the person receiving the vaccine (</w:t>
      </w:r>
      <w:r w:rsidRPr="00CB50C7">
        <w:rPr>
          <w:rFonts w:ascii="Times New Roman" w:eastAsia="SimSun" w:hAnsi="Times New Roman" w:cs="Times New Roman"/>
          <w:i/>
        </w:rPr>
        <w:t>in vivo</w:t>
      </w:r>
      <w:r w:rsidRPr="00CB50C7">
        <w:rPr>
          <w:rFonts w:ascii="Times New Roman" w:eastAsia="SimSun" w:hAnsi="Times New Roman" w:cs="Times New Roman"/>
        </w:rPr>
        <w:t xml:space="preserve">). </w:t>
      </w:r>
      <w:r w:rsidRPr="00CB50C7">
        <w:rPr>
          <w:rFonts w:ascii="Times New Roman" w:eastAsia="SimSun" w:hAnsi="Times New Roman" w:cs="Times New Roman"/>
          <w:color w:val="000000"/>
        </w:rPr>
        <w:t xml:space="preserve">The production of VLPs in the person being vaccinated mimics virus production in a natural infection, stimulating both the humoral and cellular arms of the immune system to recognize, prevent, and control the target infection. </w:t>
      </w:r>
      <w:r w:rsidRPr="00CB50C7">
        <w:rPr>
          <w:rFonts w:ascii="Times New Roman" w:eastAsia="SimSun" w:hAnsi="Times New Roman" w:cs="Times New Roman"/>
        </w:rPr>
        <w:t>The GV-MVA-VLP</w:t>
      </w:r>
      <w:r w:rsidRPr="00CB50C7">
        <w:rPr>
          <w:rFonts w:ascii="Times New Roman" w:eastAsia="SimSun" w:hAnsi="Times New Roman" w:cs="Times New Roman"/>
          <w:vertAlign w:val="superscript"/>
        </w:rPr>
        <w:t>TM</w:t>
      </w:r>
      <w:r w:rsidRPr="00CB50C7">
        <w:rPr>
          <w:rFonts w:ascii="Times New Roman" w:eastAsia="SimSun" w:hAnsi="Times New Roman" w:cs="Times New Roman"/>
        </w:rPr>
        <w:t xml:space="preserve"> derived vaccines can elicit durable immune responses in the host similar to a live-attenuated virus, while typically providing the safety characteristics of a replication-defective vector.</w:t>
      </w:r>
    </w:p>
    <w:p w14:paraId="4BAEE57D" w14:textId="77777777" w:rsidR="00CB50C7" w:rsidRPr="00CB50C7" w:rsidRDefault="00CB50C7" w:rsidP="00CB50C7">
      <w:pPr>
        <w:spacing w:after="120" w:line="240" w:lineRule="auto"/>
        <w:jc w:val="both"/>
        <w:rPr>
          <w:rFonts w:ascii="Times New Roman" w:eastAsia="Calibri" w:hAnsi="Times New Roman" w:cs="Times New Roman"/>
          <w:lang w:val="en-GB"/>
        </w:rPr>
      </w:pPr>
      <w:proofErr w:type="spellStart"/>
      <w:r w:rsidRPr="00CB50C7">
        <w:rPr>
          <w:rFonts w:ascii="Times New Roman" w:eastAsia="Calibri" w:hAnsi="Times New Roman" w:cs="Times New Roman"/>
        </w:rPr>
        <w:t>GeoVax’s</w:t>
      </w:r>
      <w:proofErr w:type="spellEnd"/>
      <w:r w:rsidRPr="00CB50C7">
        <w:rPr>
          <w:rFonts w:ascii="Times New Roman" w:eastAsia="Calibri" w:hAnsi="Times New Roman" w:cs="Times New Roman"/>
        </w:rPr>
        <w:t xml:space="preserve"> current development programs are focused on preventive vaccines against </w:t>
      </w:r>
      <w:r w:rsidRPr="00CB50C7">
        <w:rPr>
          <w:rFonts w:ascii="Times New Roman" w:eastAsia="Times New Roman" w:hAnsi="Times New Roman" w:cs="Times New Roman"/>
          <w:bCs/>
        </w:rPr>
        <w:t xml:space="preserve">COVID-19, </w:t>
      </w:r>
      <w:r w:rsidRPr="00CB50C7">
        <w:rPr>
          <w:rFonts w:ascii="Times New Roman" w:eastAsia="Calibri" w:hAnsi="Times New Roman" w:cs="Times New Roman"/>
        </w:rPr>
        <w:t xml:space="preserve">HIV, Zika, hemorrhagic fever viruses (Ebola, Sudan, Marburg, and Lassa), and malaria, as well as therapeutic vaccines against chronic Hepatitis B infections and multiple cancers. The Company has developed a preventive HIV vaccine candidate (GOVX-B11) for the clade B subtype of HIV prevalent in the Americas, Western Europe, Japan, and Australia, as well as a vaccine candidate for the clade C subtype prevalent in Africa and India. GOVX-B11 is scheduled for inclusion in an upcoming human clinical trial managed by the HVTN with the support of the National Institutes of Health (NIH). </w:t>
      </w:r>
      <w:proofErr w:type="spellStart"/>
      <w:r w:rsidRPr="00CB50C7">
        <w:rPr>
          <w:rFonts w:ascii="Times New Roman" w:eastAsia="Calibri" w:hAnsi="Times New Roman" w:cs="Times New Roman"/>
        </w:rPr>
        <w:t>GeoVax’s</w:t>
      </w:r>
      <w:proofErr w:type="spellEnd"/>
      <w:r w:rsidRPr="00CB50C7">
        <w:rPr>
          <w:rFonts w:ascii="Times New Roman" w:eastAsia="Calibri" w:hAnsi="Times New Roman" w:cs="Times New Roman"/>
        </w:rPr>
        <w:t xml:space="preserve"> clade B HIV vaccine is also part of collaborative efforts to develop an immunotherapy as a functional cure for HIV. </w:t>
      </w:r>
    </w:p>
    <w:p w14:paraId="0FA6D204" w14:textId="77777777" w:rsidR="00CB50C7" w:rsidRPr="00CB50C7" w:rsidRDefault="00CB50C7" w:rsidP="00CB50C7">
      <w:pPr>
        <w:widowControl w:val="0"/>
        <w:autoSpaceDE w:val="0"/>
        <w:autoSpaceDN w:val="0"/>
        <w:adjustRightInd w:val="0"/>
        <w:spacing w:line="240" w:lineRule="auto"/>
        <w:jc w:val="both"/>
        <w:outlineLvl w:val="0"/>
        <w:rPr>
          <w:rFonts w:ascii="Times New Roman" w:eastAsia="SimSun" w:hAnsi="Times New Roman" w:cs="Times New Roman"/>
          <w:b/>
          <w:i/>
          <w:sz w:val="20"/>
          <w:szCs w:val="20"/>
        </w:rPr>
      </w:pPr>
      <w:r w:rsidRPr="00CB50C7">
        <w:rPr>
          <w:rFonts w:ascii="Times New Roman" w:eastAsia="SimSun" w:hAnsi="Times New Roman" w:cs="Times New Roman"/>
          <w:b/>
          <w:i/>
          <w:sz w:val="20"/>
          <w:szCs w:val="20"/>
        </w:rPr>
        <w:t>Forward-Looking Statements</w:t>
      </w:r>
    </w:p>
    <w:p w14:paraId="0DD3A29F" w14:textId="77777777" w:rsidR="00CB50C7" w:rsidRPr="00CB50C7" w:rsidRDefault="00CB50C7" w:rsidP="00CB50C7">
      <w:pPr>
        <w:widowControl w:val="0"/>
        <w:shd w:val="clear" w:color="auto" w:fill="FFFFFF"/>
        <w:autoSpaceDE w:val="0"/>
        <w:autoSpaceDN w:val="0"/>
        <w:adjustRightInd w:val="0"/>
        <w:spacing w:after="120" w:line="240" w:lineRule="auto"/>
        <w:jc w:val="both"/>
        <w:rPr>
          <w:rFonts w:ascii="Times New Roman" w:eastAsia="SimSun" w:hAnsi="Times New Roman" w:cs="Times New Roman"/>
          <w:i/>
          <w:iCs/>
          <w:color w:val="000000"/>
          <w:sz w:val="20"/>
          <w:szCs w:val="20"/>
        </w:rPr>
      </w:pPr>
      <w:r w:rsidRPr="00CB50C7">
        <w:rPr>
          <w:rFonts w:ascii="Times New Roman" w:eastAsia="SimSun" w:hAnsi="Times New Roman" w:cs="Times New Roman"/>
          <w:i/>
          <w:sz w:val="20"/>
          <w:szCs w:val="20"/>
        </w:rPr>
        <w:t xml:space="preserve">Certain statements in this document are "forward-looking statements" within the meaning of the Private Securities Litigation Reform Act. These statements are based on management's current expectations and are subject to uncertainty and changes in circumstances. Actual results may differ materially from those included in these statements due to a variety of factors, including whether: GeoVax can develop and manufacture its vaccines with the desired characteristics in a timely manner, </w:t>
      </w:r>
      <w:proofErr w:type="spellStart"/>
      <w:r w:rsidRPr="00CB50C7">
        <w:rPr>
          <w:rFonts w:ascii="Times New Roman" w:eastAsia="SimSun" w:hAnsi="Times New Roman" w:cs="Times New Roman"/>
          <w:i/>
          <w:sz w:val="20"/>
          <w:szCs w:val="20"/>
        </w:rPr>
        <w:t>GeoVax's</w:t>
      </w:r>
      <w:proofErr w:type="spellEnd"/>
      <w:r w:rsidRPr="00CB50C7">
        <w:rPr>
          <w:rFonts w:ascii="Times New Roman" w:eastAsia="SimSun" w:hAnsi="Times New Roman" w:cs="Times New Roman"/>
          <w:i/>
          <w:sz w:val="20"/>
          <w:szCs w:val="20"/>
        </w:rPr>
        <w:t xml:space="preserve"> vaccines will be safe for human use, </w:t>
      </w:r>
      <w:proofErr w:type="spellStart"/>
      <w:r w:rsidRPr="00CB50C7">
        <w:rPr>
          <w:rFonts w:ascii="Times New Roman" w:eastAsia="SimSun" w:hAnsi="Times New Roman" w:cs="Times New Roman"/>
          <w:i/>
          <w:sz w:val="20"/>
          <w:szCs w:val="20"/>
        </w:rPr>
        <w:t>GeoVax's</w:t>
      </w:r>
      <w:proofErr w:type="spellEnd"/>
      <w:r w:rsidRPr="00CB50C7">
        <w:rPr>
          <w:rFonts w:ascii="Times New Roman" w:eastAsia="SimSun" w:hAnsi="Times New Roman" w:cs="Times New Roman"/>
          <w:i/>
          <w:sz w:val="20"/>
          <w:szCs w:val="20"/>
        </w:rPr>
        <w:t xml:space="preserve"> vaccines will effectively prevent targeted infections in humans, </w:t>
      </w:r>
      <w:proofErr w:type="spellStart"/>
      <w:r w:rsidRPr="00CB50C7">
        <w:rPr>
          <w:rFonts w:ascii="Times New Roman" w:eastAsia="SimSun" w:hAnsi="Times New Roman" w:cs="Times New Roman"/>
          <w:i/>
          <w:sz w:val="20"/>
          <w:szCs w:val="20"/>
        </w:rPr>
        <w:t>GeoVax’s</w:t>
      </w:r>
      <w:proofErr w:type="spellEnd"/>
      <w:r w:rsidRPr="00CB50C7">
        <w:rPr>
          <w:rFonts w:ascii="Times New Roman" w:eastAsia="SimSun" w:hAnsi="Times New Roman" w:cs="Times New Roman"/>
          <w:i/>
          <w:sz w:val="20"/>
          <w:szCs w:val="20"/>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CB50C7">
        <w:rPr>
          <w:rFonts w:ascii="Times New Roman" w:eastAsia="SimSun" w:hAnsi="Times New Roman" w:cs="Times New Roman"/>
          <w:i/>
          <w:sz w:val="20"/>
          <w:szCs w:val="20"/>
        </w:rPr>
        <w:t>GeoVax's</w:t>
      </w:r>
      <w:proofErr w:type="spellEnd"/>
      <w:r w:rsidRPr="00CB50C7">
        <w:rPr>
          <w:rFonts w:ascii="Times New Roman" w:eastAsia="SimSun" w:hAnsi="Times New Roman" w:cs="Times New Roman"/>
          <w:i/>
          <w:sz w:val="20"/>
          <w:szCs w:val="20"/>
        </w:rPr>
        <w:t xml:space="preserve"> products, GeoVax will be able to enter into favorable manufacturing and distribution agreements, and other factors, over which GeoVax has no control. GeoVax assumes no obligation to update these forward-looking statements and does not intend to do so. More information about these factors is contained in </w:t>
      </w:r>
      <w:proofErr w:type="spellStart"/>
      <w:r w:rsidRPr="00CB50C7">
        <w:rPr>
          <w:rFonts w:ascii="Times New Roman" w:eastAsia="SimSun" w:hAnsi="Times New Roman" w:cs="Times New Roman"/>
          <w:i/>
          <w:sz w:val="20"/>
          <w:szCs w:val="20"/>
        </w:rPr>
        <w:t>GeoVax's</w:t>
      </w:r>
      <w:proofErr w:type="spellEnd"/>
      <w:r w:rsidRPr="00CB50C7">
        <w:rPr>
          <w:rFonts w:ascii="Times New Roman" w:eastAsia="SimSun" w:hAnsi="Times New Roman" w:cs="Times New Roman"/>
          <w:i/>
          <w:sz w:val="20"/>
          <w:szCs w:val="20"/>
        </w:rPr>
        <w:t xml:space="preserve"> filings with the Securities and Exchange Commission including those set forth at "Risk Factors" in </w:t>
      </w:r>
      <w:proofErr w:type="spellStart"/>
      <w:r w:rsidRPr="00CB50C7">
        <w:rPr>
          <w:rFonts w:ascii="Times New Roman" w:eastAsia="SimSun" w:hAnsi="Times New Roman" w:cs="Times New Roman"/>
          <w:i/>
          <w:sz w:val="20"/>
          <w:szCs w:val="20"/>
        </w:rPr>
        <w:t>GeoVax's</w:t>
      </w:r>
      <w:proofErr w:type="spellEnd"/>
      <w:r w:rsidRPr="00CB50C7">
        <w:rPr>
          <w:rFonts w:ascii="Times New Roman" w:eastAsia="SimSun" w:hAnsi="Times New Roman" w:cs="Times New Roman"/>
          <w:i/>
          <w:sz w:val="20"/>
          <w:szCs w:val="20"/>
        </w:rPr>
        <w:t xml:space="preserve"> Form 10-K</w:t>
      </w:r>
      <w:r w:rsidRPr="00CB50C7">
        <w:rPr>
          <w:rFonts w:ascii="Times New Roman" w:eastAsia="SimSun" w:hAnsi="Times New Roman" w:cs="Times New Roman"/>
          <w:i/>
          <w:iCs/>
          <w:color w:val="000000"/>
          <w:sz w:val="20"/>
          <w:szCs w:val="20"/>
        </w:rPr>
        <w:t>.</w:t>
      </w:r>
    </w:p>
    <w:bookmarkEnd w:id="0"/>
    <w:p w14:paraId="0B1265F6" w14:textId="77777777" w:rsidR="00CB50C7" w:rsidRPr="00CB50C7" w:rsidRDefault="00CB50C7" w:rsidP="00CB50C7">
      <w:pPr>
        <w:widowControl w:val="0"/>
        <w:autoSpaceDE w:val="0"/>
        <w:autoSpaceDN w:val="0"/>
        <w:adjustRightInd w:val="0"/>
        <w:spacing w:line="240" w:lineRule="auto"/>
        <w:jc w:val="both"/>
        <w:rPr>
          <w:rFonts w:ascii="Times New Roman" w:eastAsia="SimSun" w:hAnsi="Times New Roman" w:cs="Times New Roman"/>
          <w:b/>
          <w:color w:val="000000"/>
          <w:sz w:val="20"/>
          <w:szCs w:val="20"/>
        </w:rPr>
      </w:pPr>
      <w:r w:rsidRPr="00CB50C7">
        <w:rPr>
          <w:rFonts w:ascii="Times New Roman" w:eastAsia="SimSun" w:hAnsi="Times New Roman" w:cs="Times New Roman"/>
          <w:b/>
          <w:color w:val="000000"/>
          <w:sz w:val="20"/>
          <w:szCs w:val="20"/>
        </w:rPr>
        <w:t xml:space="preserve">Contact: </w:t>
      </w:r>
    </w:p>
    <w:p w14:paraId="5BDE4AAF" w14:textId="77777777" w:rsidR="00CB50C7" w:rsidRPr="00CB50C7" w:rsidRDefault="00CB50C7" w:rsidP="00CB50C7">
      <w:pPr>
        <w:widowControl w:val="0"/>
        <w:autoSpaceDE w:val="0"/>
        <w:autoSpaceDN w:val="0"/>
        <w:adjustRightInd w:val="0"/>
        <w:spacing w:line="240" w:lineRule="auto"/>
        <w:jc w:val="both"/>
        <w:rPr>
          <w:rFonts w:ascii="Times New Roman" w:eastAsia="SimSun" w:hAnsi="Times New Roman" w:cs="Times New Roman"/>
          <w:color w:val="000000"/>
          <w:sz w:val="20"/>
          <w:szCs w:val="20"/>
        </w:rPr>
      </w:pPr>
      <w:r w:rsidRPr="00CB50C7">
        <w:rPr>
          <w:rFonts w:ascii="Times New Roman" w:eastAsia="SimSun" w:hAnsi="Times New Roman" w:cs="Times New Roman"/>
          <w:color w:val="000000"/>
          <w:sz w:val="20"/>
          <w:szCs w:val="20"/>
        </w:rPr>
        <w:t>GeoVax Labs, Inc.</w:t>
      </w:r>
    </w:p>
    <w:p w14:paraId="79E3FDE0" w14:textId="77777777" w:rsidR="00CB50C7" w:rsidRPr="00CB50C7" w:rsidRDefault="00CB50C7" w:rsidP="00CB50C7">
      <w:pPr>
        <w:widowControl w:val="0"/>
        <w:autoSpaceDE w:val="0"/>
        <w:autoSpaceDN w:val="0"/>
        <w:adjustRightInd w:val="0"/>
        <w:spacing w:line="240" w:lineRule="auto"/>
        <w:jc w:val="both"/>
        <w:rPr>
          <w:rFonts w:ascii="Times New Roman" w:eastAsia="SimSun" w:hAnsi="Times New Roman" w:cs="Times New Roman"/>
          <w:color w:val="000000"/>
          <w:sz w:val="20"/>
          <w:szCs w:val="20"/>
        </w:rPr>
      </w:pPr>
      <w:r w:rsidRPr="00CB50C7">
        <w:rPr>
          <w:rFonts w:ascii="Times New Roman" w:eastAsia="SimSun" w:hAnsi="Times New Roman" w:cs="Times New Roman"/>
          <w:color w:val="000000"/>
          <w:sz w:val="20"/>
          <w:szCs w:val="20"/>
        </w:rPr>
        <w:t>investor@geovax.com</w:t>
      </w:r>
    </w:p>
    <w:p w14:paraId="3A8F8691" w14:textId="77777777" w:rsidR="00CB50C7" w:rsidRPr="00CB50C7" w:rsidRDefault="00CB50C7" w:rsidP="00CB50C7">
      <w:pPr>
        <w:widowControl w:val="0"/>
        <w:autoSpaceDE w:val="0"/>
        <w:autoSpaceDN w:val="0"/>
        <w:adjustRightInd w:val="0"/>
        <w:spacing w:line="240" w:lineRule="auto"/>
        <w:jc w:val="both"/>
        <w:rPr>
          <w:rFonts w:ascii="Times New Roman" w:eastAsia="SimSun" w:hAnsi="Times New Roman" w:cs="Times New Roman"/>
          <w:color w:val="000000"/>
          <w:sz w:val="20"/>
          <w:szCs w:val="20"/>
        </w:rPr>
      </w:pPr>
      <w:r w:rsidRPr="00CB50C7">
        <w:rPr>
          <w:rFonts w:ascii="Times New Roman" w:eastAsia="SimSun" w:hAnsi="Times New Roman" w:cs="Times New Roman"/>
          <w:color w:val="000000"/>
          <w:sz w:val="20"/>
          <w:szCs w:val="20"/>
        </w:rPr>
        <w:t>678-384-7220</w:t>
      </w:r>
    </w:p>
    <w:p w14:paraId="2F2A3CD2" w14:textId="77777777" w:rsidR="00CB50C7" w:rsidRPr="00CB50C7" w:rsidRDefault="00CB50C7" w:rsidP="00CB50C7">
      <w:pPr>
        <w:widowControl w:val="0"/>
        <w:autoSpaceDE w:val="0"/>
        <w:autoSpaceDN w:val="0"/>
        <w:adjustRightInd w:val="0"/>
        <w:spacing w:line="240" w:lineRule="auto"/>
        <w:jc w:val="both"/>
        <w:rPr>
          <w:rFonts w:ascii="Times New Roman" w:eastAsia="Times New Roman" w:hAnsi="Times New Roman" w:cs="Times New Roman"/>
          <w:sz w:val="20"/>
          <w:szCs w:val="20"/>
        </w:rPr>
      </w:pPr>
    </w:p>
    <w:p w14:paraId="026C1D75"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rPr>
      </w:pPr>
      <w:r w:rsidRPr="00CB50C7">
        <w:rPr>
          <w:rFonts w:ascii="Times New Roman" w:eastAsia="Times New Roman" w:hAnsi="Times New Roman" w:cs="Times New Roman"/>
          <w:b/>
        </w:rPr>
        <w:t>FINANCIAL TABLES FOLLOW</w:t>
      </w:r>
    </w:p>
    <w:p w14:paraId="08B2CAD4"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rPr>
        <w:sectPr w:rsidR="00CB50C7" w:rsidRPr="00CB50C7" w:rsidSect="00CB50C7">
          <w:footerReference w:type="default" r:id="rId8"/>
          <w:headerReference w:type="first" r:id="rId9"/>
          <w:footerReference w:type="first" r:id="rId10"/>
          <w:pgSz w:w="12240" w:h="15840" w:code="1"/>
          <w:pgMar w:top="1440" w:right="1296" w:bottom="1008" w:left="1296" w:header="547" w:footer="576" w:gutter="0"/>
          <w:pgNumType w:start="0"/>
          <w:cols w:space="720"/>
          <w:titlePg/>
          <w:docGrid w:linePitch="272"/>
        </w:sect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30"/>
        <w:gridCol w:w="448"/>
        <w:gridCol w:w="1208"/>
        <w:gridCol w:w="1208"/>
        <w:gridCol w:w="1208"/>
        <w:gridCol w:w="1208"/>
      </w:tblGrid>
      <w:tr w:rsidR="00CB50C7" w:rsidRPr="00CB50C7" w14:paraId="1D57DF6A" w14:textId="77777777" w:rsidTr="00C97280">
        <w:trPr>
          <w:cantSplit/>
          <w:trHeight w:val="293"/>
        </w:trPr>
        <w:tc>
          <w:tcPr>
            <w:tcW w:w="9930" w:type="dxa"/>
            <w:gridSpan w:val="9"/>
          </w:tcPr>
          <w:p w14:paraId="4E1BD8C5"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snapToGrid w:val="0"/>
              </w:rPr>
            </w:pPr>
            <w:r w:rsidRPr="00CB50C7">
              <w:rPr>
                <w:rFonts w:ascii="Times New Roman" w:eastAsia="Times New Roman" w:hAnsi="Times New Roman" w:cs="Times New Roman"/>
                <w:b/>
                <w:bCs/>
                <w:snapToGrid w:val="0"/>
              </w:rPr>
              <w:lastRenderedPageBreak/>
              <w:t>GEOVAX LABS, INC.</w:t>
            </w:r>
          </w:p>
        </w:tc>
      </w:tr>
      <w:tr w:rsidR="00CB50C7" w:rsidRPr="00CB50C7" w14:paraId="0210D6A6" w14:textId="77777777" w:rsidTr="00C97280">
        <w:trPr>
          <w:cantSplit/>
          <w:trHeight w:val="293"/>
        </w:trPr>
        <w:tc>
          <w:tcPr>
            <w:tcW w:w="9930" w:type="dxa"/>
            <w:gridSpan w:val="9"/>
          </w:tcPr>
          <w:p w14:paraId="4F22B89A"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snapToGrid w:val="0"/>
              </w:rPr>
            </w:pPr>
            <w:r w:rsidRPr="00CB50C7">
              <w:rPr>
                <w:rFonts w:ascii="Times New Roman" w:eastAsia="Times New Roman" w:hAnsi="Times New Roman" w:cs="Times New Roman"/>
                <w:b/>
                <w:bCs/>
                <w:snapToGrid w:val="0"/>
              </w:rPr>
              <w:t>Condensed Consolidated Statements of Operations Information</w:t>
            </w:r>
          </w:p>
        </w:tc>
      </w:tr>
      <w:tr w:rsidR="00CB50C7" w:rsidRPr="00CB50C7" w14:paraId="5C09691D" w14:textId="77777777" w:rsidTr="00C97280">
        <w:trPr>
          <w:cantSplit/>
          <w:trHeight w:val="293"/>
        </w:trPr>
        <w:tc>
          <w:tcPr>
            <w:tcW w:w="9930" w:type="dxa"/>
            <w:gridSpan w:val="9"/>
          </w:tcPr>
          <w:p w14:paraId="5B074497"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bCs/>
                <w:i/>
                <w:snapToGrid w:val="0"/>
              </w:rPr>
            </w:pPr>
            <w:r w:rsidRPr="00CB50C7">
              <w:rPr>
                <w:rFonts w:ascii="Times New Roman" w:eastAsia="Times New Roman" w:hAnsi="Times New Roman" w:cs="Times New Roman"/>
                <w:bCs/>
                <w:i/>
                <w:snapToGrid w:val="0"/>
              </w:rPr>
              <w:t>(amounts in thousands, except share and per share data)</w:t>
            </w:r>
          </w:p>
          <w:p w14:paraId="40DF4E18"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bCs/>
                <w:i/>
                <w:snapToGrid w:val="0"/>
              </w:rPr>
            </w:pPr>
          </w:p>
          <w:p w14:paraId="51C3B527"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i/>
                <w:snapToGrid w:val="0"/>
              </w:rPr>
            </w:pPr>
          </w:p>
        </w:tc>
      </w:tr>
      <w:tr w:rsidR="00CB50C7" w:rsidRPr="00CB50C7" w14:paraId="76BFE816" w14:textId="77777777" w:rsidTr="00C97280">
        <w:trPr>
          <w:trHeight w:val="276"/>
        </w:trPr>
        <w:tc>
          <w:tcPr>
            <w:tcW w:w="237" w:type="dxa"/>
          </w:tcPr>
          <w:p w14:paraId="70127678"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462" w:type="dxa"/>
          </w:tcPr>
          <w:p w14:paraId="0F57B9E1"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921" w:type="dxa"/>
          </w:tcPr>
          <w:p w14:paraId="3382AFF3"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78" w:type="dxa"/>
            <w:gridSpan w:val="2"/>
          </w:tcPr>
          <w:p w14:paraId="37A4D47F"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416" w:type="dxa"/>
            <w:gridSpan w:val="2"/>
          </w:tcPr>
          <w:p w14:paraId="4978D019" w14:textId="77777777" w:rsidR="00CB50C7" w:rsidRPr="00CB50C7" w:rsidRDefault="00CB50C7" w:rsidP="00CB50C7">
            <w:pPr>
              <w:widowControl w:val="0"/>
              <w:autoSpaceDE w:val="0"/>
              <w:autoSpaceDN w:val="0"/>
              <w:adjustRightInd w:val="0"/>
              <w:ind w:right="-210"/>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Three Months Ended</w:t>
            </w:r>
          </w:p>
        </w:tc>
        <w:tc>
          <w:tcPr>
            <w:tcW w:w="2416" w:type="dxa"/>
            <w:gridSpan w:val="2"/>
          </w:tcPr>
          <w:p w14:paraId="3AD41F42"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Six Months Ended</w:t>
            </w:r>
          </w:p>
        </w:tc>
      </w:tr>
      <w:tr w:rsidR="00CB50C7" w:rsidRPr="00CB50C7" w14:paraId="773BD4EC" w14:textId="77777777" w:rsidTr="00C97280">
        <w:trPr>
          <w:trHeight w:val="276"/>
        </w:trPr>
        <w:tc>
          <w:tcPr>
            <w:tcW w:w="237" w:type="dxa"/>
          </w:tcPr>
          <w:p w14:paraId="3B378E47"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462" w:type="dxa"/>
          </w:tcPr>
          <w:p w14:paraId="5D59FE0D"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921" w:type="dxa"/>
          </w:tcPr>
          <w:p w14:paraId="607424C5"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78" w:type="dxa"/>
            <w:gridSpan w:val="2"/>
          </w:tcPr>
          <w:p w14:paraId="62B3708E"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416" w:type="dxa"/>
            <w:gridSpan w:val="2"/>
            <w:tcBorders>
              <w:bottom w:val="single" w:sz="4" w:space="0" w:color="auto"/>
            </w:tcBorders>
          </w:tcPr>
          <w:p w14:paraId="18F1F35F"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June 30,</w:t>
            </w:r>
          </w:p>
        </w:tc>
        <w:tc>
          <w:tcPr>
            <w:tcW w:w="2416" w:type="dxa"/>
            <w:gridSpan w:val="2"/>
            <w:tcBorders>
              <w:bottom w:val="single" w:sz="6" w:space="0" w:color="auto"/>
            </w:tcBorders>
          </w:tcPr>
          <w:p w14:paraId="151239B0"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 xml:space="preserve">June 30, </w:t>
            </w:r>
          </w:p>
        </w:tc>
      </w:tr>
      <w:tr w:rsidR="00CB50C7" w:rsidRPr="00CB50C7" w14:paraId="2166D128" w14:textId="77777777" w:rsidTr="00C97280">
        <w:trPr>
          <w:trHeight w:val="276"/>
        </w:trPr>
        <w:tc>
          <w:tcPr>
            <w:tcW w:w="237" w:type="dxa"/>
          </w:tcPr>
          <w:p w14:paraId="4D646695"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462" w:type="dxa"/>
          </w:tcPr>
          <w:p w14:paraId="1FC03DEB"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921" w:type="dxa"/>
          </w:tcPr>
          <w:p w14:paraId="2D142768"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78" w:type="dxa"/>
            <w:gridSpan w:val="2"/>
          </w:tcPr>
          <w:p w14:paraId="79387BBF"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Borders>
              <w:top w:val="single" w:sz="4" w:space="0" w:color="auto"/>
              <w:bottom w:val="single" w:sz="4" w:space="0" w:color="auto"/>
            </w:tcBorders>
          </w:tcPr>
          <w:p w14:paraId="06F04CB8"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2020</w:t>
            </w:r>
          </w:p>
        </w:tc>
        <w:tc>
          <w:tcPr>
            <w:tcW w:w="1208" w:type="dxa"/>
            <w:tcBorders>
              <w:top w:val="single" w:sz="4" w:space="0" w:color="auto"/>
              <w:bottom w:val="single" w:sz="4" w:space="0" w:color="auto"/>
            </w:tcBorders>
          </w:tcPr>
          <w:p w14:paraId="4BBBEBE9"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2019</w:t>
            </w:r>
          </w:p>
        </w:tc>
        <w:tc>
          <w:tcPr>
            <w:tcW w:w="1208" w:type="dxa"/>
            <w:tcBorders>
              <w:bottom w:val="single" w:sz="4" w:space="0" w:color="auto"/>
            </w:tcBorders>
          </w:tcPr>
          <w:p w14:paraId="035624E9"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2020</w:t>
            </w:r>
          </w:p>
        </w:tc>
        <w:tc>
          <w:tcPr>
            <w:tcW w:w="1208" w:type="dxa"/>
            <w:tcBorders>
              <w:bottom w:val="single" w:sz="4" w:space="0" w:color="auto"/>
            </w:tcBorders>
          </w:tcPr>
          <w:p w14:paraId="1AD2BB44"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2019</w:t>
            </w:r>
          </w:p>
        </w:tc>
      </w:tr>
      <w:tr w:rsidR="00CB50C7" w:rsidRPr="00CB50C7" w14:paraId="557F6447" w14:textId="77777777" w:rsidTr="00C97280">
        <w:trPr>
          <w:trHeight w:val="276"/>
        </w:trPr>
        <w:tc>
          <w:tcPr>
            <w:tcW w:w="4620" w:type="dxa"/>
            <w:gridSpan w:val="3"/>
          </w:tcPr>
          <w:p w14:paraId="0072C0E1"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Grant and collaboration revenue</w:t>
            </w:r>
          </w:p>
        </w:tc>
        <w:tc>
          <w:tcPr>
            <w:tcW w:w="478" w:type="dxa"/>
            <w:gridSpan w:val="2"/>
          </w:tcPr>
          <w:p w14:paraId="4D5E26F1"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Pr>
          <w:p w14:paraId="3008D607" w14:textId="77777777" w:rsidR="00CB50C7" w:rsidRPr="00CB50C7" w:rsidRDefault="00CB50C7" w:rsidP="00CB50C7">
            <w:pPr>
              <w:widowControl w:val="0"/>
              <w:tabs>
                <w:tab w:val="left" w:pos="150"/>
                <w:tab w:val="decimal" w:pos="9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441</w:t>
            </w:r>
          </w:p>
        </w:tc>
        <w:tc>
          <w:tcPr>
            <w:tcW w:w="1208" w:type="dxa"/>
          </w:tcPr>
          <w:p w14:paraId="5E078DC1" w14:textId="77777777" w:rsidR="00CB50C7" w:rsidRPr="00CB50C7" w:rsidRDefault="00CB50C7" w:rsidP="00CB50C7">
            <w:pPr>
              <w:widowControl w:val="0"/>
              <w:tabs>
                <w:tab w:val="left" w:pos="190"/>
                <w:tab w:val="decimal" w:pos="91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210</w:t>
            </w:r>
          </w:p>
        </w:tc>
        <w:tc>
          <w:tcPr>
            <w:tcW w:w="1208" w:type="dxa"/>
          </w:tcPr>
          <w:p w14:paraId="62D5FC54" w14:textId="77777777" w:rsidR="00CB50C7" w:rsidRPr="00CB50C7" w:rsidRDefault="00CB50C7" w:rsidP="00CB50C7">
            <w:pPr>
              <w:widowControl w:val="0"/>
              <w:tabs>
                <w:tab w:val="left" w:pos="140"/>
                <w:tab w:val="decimal" w:pos="8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1,157</w:t>
            </w:r>
          </w:p>
        </w:tc>
        <w:tc>
          <w:tcPr>
            <w:tcW w:w="1208" w:type="dxa"/>
          </w:tcPr>
          <w:p w14:paraId="463E0CD7" w14:textId="77777777" w:rsidR="00CB50C7" w:rsidRPr="00CB50C7" w:rsidRDefault="00CB50C7" w:rsidP="00CB50C7">
            <w:pPr>
              <w:widowControl w:val="0"/>
              <w:tabs>
                <w:tab w:val="left" w:pos="97"/>
                <w:tab w:val="decimal" w:pos="907"/>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574</w:t>
            </w:r>
          </w:p>
        </w:tc>
      </w:tr>
      <w:tr w:rsidR="00CB50C7" w:rsidRPr="00CB50C7" w14:paraId="15C58A63" w14:textId="77777777" w:rsidTr="00C97280">
        <w:trPr>
          <w:trHeight w:val="276"/>
        </w:trPr>
        <w:tc>
          <w:tcPr>
            <w:tcW w:w="237" w:type="dxa"/>
          </w:tcPr>
          <w:p w14:paraId="1336DF46"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462" w:type="dxa"/>
          </w:tcPr>
          <w:p w14:paraId="3B202DFD"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921" w:type="dxa"/>
          </w:tcPr>
          <w:p w14:paraId="5C91072B"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78" w:type="dxa"/>
            <w:gridSpan w:val="2"/>
          </w:tcPr>
          <w:p w14:paraId="42CCE8AB"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Pr>
          <w:p w14:paraId="4A06BF1D" w14:textId="77777777" w:rsidR="00CB50C7" w:rsidRPr="00CB50C7" w:rsidRDefault="00CB50C7" w:rsidP="00CB50C7">
            <w:pPr>
              <w:widowControl w:val="0"/>
              <w:tabs>
                <w:tab w:val="decimal" w:pos="960"/>
              </w:tabs>
              <w:autoSpaceDE w:val="0"/>
              <w:autoSpaceDN w:val="0"/>
              <w:adjustRightInd w:val="0"/>
              <w:rPr>
                <w:rFonts w:ascii="Times New Roman" w:eastAsia="Times New Roman" w:hAnsi="Times New Roman" w:cs="Times New Roman"/>
                <w:snapToGrid w:val="0"/>
              </w:rPr>
            </w:pPr>
          </w:p>
        </w:tc>
        <w:tc>
          <w:tcPr>
            <w:tcW w:w="1208" w:type="dxa"/>
          </w:tcPr>
          <w:p w14:paraId="7FDE90F3" w14:textId="77777777" w:rsidR="00CB50C7" w:rsidRPr="00CB50C7" w:rsidRDefault="00CB50C7" w:rsidP="00CB50C7">
            <w:pPr>
              <w:widowControl w:val="0"/>
              <w:tabs>
                <w:tab w:val="decimal" w:pos="910"/>
              </w:tabs>
              <w:autoSpaceDE w:val="0"/>
              <w:autoSpaceDN w:val="0"/>
              <w:adjustRightInd w:val="0"/>
              <w:rPr>
                <w:rFonts w:ascii="Times New Roman" w:eastAsia="Times New Roman" w:hAnsi="Times New Roman" w:cs="Times New Roman"/>
                <w:snapToGrid w:val="0"/>
              </w:rPr>
            </w:pPr>
          </w:p>
        </w:tc>
        <w:tc>
          <w:tcPr>
            <w:tcW w:w="1208" w:type="dxa"/>
          </w:tcPr>
          <w:p w14:paraId="186BBD2E" w14:textId="77777777" w:rsidR="00CB50C7" w:rsidRPr="00CB50C7" w:rsidRDefault="00CB50C7" w:rsidP="00CB50C7">
            <w:pPr>
              <w:widowControl w:val="0"/>
              <w:tabs>
                <w:tab w:val="decimal" w:pos="860"/>
              </w:tabs>
              <w:autoSpaceDE w:val="0"/>
              <w:autoSpaceDN w:val="0"/>
              <w:adjustRightInd w:val="0"/>
              <w:jc w:val="center"/>
              <w:rPr>
                <w:rFonts w:ascii="Times New Roman" w:eastAsia="Times New Roman" w:hAnsi="Times New Roman" w:cs="Times New Roman"/>
                <w:snapToGrid w:val="0"/>
              </w:rPr>
            </w:pPr>
          </w:p>
        </w:tc>
        <w:tc>
          <w:tcPr>
            <w:tcW w:w="1208" w:type="dxa"/>
          </w:tcPr>
          <w:p w14:paraId="78454DC6" w14:textId="77777777" w:rsidR="00CB50C7" w:rsidRPr="00CB50C7" w:rsidRDefault="00CB50C7" w:rsidP="00CB50C7">
            <w:pPr>
              <w:widowControl w:val="0"/>
              <w:tabs>
                <w:tab w:val="decimal" w:pos="907"/>
              </w:tabs>
              <w:autoSpaceDE w:val="0"/>
              <w:autoSpaceDN w:val="0"/>
              <w:adjustRightInd w:val="0"/>
              <w:jc w:val="center"/>
              <w:rPr>
                <w:rFonts w:ascii="Times New Roman" w:eastAsia="Times New Roman" w:hAnsi="Times New Roman" w:cs="Times New Roman"/>
                <w:snapToGrid w:val="0"/>
              </w:rPr>
            </w:pPr>
          </w:p>
        </w:tc>
      </w:tr>
      <w:tr w:rsidR="00CB50C7" w:rsidRPr="00CB50C7" w14:paraId="70B5E228" w14:textId="77777777" w:rsidTr="00C97280">
        <w:trPr>
          <w:trHeight w:val="276"/>
        </w:trPr>
        <w:tc>
          <w:tcPr>
            <w:tcW w:w="4620" w:type="dxa"/>
            <w:gridSpan w:val="3"/>
          </w:tcPr>
          <w:p w14:paraId="565AA957"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Operating expenses:</w:t>
            </w:r>
          </w:p>
        </w:tc>
        <w:tc>
          <w:tcPr>
            <w:tcW w:w="478" w:type="dxa"/>
            <w:gridSpan w:val="2"/>
          </w:tcPr>
          <w:p w14:paraId="6F1F6357"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Pr>
          <w:p w14:paraId="223300A9" w14:textId="77777777" w:rsidR="00CB50C7" w:rsidRPr="00CB50C7" w:rsidRDefault="00CB50C7" w:rsidP="00CB50C7">
            <w:pPr>
              <w:widowControl w:val="0"/>
              <w:tabs>
                <w:tab w:val="decimal" w:pos="960"/>
              </w:tabs>
              <w:autoSpaceDE w:val="0"/>
              <w:autoSpaceDN w:val="0"/>
              <w:adjustRightInd w:val="0"/>
              <w:rPr>
                <w:rFonts w:ascii="Times New Roman" w:eastAsia="Times New Roman" w:hAnsi="Times New Roman" w:cs="Times New Roman"/>
                <w:snapToGrid w:val="0"/>
              </w:rPr>
            </w:pPr>
          </w:p>
        </w:tc>
        <w:tc>
          <w:tcPr>
            <w:tcW w:w="1208" w:type="dxa"/>
          </w:tcPr>
          <w:p w14:paraId="19AD1735" w14:textId="77777777" w:rsidR="00CB50C7" w:rsidRPr="00CB50C7" w:rsidRDefault="00CB50C7" w:rsidP="00CB50C7">
            <w:pPr>
              <w:widowControl w:val="0"/>
              <w:tabs>
                <w:tab w:val="decimal" w:pos="910"/>
              </w:tabs>
              <w:autoSpaceDE w:val="0"/>
              <w:autoSpaceDN w:val="0"/>
              <w:adjustRightInd w:val="0"/>
              <w:rPr>
                <w:rFonts w:ascii="Times New Roman" w:eastAsia="Times New Roman" w:hAnsi="Times New Roman" w:cs="Times New Roman"/>
                <w:snapToGrid w:val="0"/>
              </w:rPr>
            </w:pPr>
          </w:p>
        </w:tc>
        <w:tc>
          <w:tcPr>
            <w:tcW w:w="1208" w:type="dxa"/>
          </w:tcPr>
          <w:p w14:paraId="20600E7E" w14:textId="77777777" w:rsidR="00CB50C7" w:rsidRPr="00CB50C7" w:rsidRDefault="00CB50C7" w:rsidP="00CB50C7">
            <w:pPr>
              <w:widowControl w:val="0"/>
              <w:tabs>
                <w:tab w:val="decimal" w:pos="860"/>
              </w:tabs>
              <w:autoSpaceDE w:val="0"/>
              <w:autoSpaceDN w:val="0"/>
              <w:adjustRightInd w:val="0"/>
              <w:jc w:val="center"/>
              <w:rPr>
                <w:rFonts w:ascii="Times New Roman" w:eastAsia="Times New Roman" w:hAnsi="Times New Roman" w:cs="Times New Roman"/>
                <w:snapToGrid w:val="0"/>
              </w:rPr>
            </w:pPr>
          </w:p>
        </w:tc>
        <w:tc>
          <w:tcPr>
            <w:tcW w:w="1208" w:type="dxa"/>
          </w:tcPr>
          <w:p w14:paraId="2018C121" w14:textId="77777777" w:rsidR="00CB50C7" w:rsidRPr="00CB50C7" w:rsidRDefault="00CB50C7" w:rsidP="00CB50C7">
            <w:pPr>
              <w:widowControl w:val="0"/>
              <w:tabs>
                <w:tab w:val="decimal" w:pos="907"/>
              </w:tabs>
              <w:autoSpaceDE w:val="0"/>
              <w:autoSpaceDN w:val="0"/>
              <w:adjustRightInd w:val="0"/>
              <w:jc w:val="center"/>
              <w:rPr>
                <w:rFonts w:ascii="Times New Roman" w:eastAsia="Times New Roman" w:hAnsi="Times New Roman" w:cs="Times New Roman"/>
                <w:snapToGrid w:val="0"/>
              </w:rPr>
            </w:pPr>
          </w:p>
        </w:tc>
      </w:tr>
      <w:tr w:rsidR="00CB50C7" w:rsidRPr="00CB50C7" w14:paraId="6D61EDE6" w14:textId="77777777" w:rsidTr="00C97280">
        <w:trPr>
          <w:trHeight w:val="276"/>
        </w:trPr>
        <w:tc>
          <w:tcPr>
            <w:tcW w:w="237" w:type="dxa"/>
          </w:tcPr>
          <w:p w14:paraId="0CB20A33"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383" w:type="dxa"/>
            <w:gridSpan w:val="2"/>
          </w:tcPr>
          <w:p w14:paraId="253E0F23"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Research and development</w:t>
            </w:r>
          </w:p>
        </w:tc>
        <w:tc>
          <w:tcPr>
            <w:tcW w:w="478" w:type="dxa"/>
            <w:gridSpan w:val="2"/>
          </w:tcPr>
          <w:p w14:paraId="58D76590"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Pr>
          <w:p w14:paraId="5A6039D3" w14:textId="77777777" w:rsidR="00CB50C7" w:rsidRPr="00CB50C7" w:rsidRDefault="00CB50C7" w:rsidP="00CB50C7">
            <w:pPr>
              <w:widowControl w:val="0"/>
              <w:tabs>
                <w:tab w:val="decimal" w:pos="9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462</w:t>
            </w:r>
          </w:p>
        </w:tc>
        <w:tc>
          <w:tcPr>
            <w:tcW w:w="1208" w:type="dxa"/>
          </w:tcPr>
          <w:p w14:paraId="38973ECD" w14:textId="77777777" w:rsidR="00CB50C7" w:rsidRPr="00CB50C7" w:rsidRDefault="00CB50C7" w:rsidP="00CB50C7">
            <w:pPr>
              <w:widowControl w:val="0"/>
              <w:tabs>
                <w:tab w:val="decimal" w:pos="91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451</w:t>
            </w:r>
          </w:p>
        </w:tc>
        <w:tc>
          <w:tcPr>
            <w:tcW w:w="1208" w:type="dxa"/>
          </w:tcPr>
          <w:p w14:paraId="1D510E93" w14:textId="77777777" w:rsidR="00CB50C7" w:rsidRPr="00CB50C7" w:rsidRDefault="00CB50C7" w:rsidP="00CB50C7">
            <w:pPr>
              <w:widowControl w:val="0"/>
              <w:tabs>
                <w:tab w:val="decimal" w:pos="8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1,270</w:t>
            </w:r>
          </w:p>
        </w:tc>
        <w:tc>
          <w:tcPr>
            <w:tcW w:w="1208" w:type="dxa"/>
          </w:tcPr>
          <w:p w14:paraId="49A8D78C" w14:textId="77777777" w:rsidR="00CB50C7" w:rsidRPr="00CB50C7" w:rsidRDefault="00CB50C7" w:rsidP="00CB50C7">
            <w:pPr>
              <w:widowControl w:val="0"/>
              <w:tabs>
                <w:tab w:val="decimal" w:pos="907"/>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1,007</w:t>
            </w:r>
          </w:p>
        </w:tc>
      </w:tr>
      <w:tr w:rsidR="00CB50C7" w:rsidRPr="00CB50C7" w14:paraId="0A90812A" w14:textId="77777777" w:rsidTr="00C97280">
        <w:trPr>
          <w:trHeight w:val="276"/>
        </w:trPr>
        <w:tc>
          <w:tcPr>
            <w:tcW w:w="237" w:type="dxa"/>
          </w:tcPr>
          <w:p w14:paraId="60F07ACD"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383" w:type="dxa"/>
            <w:gridSpan w:val="2"/>
          </w:tcPr>
          <w:p w14:paraId="04A3FA32"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General and administrative</w:t>
            </w:r>
          </w:p>
        </w:tc>
        <w:tc>
          <w:tcPr>
            <w:tcW w:w="478" w:type="dxa"/>
            <w:gridSpan w:val="2"/>
          </w:tcPr>
          <w:p w14:paraId="21C1FCF9"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Borders>
              <w:bottom w:val="single" w:sz="4" w:space="0" w:color="auto"/>
            </w:tcBorders>
          </w:tcPr>
          <w:p w14:paraId="2A12A7C3" w14:textId="77777777" w:rsidR="00CB50C7" w:rsidRPr="00CB50C7" w:rsidRDefault="00CB50C7" w:rsidP="00CB50C7">
            <w:pPr>
              <w:widowControl w:val="0"/>
              <w:tabs>
                <w:tab w:val="decimal" w:pos="9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427</w:t>
            </w:r>
          </w:p>
        </w:tc>
        <w:tc>
          <w:tcPr>
            <w:tcW w:w="1208" w:type="dxa"/>
            <w:tcBorders>
              <w:bottom w:val="single" w:sz="4" w:space="0" w:color="auto"/>
            </w:tcBorders>
          </w:tcPr>
          <w:p w14:paraId="28BAAC5F" w14:textId="77777777" w:rsidR="00CB50C7" w:rsidRPr="00CB50C7" w:rsidRDefault="00CB50C7" w:rsidP="00CB50C7">
            <w:pPr>
              <w:widowControl w:val="0"/>
              <w:tabs>
                <w:tab w:val="decimal" w:pos="91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413</w:t>
            </w:r>
          </w:p>
        </w:tc>
        <w:tc>
          <w:tcPr>
            <w:tcW w:w="1208" w:type="dxa"/>
          </w:tcPr>
          <w:p w14:paraId="1C738BC2" w14:textId="77777777" w:rsidR="00CB50C7" w:rsidRPr="00CB50C7" w:rsidRDefault="00CB50C7" w:rsidP="00CB50C7">
            <w:pPr>
              <w:widowControl w:val="0"/>
              <w:tabs>
                <w:tab w:val="decimal" w:pos="8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930</w:t>
            </w:r>
          </w:p>
        </w:tc>
        <w:tc>
          <w:tcPr>
            <w:tcW w:w="1208" w:type="dxa"/>
          </w:tcPr>
          <w:p w14:paraId="17C563C0" w14:textId="77777777" w:rsidR="00CB50C7" w:rsidRPr="00CB50C7" w:rsidRDefault="00CB50C7" w:rsidP="00CB50C7">
            <w:pPr>
              <w:widowControl w:val="0"/>
              <w:tabs>
                <w:tab w:val="decimal" w:pos="907"/>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923</w:t>
            </w:r>
          </w:p>
        </w:tc>
      </w:tr>
      <w:tr w:rsidR="00CB50C7" w:rsidRPr="00CB50C7" w14:paraId="3A1C9A54" w14:textId="77777777" w:rsidTr="00C97280">
        <w:trPr>
          <w:trHeight w:val="276"/>
        </w:trPr>
        <w:tc>
          <w:tcPr>
            <w:tcW w:w="237" w:type="dxa"/>
          </w:tcPr>
          <w:p w14:paraId="64B7D583"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462" w:type="dxa"/>
          </w:tcPr>
          <w:p w14:paraId="7B86F7B3"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921" w:type="dxa"/>
          </w:tcPr>
          <w:p w14:paraId="03D98A90"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78" w:type="dxa"/>
            <w:gridSpan w:val="2"/>
          </w:tcPr>
          <w:p w14:paraId="4BA56598"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Borders>
              <w:top w:val="single" w:sz="4" w:space="0" w:color="auto"/>
              <w:bottom w:val="single" w:sz="4" w:space="0" w:color="auto"/>
            </w:tcBorders>
          </w:tcPr>
          <w:p w14:paraId="2337434D" w14:textId="77777777" w:rsidR="00CB50C7" w:rsidRPr="00CB50C7" w:rsidRDefault="00CB50C7" w:rsidP="00CB50C7">
            <w:pPr>
              <w:widowControl w:val="0"/>
              <w:tabs>
                <w:tab w:val="decimal" w:pos="9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889</w:t>
            </w:r>
          </w:p>
        </w:tc>
        <w:tc>
          <w:tcPr>
            <w:tcW w:w="1208" w:type="dxa"/>
            <w:tcBorders>
              <w:top w:val="single" w:sz="4" w:space="0" w:color="auto"/>
              <w:bottom w:val="single" w:sz="4" w:space="0" w:color="auto"/>
            </w:tcBorders>
          </w:tcPr>
          <w:p w14:paraId="1A1D949A" w14:textId="77777777" w:rsidR="00CB50C7" w:rsidRPr="00CB50C7" w:rsidRDefault="00CB50C7" w:rsidP="00CB50C7">
            <w:pPr>
              <w:widowControl w:val="0"/>
              <w:tabs>
                <w:tab w:val="decimal" w:pos="91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864</w:t>
            </w:r>
          </w:p>
        </w:tc>
        <w:tc>
          <w:tcPr>
            <w:tcW w:w="1208" w:type="dxa"/>
            <w:tcBorders>
              <w:top w:val="single" w:sz="6" w:space="0" w:color="auto"/>
            </w:tcBorders>
          </w:tcPr>
          <w:p w14:paraId="7BDA9130" w14:textId="77777777" w:rsidR="00CB50C7" w:rsidRPr="00CB50C7" w:rsidRDefault="00CB50C7" w:rsidP="00CB50C7">
            <w:pPr>
              <w:widowControl w:val="0"/>
              <w:tabs>
                <w:tab w:val="decimal" w:pos="8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2,200</w:t>
            </w:r>
          </w:p>
        </w:tc>
        <w:tc>
          <w:tcPr>
            <w:tcW w:w="1208" w:type="dxa"/>
            <w:tcBorders>
              <w:top w:val="single" w:sz="6" w:space="0" w:color="auto"/>
            </w:tcBorders>
          </w:tcPr>
          <w:p w14:paraId="0B00D5F4" w14:textId="77777777" w:rsidR="00CB50C7" w:rsidRPr="00CB50C7" w:rsidRDefault="00CB50C7" w:rsidP="00CB50C7">
            <w:pPr>
              <w:widowControl w:val="0"/>
              <w:tabs>
                <w:tab w:val="decimal" w:pos="907"/>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1,930</w:t>
            </w:r>
          </w:p>
        </w:tc>
      </w:tr>
      <w:tr w:rsidR="00CB50C7" w:rsidRPr="00CB50C7" w14:paraId="200D8D50" w14:textId="77777777" w:rsidTr="00C97280">
        <w:trPr>
          <w:trHeight w:val="276"/>
        </w:trPr>
        <w:tc>
          <w:tcPr>
            <w:tcW w:w="4620" w:type="dxa"/>
            <w:gridSpan w:val="3"/>
          </w:tcPr>
          <w:p w14:paraId="76595431"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Loss from operations</w:t>
            </w:r>
          </w:p>
        </w:tc>
        <w:tc>
          <w:tcPr>
            <w:tcW w:w="478" w:type="dxa"/>
            <w:gridSpan w:val="2"/>
          </w:tcPr>
          <w:p w14:paraId="5BFFC72C"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Borders>
              <w:top w:val="single" w:sz="4" w:space="0" w:color="auto"/>
            </w:tcBorders>
          </w:tcPr>
          <w:p w14:paraId="7E88C80F" w14:textId="77777777" w:rsidR="00CB50C7" w:rsidRPr="00CB50C7" w:rsidRDefault="00CB50C7" w:rsidP="00CB50C7">
            <w:pPr>
              <w:widowControl w:val="0"/>
              <w:tabs>
                <w:tab w:val="decimal" w:pos="9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(448)</w:t>
            </w:r>
          </w:p>
        </w:tc>
        <w:tc>
          <w:tcPr>
            <w:tcW w:w="1208" w:type="dxa"/>
            <w:tcBorders>
              <w:top w:val="single" w:sz="4" w:space="0" w:color="auto"/>
            </w:tcBorders>
          </w:tcPr>
          <w:p w14:paraId="606FE8EC" w14:textId="77777777" w:rsidR="00CB50C7" w:rsidRPr="00CB50C7" w:rsidRDefault="00CB50C7" w:rsidP="00CB50C7">
            <w:pPr>
              <w:widowControl w:val="0"/>
              <w:tabs>
                <w:tab w:val="decimal" w:pos="91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(654)</w:t>
            </w:r>
          </w:p>
        </w:tc>
        <w:tc>
          <w:tcPr>
            <w:tcW w:w="1208" w:type="dxa"/>
            <w:tcBorders>
              <w:top w:val="single" w:sz="6" w:space="0" w:color="auto"/>
            </w:tcBorders>
          </w:tcPr>
          <w:p w14:paraId="4047A124" w14:textId="77777777" w:rsidR="00CB50C7" w:rsidRPr="00CB50C7" w:rsidRDefault="00CB50C7" w:rsidP="00CB50C7">
            <w:pPr>
              <w:widowControl w:val="0"/>
              <w:tabs>
                <w:tab w:val="decimal" w:pos="8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(1,043)</w:t>
            </w:r>
          </w:p>
        </w:tc>
        <w:tc>
          <w:tcPr>
            <w:tcW w:w="1208" w:type="dxa"/>
            <w:tcBorders>
              <w:top w:val="single" w:sz="6" w:space="0" w:color="auto"/>
            </w:tcBorders>
          </w:tcPr>
          <w:p w14:paraId="16FDC224" w14:textId="77777777" w:rsidR="00CB50C7" w:rsidRPr="00CB50C7" w:rsidRDefault="00CB50C7" w:rsidP="00CB50C7">
            <w:pPr>
              <w:widowControl w:val="0"/>
              <w:tabs>
                <w:tab w:val="decimal" w:pos="907"/>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(1,356)</w:t>
            </w:r>
          </w:p>
        </w:tc>
      </w:tr>
      <w:tr w:rsidR="00CB50C7" w:rsidRPr="00CB50C7" w14:paraId="30965CD8" w14:textId="77777777" w:rsidTr="00C97280">
        <w:trPr>
          <w:trHeight w:val="276"/>
        </w:trPr>
        <w:tc>
          <w:tcPr>
            <w:tcW w:w="4650" w:type="dxa"/>
            <w:gridSpan w:val="4"/>
          </w:tcPr>
          <w:p w14:paraId="42F2EC50"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Other income (expense), net</w:t>
            </w:r>
          </w:p>
        </w:tc>
        <w:tc>
          <w:tcPr>
            <w:tcW w:w="448" w:type="dxa"/>
          </w:tcPr>
          <w:p w14:paraId="7C608004"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p>
        </w:tc>
        <w:tc>
          <w:tcPr>
            <w:tcW w:w="1208" w:type="dxa"/>
          </w:tcPr>
          <w:p w14:paraId="1D1C1A2F" w14:textId="77777777" w:rsidR="00CB50C7" w:rsidRPr="00CB50C7" w:rsidRDefault="00CB50C7" w:rsidP="00CB50C7">
            <w:pPr>
              <w:widowControl w:val="0"/>
              <w:tabs>
                <w:tab w:val="decimal" w:pos="9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(7)</w:t>
            </w:r>
          </w:p>
        </w:tc>
        <w:tc>
          <w:tcPr>
            <w:tcW w:w="1208" w:type="dxa"/>
          </w:tcPr>
          <w:p w14:paraId="5A2532F2" w14:textId="77777777" w:rsidR="00CB50C7" w:rsidRPr="00CB50C7" w:rsidRDefault="00CB50C7" w:rsidP="00CB50C7">
            <w:pPr>
              <w:widowControl w:val="0"/>
              <w:tabs>
                <w:tab w:val="decimal" w:pos="91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p>
        </w:tc>
        <w:tc>
          <w:tcPr>
            <w:tcW w:w="1208" w:type="dxa"/>
          </w:tcPr>
          <w:p w14:paraId="60205EC1" w14:textId="77777777" w:rsidR="00CB50C7" w:rsidRPr="00CB50C7" w:rsidRDefault="00CB50C7" w:rsidP="00CB50C7">
            <w:pPr>
              <w:widowControl w:val="0"/>
              <w:tabs>
                <w:tab w:val="decimal" w:pos="8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(8)</w:t>
            </w:r>
          </w:p>
        </w:tc>
        <w:tc>
          <w:tcPr>
            <w:tcW w:w="1208" w:type="dxa"/>
          </w:tcPr>
          <w:p w14:paraId="54E00115" w14:textId="77777777" w:rsidR="00CB50C7" w:rsidRPr="00CB50C7" w:rsidRDefault="00CB50C7" w:rsidP="00CB50C7">
            <w:pPr>
              <w:widowControl w:val="0"/>
              <w:tabs>
                <w:tab w:val="decimal" w:pos="907"/>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p>
        </w:tc>
      </w:tr>
      <w:tr w:rsidR="00CB50C7" w:rsidRPr="00CB50C7" w14:paraId="3755DCF7" w14:textId="77777777" w:rsidTr="00C97280">
        <w:trPr>
          <w:trHeight w:val="276"/>
        </w:trPr>
        <w:tc>
          <w:tcPr>
            <w:tcW w:w="237" w:type="dxa"/>
          </w:tcPr>
          <w:p w14:paraId="1374989F"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462" w:type="dxa"/>
          </w:tcPr>
          <w:p w14:paraId="7B0FD08B"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921" w:type="dxa"/>
          </w:tcPr>
          <w:p w14:paraId="28C05AF6"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78" w:type="dxa"/>
            <w:gridSpan w:val="2"/>
          </w:tcPr>
          <w:p w14:paraId="766E4995"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Borders>
              <w:top w:val="single" w:sz="4" w:space="0" w:color="auto"/>
            </w:tcBorders>
          </w:tcPr>
          <w:p w14:paraId="0009DE81" w14:textId="77777777" w:rsidR="00CB50C7" w:rsidRPr="00CB50C7" w:rsidRDefault="00CB50C7" w:rsidP="00CB50C7">
            <w:pPr>
              <w:widowControl w:val="0"/>
              <w:tabs>
                <w:tab w:val="decimal" w:pos="960"/>
              </w:tabs>
              <w:autoSpaceDE w:val="0"/>
              <w:autoSpaceDN w:val="0"/>
              <w:adjustRightInd w:val="0"/>
              <w:rPr>
                <w:rFonts w:ascii="Times New Roman" w:eastAsia="Times New Roman" w:hAnsi="Times New Roman" w:cs="Times New Roman"/>
                <w:snapToGrid w:val="0"/>
              </w:rPr>
            </w:pPr>
          </w:p>
        </w:tc>
        <w:tc>
          <w:tcPr>
            <w:tcW w:w="1208" w:type="dxa"/>
            <w:tcBorders>
              <w:top w:val="single" w:sz="4" w:space="0" w:color="auto"/>
            </w:tcBorders>
          </w:tcPr>
          <w:p w14:paraId="15A9BAA1" w14:textId="77777777" w:rsidR="00CB50C7" w:rsidRPr="00CB50C7" w:rsidRDefault="00CB50C7" w:rsidP="00CB50C7">
            <w:pPr>
              <w:widowControl w:val="0"/>
              <w:tabs>
                <w:tab w:val="decimal" w:pos="910"/>
              </w:tabs>
              <w:autoSpaceDE w:val="0"/>
              <w:autoSpaceDN w:val="0"/>
              <w:adjustRightInd w:val="0"/>
              <w:rPr>
                <w:rFonts w:ascii="Times New Roman" w:eastAsia="Times New Roman" w:hAnsi="Times New Roman" w:cs="Times New Roman"/>
                <w:snapToGrid w:val="0"/>
              </w:rPr>
            </w:pPr>
          </w:p>
        </w:tc>
        <w:tc>
          <w:tcPr>
            <w:tcW w:w="1208" w:type="dxa"/>
            <w:tcBorders>
              <w:top w:val="single" w:sz="6" w:space="0" w:color="auto"/>
            </w:tcBorders>
          </w:tcPr>
          <w:p w14:paraId="2B697C12" w14:textId="77777777" w:rsidR="00CB50C7" w:rsidRPr="00CB50C7" w:rsidRDefault="00CB50C7" w:rsidP="00CB50C7">
            <w:pPr>
              <w:widowControl w:val="0"/>
              <w:tabs>
                <w:tab w:val="decimal" w:pos="860"/>
              </w:tabs>
              <w:autoSpaceDE w:val="0"/>
              <w:autoSpaceDN w:val="0"/>
              <w:adjustRightInd w:val="0"/>
              <w:jc w:val="center"/>
              <w:rPr>
                <w:rFonts w:ascii="Times New Roman" w:eastAsia="Times New Roman" w:hAnsi="Times New Roman" w:cs="Times New Roman"/>
                <w:snapToGrid w:val="0"/>
              </w:rPr>
            </w:pPr>
          </w:p>
        </w:tc>
        <w:tc>
          <w:tcPr>
            <w:tcW w:w="1208" w:type="dxa"/>
            <w:tcBorders>
              <w:top w:val="single" w:sz="6" w:space="0" w:color="auto"/>
            </w:tcBorders>
          </w:tcPr>
          <w:p w14:paraId="08C98DE9" w14:textId="77777777" w:rsidR="00CB50C7" w:rsidRPr="00CB50C7" w:rsidRDefault="00CB50C7" w:rsidP="00CB50C7">
            <w:pPr>
              <w:widowControl w:val="0"/>
              <w:tabs>
                <w:tab w:val="decimal" w:pos="907"/>
              </w:tabs>
              <w:autoSpaceDE w:val="0"/>
              <w:autoSpaceDN w:val="0"/>
              <w:adjustRightInd w:val="0"/>
              <w:jc w:val="center"/>
              <w:rPr>
                <w:rFonts w:ascii="Times New Roman" w:eastAsia="Times New Roman" w:hAnsi="Times New Roman" w:cs="Times New Roman"/>
                <w:snapToGrid w:val="0"/>
              </w:rPr>
            </w:pPr>
          </w:p>
        </w:tc>
      </w:tr>
      <w:tr w:rsidR="00CB50C7" w:rsidRPr="00CB50C7" w14:paraId="4D44EB52" w14:textId="77777777" w:rsidTr="00C97280">
        <w:trPr>
          <w:cantSplit/>
          <w:trHeight w:val="293"/>
        </w:trPr>
        <w:tc>
          <w:tcPr>
            <w:tcW w:w="4620" w:type="dxa"/>
            <w:gridSpan w:val="3"/>
          </w:tcPr>
          <w:p w14:paraId="740AC7D8"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Net loss</w:t>
            </w:r>
          </w:p>
        </w:tc>
        <w:tc>
          <w:tcPr>
            <w:tcW w:w="478" w:type="dxa"/>
            <w:gridSpan w:val="2"/>
          </w:tcPr>
          <w:p w14:paraId="5CA19AAF"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Borders>
              <w:bottom w:val="double" w:sz="4" w:space="0" w:color="auto"/>
            </w:tcBorders>
          </w:tcPr>
          <w:p w14:paraId="3EB81719" w14:textId="77777777" w:rsidR="00CB50C7" w:rsidRPr="00CB50C7" w:rsidRDefault="00CB50C7" w:rsidP="00CB50C7">
            <w:pPr>
              <w:widowControl w:val="0"/>
              <w:tabs>
                <w:tab w:val="left" w:pos="150"/>
                <w:tab w:val="decimal" w:pos="9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(455)</w:t>
            </w:r>
          </w:p>
        </w:tc>
        <w:tc>
          <w:tcPr>
            <w:tcW w:w="1208" w:type="dxa"/>
            <w:tcBorders>
              <w:bottom w:val="double" w:sz="4" w:space="0" w:color="auto"/>
            </w:tcBorders>
          </w:tcPr>
          <w:p w14:paraId="375AE6A9" w14:textId="77777777" w:rsidR="00CB50C7" w:rsidRPr="00CB50C7" w:rsidRDefault="00CB50C7" w:rsidP="00CB50C7">
            <w:pPr>
              <w:widowControl w:val="0"/>
              <w:tabs>
                <w:tab w:val="left" w:pos="100"/>
                <w:tab w:val="decimal" w:pos="91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(654)</w:t>
            </w:r>
          </w:p>
        </w:tc>
        <w:tc>
          <w:tcPr>
            <w:tcW w:w="1208" w:type="dxa"/>
            <w:tcBorders>
              <w:bottom w:val="double" w:sz="6" w:space="0" w:color="auto"/>
            </w:tcBorders>
          </w:tcPr>
          <w:p w14:paraId="354FAD4C" w14:textId="77777777" w:rsidR="00CB50C7" w:rsidRPr="00CB50C7" w:rsidRDefault="00CB50C7" w:rsidP="00CB50C7">
            <w:pPr>
              <w:widowControl w:val="0"/>
              <w:tabs>
                <w:tab w:val="left" w:pos="50"/>
                <w:tab w:val="decimal" w:pos="86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(1,051)</w:t>
            </w:r>
          </w:p>
        </w:tc>
        <w:tc>
          <w:tcPr>
            <w:tcW w:w="1208" w:type="dxa"/>
            <w:tcBorders>
              <w:bottom w:val="double" w:sz="6" w:space="0" w:color="auto"/>
            </w:tcBorders>
          </w:tcPr>
          <w:p w14:paraId="4CB81686" w14:textId="77777777" w:rsidR="00CB50C7" w:rsidRPr="00CB50C7" w:rsidRDefault="00CB50C7" w:rsidP="00CB50C7">
            <w:pPr>
              <w:widowControl w:val="0"/>
              <w:tabs>
                <w:tab w:val="left" w:pos="97"/>
                <w:tab w:val="decimal" w:pos="907"/>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(1,356)</w:t>
            </w:r>
          </w:p>
        </w:tc>
      </w:tr>
      <w:tr w:rsidR="00CB50C7" w:rsidRPr="00CB50C7" w14:paraId="41EF0203" w14:textId="77777777" w:rsidTr="00C97280">
        <w:trPr>
          <w:trHeight w:val="293"/>
        </w:trPr>
        <w:tc>
          <w:tcPr>
            <w:tcW w:w="237" w:type="dxa"/>
          </w:tcPr>
          <w:p w14:paraId="68047E0E"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462" w:type="dxa"/>
          </w:tcPr>
          <w:p w14:paraId="0F64D40D"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2921" w:type="dxa"/>
          </w:tcPr>
          <w:p w14:paraId="2A27BEF5"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478" w:type="dxa"/>
            <w:gridSpan w:val="2"/>
          </w:tcPr>
          <w:p w14:paraId="51D57460"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Pr>
          <w:p w14:paraId="04DE69A2"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p>
        </w:tc>
        <w:tc>
          <w:tcPr>
            <w:tcW w:w="1208" w:type="dxa"/>
          </w:tcPr>
          <w:p w14:paraId="63872EC3"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p>
        </w:tc>
        <w:tc>
          <w:tcPr>
            <w:tcW w:w="1208" w:type="dxa"/>
          </w:tcPr>
          <w:p w14:paraId="5419D08C"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p>
        </w:tc>
        <w:tc>
          <w:tcPr>
            <w:tcW w:w="1208" w:type="dxa"/>
          </w:tcPr>
          <w:p w14:paraId="7D625F4D" w14:textId="77777777" w:rsidR="00CB50C7" w:rsidRPr="00CB50C7" w:rsidRDefault="00CB50C7" w:rsidP="00CB50C7">
            <w:pPr>
              <w:widowControl w:val="0"/>
              <w:autoSpaceDE w:val="0"/>
              <w:autoSpaceDN w:val="0"/>
              <w:adjustRightInd w:val="0"/>
              <w:jc w:val="center"/>
              <w:rPr>
                <w:rFonts w:ascii="Times New Roman" w:eastAsia="Times New Roman" w:hAnsi="Times New Roman" w:cs="Times New Roman"/>
                <w:snapToGrid w:val="0"/>
              </w:rPr>
            </w:pPr>
          </w:p>
        </w:tc>
      </w:tr>
      <w:tr w:rsidR="00CB50C7" w:rsidRPr="00CB50C7" w14:paraId="1926FFDE" w14:textId="77777777" w:rsidTr="00C97280">
        <w:trPr>
          <w:trHeight w:val="276"/>
        </w:trPr>
        <w:tc>
          <w:tcPr>
            <w:tcW w:w="4620" w:type="dxa"/>
            <w:gridSpan w:val="3"/>
          </w:tcPr>
          <w:p w14:paraId="092CFC71" w14:textId="77777777" w:rsidR="00CB50C7" w:rsidRPr="00CB50C7" w:rsidRDefault="00CB50C7" w:rsidP="00CB50C7">
            <w:pPr>
              <w:widowControl w:val="0"/>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Loss per common share</w:t>
            </w:r>
          </w:p>
        </w:tc>
        <w:tc>
          <w:tcPr>
            <w:tcW w:w="478" w:type="dxa"/>
            <w:gridSpan w:val="2"/>
          </w:tcPr>
          <w:p w14:paraId="1DDD3C3E" w14:textId="77777777" w:rsidR="00CB50C7" w:rsidRPr="00CB50C7" w:rsidRDefault="00CB50C7" w:rsidP="00CB50C7">
            <w:pPr>
              <w:widowControl w:val="0"/>
              <w:autoSpaceDE w:val="0"/>
              <w:autoSpaceDN w:val="0"/>
              <w:adjustRightInd w:val="0"/>
              <w:jc w:val="right"/>
              <w:rPr>
                <w:rFonts w:ascii="Times New Roman" w:eastAsia="Times New Roman" w:hAnsi="Times New Roman" w:cs="Times New Roman"/>
                <w:snapToGrid w:val="0"/>
              </w:rPr>
            </w:pPr>
          </w:p>
        </w:tc>
        <w:tc>
          <w:tcPr>
            <w:tcW w:w="1208" w:type="dxa"/>
            <w:tcBorders>
              <w:bottom w:val="double" w:sz="4" w:space="0" w:color="auto"/>
            </w:tcBorders>
          </w:tcPr>
          <w:p w14:paraId="4B5CCB0C" w14:textId="77777777" w:rsidR="00CB50C7" w:rsidRPr="00CB50C7" w:rsidRDefault="00CB50C7" w:rsidP="00CB50C7">
            <w:pPr>
              <w:widowControl w:val="0"/>
              <w:tabs>
                <w:tab w:val="left" w:pos="150"/>
                <w:tab w:val="decimal" w:pos="69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(0.03)</w:t>
            </w:r>
          </w:p>
        </w:tc>
        <w:tc>
          <w:tcPr>
            <w:tcW w:w="1208" w:type="dxa"/>
            <w:tcBorders>
              <w:bottom w:val="double" w:sz="4" w:space="0" w:color="auto"/>
            </w:tcBorders>
          </w:tcPr>
          <w:p w14:paraId="41E671DD" w14:textId="77777777" w:rsidR="00CB50C7" w:rsidRPr="00CB50C7" w:rsidRDefault="00CB50C7" w:rsidP="00CB50C7">
            <w:pPr>
              <w:widowControl w:val="0"/>
              <w:tabs>
                <w:tab w:val="left" w:pos="100"/>
                <w:tab w:val="decimal" w:pos="64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(1,994.35)</w:t>
            </w:r>
          </w:p>
        </w:tc>
        <w:tc>
          <w:tcPr>
            <w:tcW w:w="1208" w:type="dxa"/>
            <w:tcBorders>
              <w:bottom w:val="double" w:sz="4" w:space="0" w:color="auto"/>
            </w:tcBorders>
          </w:tcPr>
          <w:p w14:paraId="40AAF158" w14:textId="77777777" w:rsidR="00CB50C7" w:rsidRPr="00CB50C7" w:rsidRDefault="00CB50C7" w:rsidP="00CB50C7">
            <w:pPr>
              <w:widowControl w:val="0"/>
              <w:tabs>
                <w:tab w:val="left" w:pos="140"/>
                <w:tab w:val="decimal" w:pos="590"/>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(0.11)</w:t>
            </w:r>
          </w:p>
        </w:tc>
        <w:tc>
          <w:tcPr>
            <w:tcW w:w="1208" w:type="dxa"/>
            <w:tcBorders>
              <w:bottom w:val="double" w:sz="4" w:space="0" w:color="auto"/>
            </w:tcBorders>
          </w:tcPr>
          <w:p w14:paraId="78F99070" w14:textId="77777777" w:rsidR="00CB50C7" w:rsidRPr="00CB50C7" w:rsidRDefault="00CB50C7" w:rsidP="00CB50C7">
            <w:pPr>
              <w:widowControl w:val="0"/>
              <w:tabs>
                <w:tab w:val="left" w:pos="97"/>
                <w:tab w:val="decimal" w:pos="637"/>
              </w:tabs>
              <w:autoSpaceDE w:val="0"/>
              <w:autoSpaceDN w:val="0"/>
              <w:adjustRightInd w:val="0"/>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t>$</w:t>
            </w:r>
            <w:r w:rsidRPr="00CB50C7">
              <w:rPr>
                <w:rFonts w:ascii="Times New Roman" w:eastAsia="Times New Roman" w:hAnsi="Times New Roman" w:cs="Times New Roman"/>
                <w:snapToGrid w:val="0"/>
              </w:rPr>
              <w:tab/>
              <w:t>(4,706.95)</w:t>
            </w:r>
          </w:p>
        </w:tc>
      </w:tr>
    </w:tbl>
    <w:p w14:paraId="08329FC6" w14:textId="77777777" w:rsidR="00CB50C7" w:rsidRPr="00CB50C7" w:rsidRDefault="00CB50C7" w:rsidP="00CB50C7">
      <w:pPr>
        <w:widowControl w:val="0"/>
        <w:autoSpaceDE w:val="0"/>
        <w:autoSpaceDN w:val="0"/>
        <w:adjustRightInd w:val="0"/>
        <w:spacing w:line="240" w:lineRule="auto"/>
        <w:jc w:val="both"/>
        <w:rPr>
          <w:rFonts w:ascii="Times New Roman" w:eastAsia="Times New Roman" w:hAnsi="Times New Roman" w:cs="Times New Roman"/>
        </w:r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CB50C7" w:rsidRPr="00CB50C7" w14:paraId="3D02FCB3" w14:textId="77777777" w:rsidTr="00C97280">
        <w:trPr>
          <w:cantSplit/>
          <w:trHeight w:val="293"/>
        </w:trPr>
        <w:tc>
          <w:tcPr>
            <w:tcW w:w="9930" w:type="dxa"/>
            <w:gridSpan w:val="8"/>
          </w:tcPr>
          <w:p w14:paraId="19282448"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b/>
                <w:bCs/>
                <w:snapToGrid w:val="0"/>
              </w:rPr>
            </w:pPr>
          </w:p>
          <w:p w14:paraId="34049E39"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b/>
                <w:bCs/>
                <w:snapToGrid w:val="0"/>
              </w:rPr>
            </w:pPr>
          </w:p>
          <w:p w14:paraId="3036AFCC"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snapToGrid w:val="0"/>
              </w:rPr>
            </w:pPr>
            <w:r w:rsidRPr="00CB50C7">
              <w:rPr>
                <w:rFonts w:ascii="Times New Roman" w:eastAsia="Times New Roman" w:hAnsi="Times New Roman" w:cs="Times New Roman"/>
                <w:b/>
                <w:bCs/>
                <w:snapToGrid w:val="0"/>
              </w:rPr>
              <w:t>Condensed Consolidated Balance Sheet Information</w:t>
            </w:r>
          </w:p>
        </w:tc>
      </w:tr>
      <w:tr w:rsidR="00CB50C7" w:rsidRPr="00CB50C7" w14:paraId="7D74B7F2" w14:textId="77777777" w:rsidTr="00C97280">
        <w:trPr>
          <w:cantSplit/>
          <w:trHeight w:val="293"/>
        </w:trPr>
        <w:tc>
          <w:tcPr>
            <w:tcW w:w="9930" w:type="dxa"/>
            <w:gridSpan w:val="8"/>
          </w:tcPr>
          <w:p w14:paraId="36A545D4"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i/>
                <w:snapToGrid w:val="0"/>
              </w:rPr>
            </w:pPr>
            <w:r w:rsidRPr="00CB50C7">
              <w:rPr>
                <w:rFonts w:ascii="Times New Roman" w:eastAsia="Times New Roman" w:hAnsi="Times New Roman" w:cs="Times New Roman"/>
                <w:bCs/>
                <w:i/>
                <w:snapToGrid w:val="0"/>
              </w:rPr>
              <w:t>(amounts in thousands)</w:t>
            </w:r>
          </w:p>
        </w:tc>
      </w:tr>
      <w:tr w:rsidR="00CB50C7" w:rsidRPr="00CB50C7" w14:paraId="5ACED47E" w14:textId="77777777" w:rsidTr="00C97280">
        <w:trPr>
          <w:trHeight w:val="276"/>
        </w:trPr>
        <w:tc>
          <w:tcPr>
            <w:tcW w:w="1699" w:type="dxa"/>
            <w:gridSpan w:val="2"/>
          </w:tcPr>
          <w:p w14:paraId="01C1A844"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p>
        </w:tc>
        <w:tc>
          <w:tcPr>
            <w:tcW w:w="2921" w:type="dxa"/>
          </w:tcPr>
          <w:p w14:paraId="7D60FB29"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0C905886"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8A0C434"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A93C938"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bottom w:val="single" w:sz="4" w:space="0" w:color="auto"/>
            </w:tcBorders>
          </w:tcPr>
          <w:p w14:paraId="429B4A60"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June 30,</w:t>
            </w:r>
          </w:p>
          <w:p w14:paraId="5A812754"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2020</w:t>
            </w:r>
          </w:p>
        </w:tc>
        <w:tc>
          <w:tcPr>
            <w:tcW w:w="1208" w:type="dxa"/>
            <w:tcBorders>
              <w:bottom w:val="single" w:sz="4" w:space="0" w:color="auto"/>
            </w:tcBorders>
          </w:tcPr>
          <w:p w14:paraId="27CEB548"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Dec. 31,</w:t>
            </w:r>
          </w:p>
          <w:p w14:paraId="400D56FC" w14:textId="77777777" w:rsidR="00CB50C7" w:rsidRPr="00CB50C7" w:rsidRDefault="00CB50C7" w:rsidP="00CB50C7">
            <w:pPr>
              <w:widowControl w:val="0"/>
              <w:autoSpaceDE w:val="0"/>
              <w:autoSpaceDN w:val="0"/>
              <w:adjustRightInd w:val="0"/>
              <w:spacing w:line="240" w:lineRule="auto"/>
              <w:jc w:val="center"/>
              <w:rPr>
                <w:rFonts w:ascii="Times New Roman" w:eastAsia="Times New Roman" w:hAnsi="Times New Roman" w:cs="Times New Roman"/>
                <w:snapToGrid w:val="0"/>
              </w:rPr>
            </w:pPr>
            <w:r w:rsidRPr="00CB50C7">
              <w:rPr>
                <w:rFonts w:ascii="Times New Roman" w:eastAsia="Times New Roman" w:hAnsi="Times New Roman" w:cs="Times New Roman"/>
                <w:snapToGrid w:val="0"/>
              </w:rPr>
              <w:t>2019</w:t>
            </w:r>
          </w:p>
        </w:tc>
      </w:tr>
      <w:tr w:rsidR="00CB50C7" w:rsidRPr="00CB50C7" w14:paraId="194C3CAD" w14:textId="77777777" w:rsidTr="00C97280">
        <w:trPr>
          <w:trHeight w:val="276"/>
        </w:trPr>
        <w:tc>
          <w:tcPr>
            <w:tcW w:w="1699" w:type="dxa"/>
            <w:gridSpan w:val="2"/>
          </w:tcPr>
          <w:p w14:paraId="4BBAC289"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Assets:</w:t>
            </w:r>
          </w:p>
        </w:tc>
        <w:tc>
          <w:tcPr>
            <w:tcW w:w="2921" w:type="dxa"/>
          </w:tcPr>
          <w:p w14:paraId="56C5D6AA"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7EC909E0"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018CD994"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383B858"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F43B693"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single" w:sz="4" w:space="0" w:color="auto"/>
            </w:tcBorders>
          </w:tcPr>
          <w:p w14:paraId="23C009FF"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B50C7" w:rsidRPr="00CB50C7" w14:paraId="3C785712" w14:textId="77777777" w:rsidTr="00C97280">
        <w:trPr>
          <w:trHeight w:val="276"/>
        </w:trPr>
        <w:tc>
          <w:tcPr>
            <w:tcW w:w="237" w:type="dxa"/>
          </w:tcPr>
          <w:p w14:paraId="1CC085CD"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20D9D1DB"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Cash and cash equivalents</w:t>
            </w:r>
          </w:p>
        </w:tc>
        <w:tc>
          <w:tcPr>
            <w:tcW w:w="478" w:type="dxa"/>
          </w:tcPr>
          <w:p w14:paraId="5F5483DE"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853B629" w14:textId="77777777" w:rsidR="00CB50C7" w:rsidRPr="00CB50C7" w:rsidRDefault="00CB50C7" w:rsidP="00CB50C7">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4E802CEB" w14:textId="77777777" w:rsidR="00CB50C7" w:rsidRPr="00CB50C7" w:rsidRDefault="00CB50C7" w:rsidP="00CB50C7">
            <w:pPr>
              <w:widowControl w:val="0"/>
              <w:tabs>
                <w:tab w:val="left" w:pos="180"/>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26480E09" w14:textId="77777777" w:rsidR="00CB50C7" w:rsidRPr="00CB50C7" w:rsidRDefault="00CB50C7" w:rsidP="00CB50C7">
            <w:pPr>
              <w:widowControl w:val="0"/>
              <w:tabs>
                <w:tab w:val="left" w:pos="165"/>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711</w:t>
            </w:r>
          </w:p>
        </w:tc>
        <w:tc>
          <w:tcPr>
            <w:tcW w:w="1208" w:type="dxa"/>
          </w:tcPr>
          <w:p w14:paraId="354F40DE" w14:textId="77777777" w:rsidR="00CB50C7" w:rsidRPr="00CB50C7" w:rsidRDefault="00CB50C7" w:rsidP="00CB50C7">
            <w:pPr>
              <w:widowControl w:val="0"/>
              <w:tabs>
                <w:tab w:val="left" w:pos="150"/>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283</w:t>
            </w:r>
          </w:p>
        </w:tc>
      </w:tr>
      <w:tr w:rsidR="00CB50C7" w:rsidRPr="00CB50C7" w14:paraId="2D6D283C" w14:textId="77777777" w:rsidTr="00C97280">
        <w:trPr>
          <w:trHeight w:val="276"/>
        </w:trPr>
        <w:tc>
          <w:tcPr>
            <w:tcW w:w="237" w:type="dxa"/>
          </w:tcPr>
          <w:p w14:paraId="6FB11FE2"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792112D7"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Other current assets</w:t>
            </w:r>
          </w:p>
        </w:tc>
        <w:tc>
          <w:tcPr>
            <w:tcW w:w="478" w:type="dxa"/>
          </w:tcPr>
          <w:p w14:paraId="04DCB81F"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2903409"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p>
        </w:tc>
        <w:tc>
          <w:tcPr>
            <w:tcW w:w="1208" w:type="dxa"/>
          </w:tcPr>
          <w:p w14:paraId="11290EA5"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p>
        </w:tc>
        <w:tc>
          <w:tcPr>
            <w:tcW w:w="1208" w:type="dxa"/>
            <w:tcBorders>
              <w:bottom w:val="single" w:sz="4" w:space="0" w:color="auto"/>
            </w:tcBorders>
          </w:tcPr>
          <w:p w14:paraId="6F238D74" w14:textId="77777777" w:rsidR="00CB50C7" w:rsidRPr="00CB50C7" w:rsidRDefault="00CB50C7" w:rsidP="00CB50C7">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227</w:t>
            </w:r>
          </w:p>
        </w:tc>
        <w:tc>
          <w:tcPr>
            <w:tcW w:w="1208" w:type="dxa"/>
            <w:tcBorders>
              <w:bottom w:val="single" w:sz="4" w:space="0" w:color="auto"/>
            </w:tcBorders>
          </w:tcPr>
          <w:p w14:paraId="41F6A037" w14:textId="77777777" w:rsidR="00CB50C7" w:rsidRPr="00CB50C7" w:rsidRDefault="00CB50C7" w:rsidP="00CB50C7">
            <w:pPr>
              <w:widowControl w:val="0"/>
              <w:tabs>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164</w:t>
            </w:r>
          </w:p>
        </w:tc>
      </w:tr>
      <w:tr w:rsidR="00CB50C7" w:rsidRPr="00CB50C7" w14:paraId="315B598C" w14:textId="77777777" w:rsidTr="00C97280">
        <w:trPr>
          <w:trHeight w:val="276"/>
        </w:trPr>
        <w:tc>
          <w:tcPr>
            <w:tcW w:w="237" w:type="dxa"/>
          </w:tcPr>
          <w:p w14:paraId="4FAD5FDC"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49436180"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Total current assets</w:t>
            </w:r>
          </w:p>
        </w:tc>
        <w:tc>
          <w:tcPr>
            <w:tcW w:w="478" w:type="dxa"/>
          </w:tcPr>
          <w:p w14:paraId="39003887"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8856264"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01C7DE2"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single" w:sz="4" w:space="0" w:color="auto"/>
            </w:tcBorders>
          </w:tcPr>
          <w:p w14:paraId="3015FBA1" w14:textId="77777777" w:rsidR="00CB50C7" w:rsidRPr="00CB50C7" w:rsidRDefault="00CB50C7" w:rsidP="00CB50C7">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938</w:t>
            </w:r>
          </w:p>
        </w:tc>
        <w:tc>
          <w:tcPr>
            <w:tcW w:w="1208" w:type="dxa"/>
            <w:tcBorders>
              <w:top w:val="single" w:sz="4" w:space="0" w:color="auto"/>
            </w:tcBorders>
          </w:tcPr>
          <w:p w14:paraId="56630FA0" w14:textId="77777777" w:rsidR="00CB50C7" w:rsidRPr="00CB50C7" w:rsidRDefault="00CB50C7" w:rsidP="00CB50C7">
            <w:pPr>
              <w:widowControl w:val="0"/>
              <w:tabs>
                <w:tab w:val="left" w:pos="195"/>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447</w:t>
            </w:r>
          </w:p>
        </w:tc>
      </w:tr>
      <w:tr w:rsidR="00CB50C7" w:rsidRPr="00CB50C7" w14:paraId="7B9DB92E" w14:textId="77777777" w:rsidTr="00C97280">
        <w:tblPrEx>
          <w:tblCellMar>
            <w:left w:w="108" w:type="dxa"/>
            <w:right w:w="108" w:type="dxa"/>
          </w:tblCellMar>
        </w:tblPrEx>
        <w:trPr>
          <w:trHeight w:val="276"/>
        </w:trPr>
        <w:tc>
          <w:tcPr>
            <w:tcW w:w="237" w:type="dxa"/>
          </w:tcPr>
          <w:p w14:paraId="18872355"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136334B2"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5FE948B5"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139742DD"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CECDC79"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5D2CCAD"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302BD99"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B306BA1"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B50C7" w:rsidRPr="00CB50C7" w14:paraId="0C52156B" w14:textId="77777777" w:rsidTr="00C97280">
        <w:tblPrEx>
          <w:tblCellMar>
            <w:left w:w="108" w:type="dxa"/>
            <w:right w:w="108" w:type="dxa"/>
          </w:tblCellMar>
        </w:tblPrEx>
        <w:trPr>
          <w:trHeight w:val="276"/>
        </w:trPr>
        <w:tc>
          <w:tcPr>
            <w:tcW w:w="237" w:type="dxa"/>
          </w:tcPr>
          <w:p w14:paraId="6CD614AA"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6BE3C0CE"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Property and other assets, net</w:t>
            </w:r>
          </w:p>
        </w:tc>
        <w:tc>
          <w:tcPr>
            <w:tcW w:w="478" w:type="dxa"/>
          </w:tcPr>
          <w:p w14:paraId="1B689334"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5E3E8D1"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36752DF"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bottom w:val="single" w:sz="4" w:space="0" w:color="auto"/>
            </w:tcBorders>
          </w:tcPr>
          <w:p w14:paraId="0DE310A7" w14:textId="77777777" w:rsidR="00CB50C7" w:rsidRPr="00CB50C7" w:rsidRDefault="00CB50C7" w:rsidP="00CB50C7">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20</w:t>
            </w:r>
          </w:p>
        </w:tc>
        <w:tc>
          <w:tcPr>
            <w:tcW w:w="1208" w:type="dxa"/>
            <w:tcBorders>
              <w:bottom w:val="single" w:sz="4" w:space="0" w:color="auto"/>
            </w:tcBorders>
          </w:tcPr>
          <w:p w14:paraId="5B028FC3" w14:textId="77777777" w:rsidR="00CB50C7" w:rsidRPr="00CB50C7" w:rsidRDefault="00CB50C7" w:rsidP="00CB50C7">
            <w:pPr>
              <w:widowControl w:val="0"/>
              <w:tabs>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22</w:t>
            </w:r>
          </w:p>
        </w:tc>
      </w:tr>
      <w:tr w:rsidR="00CB50C7" w:rsidRPr="00CB50C7" w14:paraId="6A208844" w14:textId="77777777" w:rsidTr="00C97280">
        <w:tblPrEx>
          <w:tblCellMar>
            <w:left w:w="108" w:type="dxa"/>
            <w:right w:w="108" w:type="dxa"/>
          </w:tblCellMar>
        </w:tblPrEx>
        <w:trPr>
          <w:trHeight w:val="276"/>
        </w:trPr>
        <w:tc>
          <w:tcPr>
            <w:tcW w:w="237" w:type="dxa"/>
          </w:tcPr>
          <w:p w14:paraId="440C5AB9"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29015588"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Total assets</w:t>
            </w:r>
          </w:p>
        </w:tc>
        <w:tc>
          <w:tcPr>
            <w:tcW w:w="478" w:type="dxa"/>
          </w:tcPr>
          <w:p w14:paraId="333B1295"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C449F3D"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F9DE171"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6DE96AD" w14:textId="77777777" w:rsidR="00CB50C7" w:rsidRPr="00CB50C7" w:rsidRDefault="00CB50C7" w:rsidP="00CB50C7">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958</w:t>
            </w:r>
          </w:p>
        </w:tc>
        <w:tc>
          <w:tcPr>
            <w:tcW w:w="1208" w:type="dxa"/>
          </w:tcPr>
          <w:p w14:paraId="7447309A" w14:textId="77777777" w:rsidR="00CB50C7" w:rsidRPr="00CB50C7" w:rsidRDefault="00CB50C7" w:rsidP="00CB50C7">
            <w:pPr>
              <w:widowControl w:val="0"/>
              <w:tabs>
                <w:tab w:val="left" w:pos="150"/>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469</w:t>
            </w:r>
          </w:p>
        </w:tc>
      </w:tr>
      <w:tr w:rsidR="00CB50C7" w:rsidRPr="00CB50C7" w14:paraId="5B493F3F" w14:textId="77777777" w:rsidTr="00C97280">
        <w:trPr>
          <w:trHeight w:val="276"/>
        </w:trPr>
        <w:tc>
          <w:tcPr>
            <w:tcW w:w="237" w:type="dxa"/>
          </w:tcPr>
          <w:p w14:paraId="7D189083"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326CDC70"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15518F6E"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74F82129"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E1D168E"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CF73EBE"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double" w:sz="4" w:space="0" w:color="auto"/>
            </w:tcBorders>
          </w:tcPr>
          <w:p w14:paraId="642EF449"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double" w:sz="4" w:space="0" w:color="auto"/>
            </w:tcBorders>
          </w:tcPr>
          <w:p w14:paraId="785E78B2"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B50C7" w:rsidRPr="00CB50C7" w14:paraId="310CA8D2" w14:textId="77777777" w:rsidTr="00C97280">
        <w:trPr>
          <w:trHeight w:val="276"/>
        </w:trPr>
        <w:tc>
          <w:tcPr>
            <w:tcW w:w="4620" w:type="dxa"/>
            <w:gridSpan w:val="3"/>
          </w:tcPr>
          <w:p w14:paraId="240C3406"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Liabilities and stockholders’ equity (deficiency)</w:t>
            </w:r>
          </w:p>
        </w:tc>
        <w:tc>
          <w:tcPr>
            <w:tcW w:w="478" w:type="dxa"/>
          </w:tcPr>
          <w:p w14:paraId="03347F62"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00784BB"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0B7BC145"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5B23B8D"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1A34EA3"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B50C7" w:rsidRPr="00CB50C7" w14:paraId="28544891" w14:textId="77777777" w:rsidTr="00C97280">
        <w:trPr>
          <w:trHeight w:val="276"/>
        </w:trPr>
        <w:tc>
          <w:tcPr>
            <w:tcW w:w="237" w:type="dxa"/>
          </w:tcPr>
          <w:p w14:paraId="4DB53F74"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3D5023B3"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Total liabilities</w:t>
            </w:r>
          </w:p>
        </w:tc>
        <w:tc>
          <w:tcPr>
            <w:tcW w:w="478" w:type="dxa"/>
          </w:tcPr>
          <w:p w14:paraId="46766CB5"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8353E0F"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D9AAB47"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1A996DC" w14:textId="77777777" w:rsidR="00CB50C7" w:rsidRPr="00CB50C7" w:rsidRDefault="00CB50C7" w:rsidP="00CB50C7">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2,808</w:t>
            </w:r>
          </w:p>
        </w:tc>
        <w:tc>
          <w:tcPr>
            <w:tcW w:w="1208" w:type="dxa"/>
          </w:tcPr>
          <w:p w14:paraId="120D6E7C" w14:textId="77777777" w:rsidR="00CB50C7" w:rsidRPr="00CB50C7" w:rsidRDefault="00CB50C7" w:rsidP="00CB50C7">
            <w:pPr>
              <w:widowControl w:val="0"/>
              <w:tabs>
                <w:tab w:val="left" w:pos="165"/>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2,043</w:t>
            </w:r>
          </w:p>
        </w:tc>
      </w:tr>
      <w:tr w:rsidR="00CB50C7" w:rsidRPr="00CB50C7" w14:paraId="1A49BFD0" w14:textId="77777777" w:rsidTr="00C97280">
        <w:trPr>
          <w:trHeight w:val="276"/>
        </w:trPr>
        <w:tc>
          <w:tcPr>
            <w:tcW w:w="237" w:type="dxa"/>
          </w:tcPr>
          <w:p w14:paraId="44709B06"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2EF7FF6F"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Stockholders’ equity (deficiency)</w:t>
            </w:r>
          </w:p>
        </w:tc>
        <w:tc>
          <w:tcPr>
            <w:tcW w:w="478" w:type="dxa"/>
          </w:tcPr>
          <w:p w14:paraId="7B0F1F62"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0E33FF8C"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BDF4498"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bottom w:val="single" w:sz="4" w:space="0" w:color="auto"/>
            </w:tcBorders>
          </w:tcPr>
          <w:p w14:paraId="3F5777E6" w14:textId="77777777" w:rsidR="00CB50C7" w:rsidRPr="00CB50C7" w:rsidRDefault="00CB50C7" w:rsidP="00CB50C7">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(1,850)</w:t>
            </w:r>
          </w:p>
        </w:tc>
        <w:tc>
          <w:tcPr>
            <w:tcW w:w="1208" w:type="dxa"/>
            <w:tcBorders>
              <w:bottom w:val="single" w:sz="4" w:space="0" w:color="auto"/>
            </w:tcBorders>
          </w:tcPr>
          <w:p w14:paraId="199F95FD" w14:textId="77777777" w:rsidR="00CB50C7" w:rsidRPr="00CB50C7" w:rsidRDefault="00CB50C7" w:rsidP="00CB50C7">
            <w:pPr>
              <w:widowControl w:val="0"/>
              <w:tabs>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(1,574)</w:t>
            </w:r>
          </w:p>
        </w:tc>
      </w:tr>
      <w:tr w:rsidR="00CB50C7" w:rsidRPr="00CB50C7" w14:paraId="17B052DA" w14:textId="77777777" w:rsidTr="00C97280">
        <w:trPr>
          <w:trHeight w:val="276"/>
        </w:trPr>
        <w:tc>
          <w:tcPr>
            <w:tcW w:w="237" w:type="dxa"/>
          </w:tcPr>
          <w:p w14:paraId="1A504B2F"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6069" w:type="dxa"/>
            <w:gridSpan w:val="4"/>
          </w:tcPr>
          <w:p w14:paraId="1560FB88"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Total liabilities and stockholders’ equity (deficiency)</w:t>
            </w:r>
          </w:p>
        </w:tc>
        <w:tc>
          <w:tcPr>
            <w:tcW w:w="1208" w:type="dxa"/>
          </w:tcPr>
          <w:p w14:paraId="449E3F63"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single" w:sz="4" w:space="0" w:color="auto"/>
              <w:bottom w:val="double" w:sz="4" w:space="0" w:color="auto"/>
            </w:tcBorders>
          </w:tcPr>
          <w:p w14:paraId="05F28E89" w14:textId="77777777" w:rsidR="00CB50C7" w:rsidRPr="00CB50C7" w:rsidRDefault="00CB50C7" w:rsidP="00CB50C7">
            <w:pPr>
              <w:widowControl w:val="0"/>
              <w:tabs>
                <w:tab w:val="left" w:pos="165"/>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958</w:t>
            </w:r>
          </w:p>
        </w:tc>
        <w:tc>
          <w:tcPr>
            <w:tcW w:w="1208" w:type="dxa"/>
            <w:tcBorders>
              <w:top w:val="single" w:sz="4" w:space="0" w:color="auto"/>
              <w:bottom w:val="double" w:sz="4" w:space="0" w:color="auto"/>
            </w:tcBorders>
          </w:tcPr>
          <w:p w14:paraId="4552E1E1" w14:textId="77777777" w:rsidR="00CB50C7" w:rsidRPr="00CB50C7" w:rsidRDefault="00CB50C7" w:rsidP="00CB50C7">
            <w:pPr>
              <w:widowControl w:val="0"/>
              <w:tabs>
                <w:tab w:val="left" w:pos="105"/>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w:t>
            </w:r>
            <w:r w:rsidRPr="00CB50C7">
              <w:rPr>
                <w:rFonts w:ascii="Times New Roman" w:eastAsia="Times New Roman" w:hAnsi="Times New Roman" w:cs="Times New Roman"/>
                <w:snapToGrid w:val="0"/>
              </w:rPr>
              <w:tab/>
              <w:t>469</w:t>
            </w:r>
          </w:p>
        </w:tc>
      </w:tr>
      <w:tr w:rsidR="00CB50C7" w:rsidRPr="00CB50C7" w14:paraId="405C39FB" w14:textId="77777777" w:rsidTr="00C97280">
        <w:trPr>
          <w:trHeight w:val="276"/>
        </w:trPr>
        <w:tc>
          <w:tcPr>
            <w:tcW w:w="237" w:type="dxa"/>
          </w:tcPr>
          <w:p w14:paraId="62672E10"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2B5F16D9"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p>
        </w:tc>
        <w:tc>
          <w:tcPr>
            <w:tcW w:w="478" w:type="dxa"/>
          </w:tcPr>
          <w:p w14:paraId="79FC400C"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D31F58F"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0A649B0"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665BD80"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823CC29"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B50C7" w:rsidRPr="00CB50C7" w14:paraId="5D3A462B" w14:textId="77777777" w:rsidTr="00C97280">
        <w:trPr>
          <w:trHeight w:val="276"/>
        </w:trPr>
        <w:tc>
          <w:tcPr>
            <w:tcW w:w="237" w:type="dxa"/>
          </w:tcPr>
          <w:p w14:paraId="2D291A0B"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1CD8D2E4" w14:textId="77777777" w:rsidR="00CB50C7" w:rsidRPr="00CB50C7" w:rsidRDefault="00CB50C7" w:rsidP="00CB50C7">
            <w:pPr>
              <w:widowControl w:val="0"/>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Common Shares Outstanding</w:t>
            </w:r>
          </w:p>
        </w:tc>
        <w:tc>
          <w:tcPr>
            <w:tcW w:w="478" w:type="dxa"/>
          </w:tcPr>
          <w:p w14:paraId="451F45D3"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BC6970D"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C9DC109" w14:textId="77777777" w:rsidR="00CB50C7" w:rsidRPr="00CB50C7" w:rsidRDefault="00CB50C7" w:rsidP="00CB50C7">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B036503" w14:textId="77777777" w:rsidR="00CB50C7" w:rsidRPr="00CB50C7" w:rsidRDefault="00CB50C7" w:rsidP="00CB50C7">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13,834,075</w:t>
            </w:r>
          </w:p>
        </w:tc>
        <w:tc>
          <w:tcPr>
            <w:tcW w:w="1208" w:type="dxa"/>
          </w:tcPr>
          <w:p w14:paraId="4C470FE9" w14:textId="77777777" w:rsidR="00CB50C7" w:rsidRPr="00CB50C7" w:rsidRDefault="00CB50C7" w:rsidP="00CB50C7">
            <w:pPr>
              <w:widowControl w:val="0"/>
              <w:tabs>
                <w:tab w:val="left" w:pos="165"/>
                <w:tab w:val="decimal" w:pos="1005"/>
              </w:tabs>
              <w:autoSpaceDE w:val="0"/>
              <w:autoSpaceDN w:val="0"/>
              <w:adjustRightInd w:val="0"/>
              <w:spacing w:line="240" w:lineRule="auto"/>
              <w:rPr>
                <w:rFonts w:ascii="Times New Roman" w:eastAsia="Times New Roman" w:hAnsi="Times New Roman" w:cs="Times New Roman"/>
                <w:snapToGrid w:val="0"/>
              </w:rPr>
            </w:pPr>
            <w:r w:rsidRPr="00CB50C7">
              <w:rPr>
                <w:rFonts w:ascii="Times New Roman" w:eastAsia="Times New Roman" w:hAnsi="Times New Roman" w:cs="Times New Roman"/>
                <w:snapToGrid w:val="0"/>
              </w:rPr>
              <w:tab/>
            </w:r>
            <w:r w:rsidRPr="00CB50C7">
              <w:rPr>
                <w:rFonts w:ascii="Times New Roman" w:eastAsia="Times New Roman" w:hAnsi="Times New Roman" w:cs="Times New Roman"/>
                <w:snapToGrid w:val="0"/>
              </w:rPr>
              <w:tab/>
              <w:t>299,835</w:t>
            </w:r>
          </w:p>
        </w:tc>
      </w:tr>
    </w:tbl>
    <w:p w14:paraId="1FA2C860" w14:textId="77777777" w:rsidR="00CB50C7" w:rsidRPr="00CB50C7" w:rsidRDefault="00CB50C7" w:rsidP="00CB50C7">
      <w:pPr>
        <w:widowControl w:val="0"/>
        <w:autoSpaceDE w:val="0"/>
        <w:autoSpaceDN w:val="0"/>
        <w:adjustRightInd w:val="0"/>
        <w:spacing w:line="240" w:lineRule="auto"/>
        <w:jc w:val="both"/>
        <w:rPr>
          <w:rFonts w:ascii="Times New Roman" w:eastAsia="Times New Roman" w:hAnsi="Times New Roman" w:cs="Times New Roman"/>
        </w:rPr>
      </w:pPr>
    </w:p>
    <w:p w14:paraId="2A7E419B" w14:textId="776B29FF" w:rsidR="005E0FFA" w:rsidRDefault="005E0FFA"/>
    <w:sectPr w:rsidR="005E0FFA" w:rsidSect="00F9336E">
      <w:headerReference w:type="first" r:id="rId11"/>
      <w:footerReference w:type="first" r:id="rId12"/>
      <w:pgSz w:w="12240" w:h="15840" w:code="1"/>
      <w:pgMar w:top="1440" w:right="1296" w:bottom="1008" w:left="1296" w:header="547" w:footer="70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0A6DA" w14:textId="77777777" w:rsidR="00940B16" w:rsidRDefault="00940B16">
      <w:pPr>
        <w:spacing w:line="240" w:lineRule="auto"/>
      </w:pPr>
      <w:r>
        <w:separator/>
      </w:r>
    </w:p>
  </w:endnote>
  <w:endnote w:type="continuationSeparator" w:id="0">
    <w:p w14:paraId="03AFAAA1" w14:textId="77777777" w:rsidR="00940B16" w:rsidRDefault="00940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91B57" w14:textId="77777777" w:rsidR="00F373D0" w:rsidRDefault="00F373D0">
    <w:pPr>
      <w:pStyle w:val="Footer"/>
    </w:pPr>
  </w:p>
  <w:p w14:paraId="136AC687" w14:textId="25FFA17E" w:rsidR="00F373D0" w:rsidRDefault="00CB50C7" w:rsidP="00CB50C7">
    <w:pPr>
      <w:pStyle w:val="Footer"/>
      <w:tabs>
        <w:tab w:val="clear" w:pos="4680"/>
        <w:tab w:val="clear" w:pos="9360"/>
        <w:tab w:val="left" w:pos="357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6382" w14:textId="77777777" w:rsidR="00CB50C7" w:rsidRPr="00AA6838" w:rsidRDefault="00CB50C7" w:rsidP="00AA6838">
    <w:pPr>
      <w:pStyle w:val="Footer"/>
      <w:jc w:val="center"/>
      <w:rPr>
        <w:b/>
      </w:rPr>
    </w:pPr>
    <w:r>
      <w:rPr>
        <w:b/>
      </w:rP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253E" w14:textId="751EE5E6" w:rsidR="00CB50C7" w:rsidRPr="00AA6838" w:rsidRDefault="00CB50C7" w:rsidP="00AA6838">
    <w:pPr>
      <w:pStyle w:val="Footer"/>
      <w:jc w:val="center"/>
      <w:rPr>
        <w:b/>
      </w:rPr>
    </w:pPr>
    <w:r>
      <w:rPr>
        <w:b/>
      </w:rPr>
      <w:t>MORE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1792" w14:textId="77777777" w:rsidR="0065111D" w:rsidRDefault="00CB50C7" w:rsidP="00472920">
    <w:pPr>
      <w:pStyle w:val="Footer"/>
      <w:jc w:val="center"/>
      <w:rPr>
        <w:b/>
      </w:rPr>
    </w:pPr>
    <w:r>
      <w:rPr>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DE183" w14:textId="77777777" w:rsidR="00940B16" w:rsidRDefault="00940B16">
      <w:pPr>
        <w:spacing w:line="240" w:lineRule="auto"/>
      </w:pPr>
      <w:r>
        <w:separator/>
      </w:r>
    </w:p>
  </w:footnote>
  <w:footnote w:type="continuationSeparator" w:id="0">
    <w:p w14:paraId="638D6228" w14:textId="77777777" w:rsidR="00940B16" w:rsidRDefault="00940B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C26DC" w14:textId="77777777" w:rsidR="00CB50C7" w:rsidRDefault="00CB50C7">
    <w:pPr>
      <w:pStyle w:val="Header"/>
    </w:pPr>
    <w:r w:rsidRPr="004F39CB">
      <w:rPr>
        <w:noProof/>
      </w:rPr>
      <w:drawing>
        <wp:inline distT="0" distB="0" distL="0" distR="0" wp14:anchorId="23B439C9" wp14:editId="54199967">
          <wp:extent cx="1892878" cy="501875"/>
          <wp:effectExtent l="19050" t="0" r="0" b="0"/>
          <wp:docPr id="4"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68E75" w14:textId="77777777" w:rsidR="0065111D" w:rsidRPr="00472920" w:rsidRDefault="00A825C2" w:rsidP="00472920">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168A5"/>
    <w:rsid w:val="00066A0E"/>
    <w:rsid w:val="00074941"/>
    <w:rsid w:val="000C32F8"/>
    <w:rsid w:val="00102F8F"/>
    <w:rsid w:val="00144BDE"/>
    <w:rsid w:val="001C77A1"/>
    <w:rsid w:val="00232B3A"/>
    <w:rsid w:val="00252821"/>
    <w:rsid w:val="00295864"/>
    <w:rsid w:val="00353586"/>
    <w:rsid w:val="00356F86"/>
    <w:rsid w:val="00374E61"/>
    <w:rsid w:val="004D494F"/>
    <w:rsid w:val="004D6AAD"/>
    <w:rsid w:val="00500735"/>
    <w:rsid w:val="00512F47"/>
    <w:rsid w:val="005E0FFA"/>
    <w:rsid w:val="005F271E"/>
    <w:rsid w:val="006D72E1"/>
    <w:rsid w:val="006E2F04"/>
    <w:rsid w:val="006F55A0"/>
    <w:rsid w:val="00731D69"/>
    <w:rsid w:val="00780C9F"/>
    <w:rsid w:val="00940B16"/>
    <w:rsid w:val="00A825C2"/>
    <w:rsid w:val="00A956D3"/>
    <w:rsid w:val="00AD7099"/>
    <w:rsid w:val="00B65A5E"/>
    <w:rsid w:val="00B7689F"/>
    <w:rsid w:val="00BC224C"/>
    <w:rsid w:val="00CB50C7"/>
    <w:rsid w:val="00CB5A90"/>
    <w:rsid w:val="00CC408E"/>
    <w:rsid w:val="00D26BFB"/>
    <w:rsid w:val="00D927A0"/>
    <w:rsid w:val="00DA7D4C"/>
    <w:rsid w:val="00E03647"/>
    <w:rsid w:val="00E24506"/>
    <w:rsid w:val="00E50E23"/>
    <w:rsid w:val="00E96748"/>
    <w:rsid w:val="00EE7D9E"/>
    <w:rsid w:val="00F373D0"/>
    <w:rsid w:val="00F37726"/>
    <w:rsid w:val="00F431FE"/>
    <w:rsid w:val="00F701DE"/>
    <w:rsid w:val="00F757F6"/>
    <w:rsid w:val="00F96889"/>
    <w:rsid w:val="00FB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12A69F"/>
  <w15:docId w15:val="{D4707009-2951-4562-BA1C-963BE0F3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ho.int/blueprint/priority-diseases/key-action/novel-coronavirus-landscape-ncov.pdf?ua=1" TargetMode="Externa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Susan Reuland</cp:lastModifiedBy>
  <cp:revision>3</cp:revision>
  <dcterms:created xsi:type="dcterms:W3CDTF">2020-08-10T14:50:00Z</dcterms:created>
  <dcterms:modified xsi:type="dcterms:W3CDTF">2020-08-10T18:45:00Z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47147324v2</vt:lpwstr>
  </property>
</Properties>
</file>