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8D194" w14:textId="65858780" w:rsidR="0087113F" w:rsidRDefault="002B4D33">
      <w:pPr>
        <w:jc w:val="center"/>
        <w:rPr>
          <w:sz w:val="20"/>
          <w:szCs w:val="20"/>
        </w:rPr>
      </w:pPr>
      <w:r>
        <w:rPr>
          <w:b/>
          <w:bCs/>
          <w:noProof/>
          <w:sz w:val="20"/>
          <w:szCs w:val="20"/>
        </w:rPr>
        <mc:AlternateContent>
          <mc:Choice Requires="wps">
            <w:drawing>
              <wp:anchor distT="0" distB="0" distL="114300" distR="114300" simplePos="0" relativeHeight="251659264" behindDoc="0" locked="0" layoutInCell="0" allowOverlap="1" wp14:anchorId="72728F84" wp14:editId="2FF8BE9A">
                <wp:simplePos x="0" y="0"/>
                <wp:positionH relativeFrom="column">
                  <wp:posOffset>0</wp:posOffset>
                </wp:positionH>
                <wp:positionV relativeFrom="page">
                  <wp:posOffset>9601200</wp:posOffset>
                </wp:positionV>
                <wp:extent cx="5943600" cy="274320"/>
                <wp:effectExtent l="0" t="0" r="0" b="11430"/>
                <wp:wrapNone/>
                <wp:docPr id="6" name="SWFootPg99"/>
                <wp:cNvGraphicFramePr/>
                <a:graphic xmlns:a="http://schemas.openxmlformats.org/drawingml/2006/main">
                  <a:graphicData uri="http://schemas.microsoft.com/office/word/2010/wordprocessingShape">
                    <wps:wsp>
                      <wps:cNvSpPr txBox="1"/>
                      <wps:spPr>
                        <a:xfrm>
                          <a:off x="0" y="0"/>
                          <a:ext cx="5943600" cy="2743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85E9B4" w14:textId="05A53389" w:rsidR="0091389D" w:rsidRPr="002B4D33" w:rsidRDefault="0091389D" w:rsidP="002B4D33">
                            <w:pPr>
                              <w:rPr>
                                <w:sz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72728F84" id="_x0000_t202" coordsize="21600,21600" o:spt="202" path="m,l,21600r21600,l21600,xe">
                <v:stroke joinstyle="miter"/>
                <v:path gradientshapeok="t" o:connecttype="rect"/>
              </v:shapetype>
              <v:shape id="SWFootPg99" o:spid="_x0000_s1026" type="#_x0000_t202" style="position:absolute;left:0;text-align:left;margin-left:0;margin-top:756pt;width:468pt;height:21.6pt;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rpFDQIAABwEAAAOAAAAZHJzL2Uyb0RvYy54bWysU11v2yAUfZ+0/4B4X+wkbbZZcaqsVaZJ&#10;UVspnfpMMMSWgMuAxM5+/S7YTqZuT9Ne8DX3+5zD8q7TipyE8w2Ykk4nOSXCcKgacyjp95fNh0+U&#10;+MBMxRQYUdKz8PRu9f7dsrWFmEENqhKOYBHji9aWtA7BFlnmeS008xOwwqBTgtMs4K87ZJVjLVbX&#10;Kpvl+SJrwVXWARfe4+1D76SrVF9KwcOTlF4EokqKs4V0unTu45mtlqw4OGbrhg9jsH+YQrPGYNNL&#10;qQcWGDm65o9SuuEOPMgw4aAzkLLhIu2A20zzN9vsamZF2gXB8fYCk/9/ZfnjaWefHQndF+iQwAhI&#10;a33h8TLu00mn4xcnJehHCM8X2EQXCMfL288380WOLo6+2ceb+Szhml2zrfPhqwBNolFSh7QktNhp&#10;6wN2xNAxJDYzsGmUStQoQ9qSLua3eUq4eDBDGUy8zhqt0O27YYE9VGfcy0FPubd802DzLfPhmTnk&#10;GOdF3YYnPKQCbAKDRUkN7uff7mM8Qo9eSlrUTEn9jyNzghL1zSApUWCj4UZjPxrmqO8BZTjFF2F5&#10;MjHBBTWa0oF+RTmvYxd0McOxV0nDaN6HXrn4HLhYr1MQysiysDU7y2PpCF+E8qV7Zc4OeAdk6hFG&#10;NbHiDex9bA/8+hhANomTCGiP4oAzSjBRNTyXqPHf/1PU9VGvfgEAAP//AwBQSwMEFAAGAAgAAAAh&#10;AEpDSkfdAAAACgEAAA8AAABkcnMvZG93bnJldi54bWxMT01PhDAUvJv4H5pn4s0tYNgoUjbGj5u6&#10;umqit0KfQGxfCS0s/nvfnvQ2b2Yyb6bcLM6KGcfQe1KQrhIQSI03PbUK3l7vzy5AhKjJaOsJFfxg&#10;gE11fFTqwvg9veC8i63gEAqFVtDFOBRShqZDp8PKD0isffnR6cjn2Eoz6j2HOyuzJFlLp3viD50e&#10;8KbD5ns3OQX2I4wPdRI/59v2MT5v5fR+lz4pdXqyXF+BiLjEPzMc6nN1qLhT7ScyQVgFPCQym6cZ&#10;I9Yvz9cM6gOV5xnIqpT/J1S/AAAA//8DAFBLAQItABQABgAIAAAAIQC2gziS/gAAAOEBAAATAAAA&#10;AAAAAAAAAAAAAAAAAABbQ29udGVudF9UeXBlc10ueG1sUEsBAi0AFAAGAAgAAAAhADj9If/WAAAA&#10;lAEAAAsAAAAAAAAAAAAAAAAALwEAAF9yZWxzLy5yZWxzUEsBAi0AFAAGAAgAAAAhAJ2OukUNAgAA&#10;HAQAAA4AAAAAAAAAAAAAAAAALgIAAGRycy9lMm9Eb2MueG1sUEsBAi0AFAAGAAgAAAAhAEpDSkfd&#10;AAAACgEAAA8AAAAAAAAAAAAAAAAAZwQAAGRycy9kb3ducmV2LnhtbFBLBQYAAAAABAAEAPMAAABx&#10;BQAAAAA=&#10;" o:allowincell="f" filled="f" stroked="f" strokeweight=".5pt">
                <v:textbox inset="0,0,0,0">
                  <w:txbxContent>
                    <w:p w14:paraId="5B85E9B4" w14:textId="05A53389" w:rsidR="0091389D" w:rsidRPr="002B4D33" w:rsidRDefault="0091389D" w:rsidP="002B4D33">
                      <w:pPr>
                        <w:rPr>
                          <w:sz w:val="18"/>
                        </w:rPr>
                      </w:pPr>
                    </w:p>
                  </w:txbxContent>
                </v:textbox>
                <w10:wrap anchory="page"/>
              </v:shape>
            </w:pict>
          </mc:Fallback>
        </mc:AlternateContent>
      </w:r>
      <w:r w:rsidR="004837DC">
        <w:rPr>
          <w:b/>
          <w:bCs/>
          <w:sz w:val="20"/>
          <w:szCs w:val="20"/>
        </w:rPr>
        <w:t>As filed with the Securit</w:t>
      </w:r>
      <w:r w:rsidR="004D4D36">
        <w:rPr>
          <w:b/>
          <w:bCs/>
          <w:sz w:val="20"/>
          <w:szCs w:val="20"/>
        </w:rPr>
        <w:t xml:space="preserve">ies and Exchange Commission on </w:t>
      </w:r>
      <w:r w:rsidR="00A07375">
        <w:rPr>
          <w:b/>
          <w:bCs/>
          <w:sz w:val="20"/>
          <w:szCs w:val="20"/>
        </w:rPr>
        <w:t xml:space="preserve">June </w:t>
      </w:r>
      <w:r w:rsidR="00C60409">
        <w:rPr>
          <w:b/>
          <w:bCs/>
          <w:sz w:val="20"/>
          <w:szCs w:val="20"/>
        </w:rPr>
        <w:t>14</w:t>
      </w:r>
      <w:r w:rsidR="004837DC">
        <w:rPr>
          <w:b/>
          <w:bCs/>
          <w:sz w:val="20"/>
          <w:szCs w:val="20"/>
        </w:rPr>
        <w:t>, 2022</w:t>
      </w:r>
    </w:p>
    <w:p w14:paraId="64ACEED5" w14:textId="77777777" w:rsidR="0087113F" w:rsidRDefault="004837DC">
      <w:pPr>
        <w:jc w:val="center"/>
        <w:rPr>
          <w:sz w:val="20"/>
          <w:szCs w:val="20"/>
        </w:rPr>
      </w:pPr>
      <w:r>
        <w:rPr>
          <w:sz w:val="20"/>
          <w:szCs w:val="20"/>
        </w:rPr>
        <w:t> </w:t>
      </w:r>
    </w:p>
    <w:p w14:paraId="595359F0" w14:textId="77777777" w:rsidR="0087113F" w:rsidRDefault="004837DC">
      <w:pPr>
        <w:jc w:val="right"/>
        <w:rPr>
          <w:sz w:val="20"/>
          <w:szCs w:val="20"/>
        </w:rPr>
      </w:pPr>
      <w:r>
        <w:rPr>
          <w:b/>
          <w:bCs/>
          <w:sz w:val="20"/>
          <w:szCs w:val="20"/>
        </w:rPr>
        <w:t>Registration No.</w:t>
      </w:r>
      <w:r w:rsidR="00651FAD">
        <w:rPr>
          <w:b/>
          <w:bCs/>
          <w:sz w:val="20"/>
          <w:szCs w:val="20"/>
        </w:rPr>
        <w:t xml:space="preserve"> 333-</w:t>
      </w:r>
    </w:p>
    <w:p w14:paraId="6DAE2FFD" w14:textId="77777777" w:rsidR="0087113F" w:rsidRDefault="004837DC">
      <w:pPr>
        <w:pBdr>
          <w:top w:val="single" w:sz="32" w:space="0" w:color="000000"/>
          <w:bottom w:val="single" w:sz="12" w:space="0" w:color="000000"/>
        </w:pBdr>
        <w:rPr>
          <w:sz w:val="2"/>
          <w:szCs w:val="2"/>
        </w:rPr>
      </w:pPr>
      <w:r>
        <w:rPr>
          <w:sz w:val="2"/>
          <w:szCs w:val="2"/>
        </w:rPr>
        <w:t> </w:t>
      </w:r>
    </w:p>
    <w:p w14:paraId="4E73FB04" w14:textId="77777777" w:rsidR="0087113F" w:rsidRDefault="004837DC">
      <w:pPr>
        <w:jc w:val="right"/>
        <w:rPr>
          <w:sz w:val="20"/>
          <w:szCs w:val="20"/>
        </w:rPr>
      </w:pPr>
      <w:r>
        <w:rPr>
          <w:sz w:val="20"/>
          <w:szCs w:val="20"/>
        </w:rPr>
        <w:t> </w:t>
      </w:r>
    </w:p>
    <w:p w14:paraId="527196E7" w14:textId="77777777" w:rsidR="0087113F" w:rsidRDefault="004837DC">
      <w:pPr>
        <w:jc w:val="center"/>
        <w:rPr>
          <w:sz w:val="20"/>
          <w:szCs w:val="20"/>
        </w:rPr>
      </w:pPr>
      <w:r>
        <w:rPr>
          <w:b/>
          <w:bCs/>
          <w:sz w:val="36"/>
          <w:szCs w:val="36"/>
        </w:rPr>
        <w:t>UNITED STATES</w:t>
      </w:r>
    </w:p>
    <w:p w14:paraId="6AB6FC93" w14:textId="77777777" w:rsidR="0087113F" w:rsidRDefault="004837DC">
      <w:pPr>
        <w:jc w:val="center"/>
        <w:rPr>
          <w:sz w:val="20"/>
          <w:szCs w:val="20"/>
        </w:rPr>
      </w:pPr>
      <w:r>
        <w:rPr>
          <w:b/>
          <w:bCs/>
          <w:sz w:val="36"/>
          <w:szCs w:val="36"/>
        </w:rPr>
        <w:t>SECURITIES AND EXCHANGE COMMISSION</w:t>
      </w:r>
    </w:p>
    <w:p w14:paraId="09047962" w14:textId="77777777" w:rsidR="0087113F" w:rsidRDefault="004837DC">
      <w:pPr>
        <w:jc w:val="center"/>
        <w:rPr>
          <w:sz w:val="20"/>
          <w:szCs w:val="20"/>
        </w:rPr>
      </w:pPr>
      <w:r>
        <w:rPr>
          <w:b/>
          <w:bCs/>
        </w:rPr>
        <w:t>Washington, D.C. 20549</w:t>
      </w:r>
    </w:p>
    <w:p w14:paraId="0BB1603F" w14:textId="77777777" w:rsidR="0087113F" w:rsidRDefault="004837DC">
      <w:pPr>
        <w:jc w:val="center"/>
        <w:rPr>
          <w:sz w:val="20"/>
          <w:szCs w:val="20"/>
        </w:rPr>
      </w:pPr>
      <w:r>
        <w:rPr>
          <w:sz w:val="20"/>
          <w:szCs w:val="20"/>
        </w:rPr>
        <w:t> </w:t>
      </w:r>
    </w:p>
    <w:p w14:paraId="2EC61AD8" w14:textId="77777777" w:rsidR="0087113F" w:rsidRDefault="004837DC">
      <w:pPr>
        <w:jc w:val="center"/>
        <w:rPr>
          <w:sz w:val="20"/>
          <w:szCs w:val="20"/>
        </w:rPr>
      </w:pPr>
      <w:r>
        <w:rPr>
          <w:b/>
          <w:bCs/>
          <w:sz w:val="36"/>
          <w:szCs w:val="36"/>
        </w:rPr>
        <w:t>FORM S-1</w:t>
      </w:r>
    </w:p>
    <w:p w14:paraId="01008EAA" w14:textId="77777777" w:rsidR="0087113F" w:rsidRDefault="004837DC">
      <w:pPr>
        <w:jc w:val="center"/>
        <w:rPr>
          <w:sz w:val="20"/>
          <w:szCs w:val="20"/>
        </w:rPr>
      </w:pPr>
      <w:r>
        <w:rPr>
          <w:sz w:val="20"/>
          <w:szCs w:val="20"/>
        </w:rPr>
        <w:t> </w:t>
      </w:r>
    </w:p>
    <w:p w14:paraId="0D6DBA19" w14:textId="77777777" w:rsidR="0087113F" w:rsidRDefault="004837DC">
      <w:pPr>
        <w:jc w:val="center"/>
        <w:rPr>
          <w:sz w:val="20"/>
          <w:szCs w:val="20"/>
        </w:rPr>
      </w:pPr>
      <w:r>
        <w:rPr>
          <w:b/>
          <w:bCs/>
          <w:sz w:val="20"/>
          <w:szCs w:val="20"/>
        </w:rPr>
        <w:t>REGISTRATION STATEMENT</w:t>
      </w:r>
    </w:p>
    <w:p w14:paraId="4588F63F" w14:textId="77777777" w:rsidR="0087113F" w:rsidRDefault="004837DC">
      <w:pPr>
        <w:jc w:val="center"/>
        <w:rPr>
          <w:sz w:val="20"/>
          <w:szCs w:val="20"/>
        </w:rPr>
      </w:pPr>
      <w:r>
        <w:rPr>
          <w:i/>
          <w:iCs/>
          <w:sz w:val="20"/>
          <w:szCs w:val="20"/>
        </w:rPr>
        <w:t>UNDER THE SECURITIES ACT OF 1933</w:t>
      </w:r>
    </w:p>
    <w:p w14:paraId="325BB7D3" w14:textId="77777777" w:rsidR="0087113F" w:rsidRDefault="004837DC">
      <w:pPr>
        <w:jc w:val="center"/>
        <w:rPr>
          <w:sz w:val="20"/>
          <w:szCs w:val="20"/>
        </w:rPr>
      </w:pPr>
      <w:r>
        <w:rPr>
          <w:sz w:val="20"/>
          <w:szCs w:val="20"/>
        </w:rPr>
        <w:t> </w:t>
      </w:r>
    </w:p>
    <w:p w14:paraId="03A7EF39" w14:textId="77777777" w:rsidR="0087113F" w:rsidRDefault="004837DC">
      <w:pPr>
        <w:jc w:val="center"/>
        <w:rPr>
          <w:sz w:val="20"/>
          <w:szCs w:val="20"/>
        </w:rPr>
      </w:pPr>
      <w:r>
        <w:rPr>
          <w:b/>
          <w:bCs/>
          <w:sz w:val="36"/>
          <w:szCs w:val="36"/>
        </w:rPr>
        <w:t>GEOVAX LABS, INC.</w:t>
      </w:r>
    </w:p>
    <w:p w14:paraId="5C9121D1" w14:textId="77777777" w:rsidR="0087113F" w:rsidRDefault="004837DC">
      <w:pPr>
        <w:jc w:val="center"/>
        <w:rPr>
          <w:sz w:val="20"/>
          <w:szCs w:val="20"/>
        </w:rPr>
      </w:pPr>
      <w:r>
        <w:rPr>
          <w:sz w:val="20"/>
          <w:szCs w:val="20"/>
        </w:rPr>
        <w:t>(Exact name of registrant as specified in its charter)</w:t>
      </w:r>
    </w:p>
    <w:p w14:paraId="46CB2D09" w14:textId="77777777" w:rsidR="0087113F" w:rsidRDefault="004837DC">
      <w:pPr>
        <w:jc w:val="center"/>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365"/>
        <w:gridCol w:w="70"/>
        <w:gridCol w:w="3272"/>
        <w:gridCol w:w="70"/>
        <w:gridCol w:w="2583"/>
      </w:tblGrid>
      <w:tr w:rsidR="0087113F" w14:paraId="72DA6C69" w14:textId="77777777">
        <w:trPr>
          <w:cantSplit/>
        </w:trPr>
        <w:tc>
          <w:tcPr>
            <w:tcW w:w="0" w:type="auto"/>
            <w:tcMar>
              <w:top w:w="0" w:type="dxa"/>
              <w:left w:w="0" w:type="dxa"/>
              <w:bottom w:w="0" w:type="dxa"/>
              <w:right w:w="0" w:type="dxa"/>
            </w:tcMar>
            <w:hideMark/>
          </w:tcPr>
          <w:p w14:paraId="7B8B9180" w14:textId="77777777" w:rsidR="0087113F" w:rsidRDefault="004837DC">
            <w:pPr>
              <w:jc w:val="center"/>
              <w:rPr>
                <w:color w:val="000000"/>
                <w:sz w:val="20"/>
                <w:szCs w:val="20"/>
              </w:rPr>
            </w:pPr>
            <w:r>
              <w:rPr>
                <w:b/>
                <w:bCs/>
                <w:color w:val="000000"/>
                <w:sz w:val="20"/>
                <w:szCs w:val="20"/>
              </w:rPr>
              <w:t>Delaware</w:t>
            </w:r>
          </w:p>
        </w:tc>
        <w:tc>
          <w:tcPr>
            <w:tcW w:w="0" w:type="auto"/>
            <w:tcMar>
              <w:top w:w="0" w:type="dxa"/>
              <w:left w:w="0" w:type="dxa"/>
              <w:bottom w:w="0" w:type="dxa"/>
              <w:right w:w="0" w:type="dxa"/>
            </w:tcMar>
            <w:hideMark/>
          </w:tcPr>
          <w:p w14:paraId="3459D689" w14:textId="77777777" w:rsidR="0087113F" w:rsidRDefault="004837DC">
            <w:pPr>
              <w:rPr>
                <w:color w:val="000000"/>
                <w:sz w:val="20"/>
                <w:szCs w:val="20"/>
              </w:rPr>
            </w:pPr>
            <w:r>
              <w:rPr>
                <w:color w:val="000000"/>
                <w:sz w:val="20"/>
                <w:szCs w:val="20"/>
              </w:rPr>
              <w:t> </w:t>
            </w:r>
          </w:p>
        </w:tc>
        <w:tc>
          <w:tcPr>
            <w:tcW w:w="0" w:type="auto"/>
            <w:tcMar>
              <w:top w:w="0" w:type="dxa"/>
              <w:left w:w="0" w:type="dxa"/>
              <w:bottom w:w="0" w:type="dxa"/>
              <w:right w:w="0" w:type="dxa"/>
            </w:tcMar>
            <w:hideMark/>
          </w:tcPr>
          <w:p w14:paraId="75880322" w14:textId="77777777" w:rsidR="0087113F" w:rsidRDefault="004837DC">
            <w:pPr>
              <w:jc w:val="center"/>
              <w:rPr>
                <w:color w:val="000000"/>
                <w:sz w:val="20"/>
                <w:szCs w:val="20"/>
              </w:rPr>
            </w:pPr>
            <w:r>
              <w:rPr>
                <w:b/>
                <w:bCs/>
                <w:color w:val="000000"/>
                <w:sz w:val="20"/>
                <w:szCs w:val="20"/>
              </w:rPr>
              <w:t>2834</w:t>
            </w:r>
          </w:p>
        </w:tc>
        <w:tc>
          <w:tcPr>
            <w:tcW w:w="0" w:type="auto"/>
            <w:tcMar>
              <w:top w:w="0" w:type="dxa"/>
              <w:left w:w="0" w:type="dxa"/>
              <w:bottom w:w="0" w:type="dxa"/>
              <w:right w:w="0" w:type="dxa"/>
            </w:tcMar>
            <w:hideMark/>
          </w:tcPr>
          <w:p w14:paraId="7DED267C" w14:textId="77777777" w:rsidR="0087113F" w:rsidRDefault="004837DC">
            <w:pPr>
              <w:rPr>
                <w:color w:val="000000"/>
                <w:sz w:val="20"/>
                <w:szCs w:val="20"/>
              </w:rPr>
            </w:pPr>
            <w:r>
              <w:rPr>
                <w:color w:val="000000"/>
                <w:sz w:val="20"/>
                <w:szCs w:val="20"/>
              </w:rPr>
              <w:t> </w:t>
            </w:r>
          </w:p>
        </w:tc>
        <w:tc>
          <w:tcPr>
            <w:tcW w:w="0" w:type="auto"/>
            <w:tcMar>
              <w:top w:w="0" w:type="dxa"/>
              <w:left w:w="0" w:type="dxa"/>
              <w:bottom w:w="0" w:type="dxa"/>
              <w:right w:w="0" w:type="dxa"/>
            </w:tcMar>
            <w:hideMark/>
          </w:tcPr>
          <w:p w14:paraId="0DEA5C0F" w14:textId="77777777" w:rsidR="0087113F" w:rsidRDefault="004837DC">
            <w:pPr>
              <w:jc w:val="center"/>
              <w:rPr>
                <w:color w:val="000000"/>
                <w:sz w:val="20"/>
                <w:szCs w:val="20"/>
              </w:rPr>
            </w:pPr>
            <w:r>
              <w:rPr>
                <w:b/>
                <w:bCs/>
                <w:color w:val="000000"/>
                <w:sz w:val="20"/>
                <w:szCs w:val="20"/>
              </w:rPr>
              <w:t>87-0455038</w:t>
            </w:r>
          </w:p>
        </w:tc>
      </w:tr>
      <w:tr w:rsidR="0087113F" w14:paraId="42B585E5" w14:textId="77777777">
        <w:trPr>
          <w:cantSplit/>
        </w:trPr>
        <w:tc>
          <w:tcPr>
            <w:tcW w:w="0" w:type="auto"/>
            <w:tcMar>
              <w:top w:w="0" w:type="dxa"/>
              <w:left w:w="0" w:type="dxa"/>
              <w:bottom w:w="0" w:type="dxa"/>
              <w:right w:w="0" w:type="dxa"/>
            </w:tcMar>
            <w:hideMark/>
          </w:tcPr>
          <w:p w14:paraId="407DE47E" w14:textId="77777777" w:rsidR="0087113F" w:rsidRDefault="004837DC">
            <w:pPr>
              <w:jc w:val="center"/>
              <w:rPr>
                <w:color w:val="000000"/>
                <w:sz w:val="20"/>
                <w:szCs w:val="20"/>
              </w:rPr>
            </w:pPr>
            <w:r>
              <w:rPr>
                <w:color w:val="000000"/>
                <w:sz w:val="20"/>
                <w:szCs w:val="20"/>
              </w:rPr>
              <w:t>(State or other jurisdiction of</w:t>
            </w:r>
          </w:p>
          <w:p w14:paraId="38B3826D" w14:textId="77777777" w:rsidR="0087113F" w:rsidRDefault="004837DC">
            <w:pPr>
              <w:jc w:val="center"/>
              <w:rPr>
                <w:color w:val="000000"/>
                <w:sz w:val="20"/>
                <w:szCs w:val="20"/>
              </w:rPr>
            </w:pPr>
            <w:r>
              <w:rPr>
                <w:color w:val="000000"/>
                <w:sz w:val="20"/>
                <w:szCs w:val="20"/>
              </w:rPr>
              <w:t>incorporation or organization)</w:t>
            </w:r>
          </w:p>
        </w:tc>
        <w:tc>
          <w:tcPr>
            <w:tcW w:w="0" w:type="auto"/>
            <w:tcMar>
              <w:top w:w="0" w:type="dxa"/>
              <w:left w:w="0" w:type="dxa"/>
              <w:bottom w:w="0" w:type="dxa"/>
              <w:right w:w="0" w:type="dxa"/>
            </w:tcMar>
            <w:hideMark/>
          </w:tcPr>
          <w:p w14:paraId="599F6278" w14:textId="77777777" w:rsidR="0087113F" w:rsidRDefault="004837DC">
            <w:pPr>
              <w:rPr>
                <w:color w:val="000000"/>
                <w:sz w:val="20"/>
                <w:szCs w:val="20"/>
              </w:rPr>
            </w:pPr>
            <w:r>
              <w:rPr>
                <w:color w:val="000000"/>
                <w:sz w:val="20"/>
                <w:szCs w:val="20"/>
              </w:rPr>
              <w:t> </w:t>
            </w:r>
          </w:p>
        </w:tc>
        <w:tc>
          <w:tcPr>
            <w:tcW w:w="0" w:type="auto"/>
            <w:tcMar>
              <w:top w:w="0" w:type="dxa"/>
              <w:left w:w="0" w:type="dxa"/>
              <w:bottom w:w="0" w:type="dxa"/>
              <w:right w:w="0" w:type="dxa"/>
            </w:tcMar>
            <w:hideMark/>
          </w:tcPr>
          <w:p w14:paraId="52916B63" w14:textId="77777777" w:rsidR="0087113F" w:rsidRDefault="004837DC">
            <w:pPr>
              <w:jc w:val="center"/>
              <w:rPr>
                <w:color w:val="000000"/>
                <w:sz w:val="20"/>
                <w:szCs w:val="20"/>
              </w:rPr>
            </w:pPr>
            <w:r>
              <w:rPr>
                <w:color w:val="000000"/>
                <w:sz w:val="20"/>
                <w:szCs w:val="20"/>
              </w:rPr>
              <w:t>(Primary Standard Industrial</w:t>
            </w:r>
          </w:p>
          <w:p w14:paraId="2FD18DFB" w14:textId="77777777" w:rsidR="0087113F" w:rsidRDefault="004837DC">
            <w:pPr>
              <w:jc w:val="center"/>
              <w:rPr>
                <w:color w:val="000000"/>
                <w:sz w:val="20"/>
                <w:szCs w:val="20"/>
              </w:rPr>
            </w:pPr>
            <w:r>
              <w:rPr>
                <w:color w:val="000000"/>
                <w:sz w:val="20"/>
                <w:szCs w:val="20"/>
              </w:rPr>
              <w:t>Classification Code Number)</w:t>
            </w:r>
          </w:p>
        </w:tc>
        <w:tc>
          <w:tcPr>
            <w:tcW w:w="0" w:type="auto"/>
            <w:tcMar>
              <w:top w:w="0" w:type="dxa"/>
              <w:left w:w="0" w:type="dxa"/>
              <w:bottom w:w="0" w:type="dxa"/>
              <w:right w:w="0" w:type="dxa"/>
            </w:tcMar>
            <w:hideMark/>
          </w:tcPr>
          <w:p w14:paraId="1540A7EF" w14:textId="77777777" w:rsidR="0087113F" w:rsidRDefault="004837DC">
            <w:pPr>
              <w:rPr>
                <w:color w:val="000000"/>
                <w:sz w:val="20"/>
                <w:szCs w:val="20"/>
              </w:rPr>
            </w:pPr>
            <w:r>
              <w:rPr>
                <w:color w:val="000000"/>
                <w:sz w:val="20"/>
                <w:szCs w:val="20"/>
              </w:rPr>
              <w:t> </w:t>
            </w:r>
          </w:p>
        </w:tc>
        <w:tc>
          <w:tcPr>
            <w:tcW w:w="0" w:type="auto"/>
            <w:tcMar>
              <w:top w:w="0" w:type="dxa"/>
              <w:left w:w="0" w:type="dxa"/>
              <w:bottom w:w="0" w:type="dxa"/>
              <w:right w:w="0" w:type="dxa"/>
            </w:tcMar>
            <w:hideMark/>
          </w:tcPr>
          <w:p w14:paraId="6C7735D1" w14:textId="77777777" w:rsidR="0087113F" w:rsidRDefault="004837DC">
            <w:pPr>
              <w:jc w:val="center"/>
              <w:rPr>
                <w:color w:val="000000"/>
                <w:sz w:val="20"/>
                <w:szCs w:val="20"/>
              </w:rPr>
            </w:pPr>
            <w:r>
              <w:rPr>
                <w:color w:val="000000"/>
                <w:sz w:val="20"/>
                <w:szCs w:val="20"/>
              </w:rPr>
              <w:t>(I.R.S. Employer</w:t>
            </w:r>
          </w:p>
          <w:p w14:paraId="34588365" w14:textId="77777777" w:rsidR="0087113F" w:rsidRDefault="004837DC">
            <w:pPr>
              <w:jc w:val="center"/>
              <w:rPr>
                <w:color w:val="000000"/>
                <w:sz w:val="20"/>
                <w:szCs w:val="20"/>
              </w:rPr>
            </w:pPr>
            <w:r>
              <w:rPr>
                <w:color w:val="000000"/>
                <w:sz w:val="20"/>
                <w:szCs w:val="20"/>
              </w:rPr>
              <w:t>Identification Number)</w:t>
            </w:r>
          </w:p>
        </w:tc>
      </w:tr>
    </w:tbl>
    <w:p w14:paraId="48DE719D" w14:textId="77777777" w:rsidR="0087113F" w:rsidRDefault="004837DC">
      <w:pPr>
        <w:jc w:val="center"/>
        <w:rPr>
          <w:sz w:val="20"/>
          <w:szCs w:val="20"/>
        </w:rPr>
      </w:pPr>
      <w:r>
        <w:rPr>
          <w:b/>
          <w:bCs/>
          <w:sz w:val="20"/>
          <w:szCs w:val="20"/>
        </w:rPr>
        <w:t> </w:t>
      </w:r>
    </w:p>
    <w:p w14:paraId="18B9828F" w14:textId="77777777" w:rsidR="0087113F" w:rsidRDefault="004837DC">
      <w:pPr>
        <w:jc w:val="center"/>
        <w:rPr>
          <w:sz w:val="20"/>
          <w:szCs w:val="20"/>
        </w:rPr>
      </w:pPr>
      <w:r>
        <w:rPr>
          <w:b/>
          <w:bCs/>
          <w:sz w:val="20"/>
          <w:szCs w:val="20"/>
        </w:rPr>
        <w:t>1900 Lake Park Drive, Suite 380, Smyrna, Georgia 30080</w:t>
      </w:r>
    </w:p>
    <w:p w14:paraId="1FD2585B" w14:textId="77777777" w:rsidR="0087113F" w:rsidRDefault="004837DC">
      <w:pPr>
        <w:jc w:val="center"/>
        <w:rPr>
          <w:sz w:val="20"/>
          <w:szCs w:val="20"/>
        </w:rPr>
      </w:pPr>
      <w:r>
        <w:rPr>
          <w:b/>
          <w:bCs/>
          <w:sz w:val="20"/>
          <w:szCs w:val="20"/>
        </w:rPr>
        <w:t>Tel: (678) 384-7220</w:t>
      </w:r>
    </w:p>
    <w:p w14:paraId="63945B92" w14:textId="77777777" w:rsidR="0087113F" w:rsidRDefault="004837DC">
      <w:pPr>
        <w:jc w:val="center"/>
        <w:rPr>
          <w:sz w:val="20"/>
          <w:szCs w:val="20"/>
        </w:rPr>
      </w:pPr>
      <w:r>
        <w:rPr>
          <w:sz w:val="20"/>
          <w:szCs w:val="20"/>
        </w:rPr>
        <w:t>(Address, including zip code, and telephone number, including area code, of registrant’s principal executive offices)</w:t>
      </w:r>
    </w:p>
    <w:p w14:paraId="4D89D8F0" w14:textId="77777777" w:rsidR="0087113F" w:rsidRDefault="004837DC">
      <w:pPr>
        <w:jc w:val="center"/>
        <w:rPr>
          <w:sz w:val="20"/>
          <w:szCs w:val="20"/>
        </w:rPr>
      </w:pPr>
      <w:r>
        <w:rPr>
          <w:sz w:val="20"/>
          <w:szCs w:val="20"/>
        </w:rPr>
        <w:t> </w:t>
      </w:r>
    </w:p>
    <w:p w14:paraId="3C54546B" w14:textId="77777777" w:rsidR="0087113F" w:rsidRDefault="004837DC">
      <w:pPr>
        <w:jc w:val="center"/>
        <w:rPr>
          <w:b/>
          <w:bCs/>
          <w:sz w:val="20"/>
          <w:szCs w:val="20"/>
        </w:rPr>
      </w:pPr>
      <w:r>
        <w:rPr>
          <w:b/>
          <w:bCs/>
          <w:sz w:val="20"/>
          <w:szCs w:val="20"/>
        </w:rPr>
        <w:t>David A. Dodd</w:t>
      </w:r>
    </w:p>
    <w:p w14:paraId="0A374F90" w14:textId="77777777" w:rsidR="004837DC" w:rsidRDefault="004837DC">
      <w:pPr>
        <w:jc w:val="center"/>
        <w:rPr>
          <w:b/>
          <w:bCs/>
          <w:sz w:val="20"/>
          <w:szCs w:val="20"/>
        </w:rPr>
      </w:pPr>
      <w:r>
        <w:rPr>
          <w:b/>
          <w:bCs/>
          <w:sz w:val="20"/>
          <w:szCs w:val="20"/>
        </w:rPr>
        <w:t>President &amp; Chief Executive Officer</w:t>
      </w:r>
    </w:p>
    <w:p w14:paraId="06F3EDC1" w14:textId="77777777" w:rsidR="004837DC" w:rsidRDefault="004837DC">
      <w:pPr>
        <w:jc w:val="center"/>
        <w:rPr>
          <w:b/>
          <w:bCs/>
          <w:sz w:val="20"/>
          <w:szCs w:val="20"/>
        </w:rPr>
      </w:pPr>
      <w:proofErr w:type="spellStart"/>
      <w:r>
        <w:rPr>
          <w:b/>
          <w:bCs/>
          <w:sz w:val="20"/>
          <w:szCs w:val="20"/>
        </w:rPr>
        <w:t>GeoVax</w:t>
      </w:r>
      <w:proofErr w:type="spellEnd"/>
      <w:r>
        <w:rPr>
          <w:b/>
          <w:bCs/>
          <w:sz w:val="20"/>
          <w:szCs w:val="20"/>
        </w:rPr>
        <w:t xml:space="preserve"> Labs, Inc.</w:t>
      </w:r>
    </w:p>
    <w:p w14:paraId="56F4BF8E" w14:textId="77777777" w:rsidR="004837DC" w:rsidRDefault="004837DC">
      <w:pPr>
        <w:jc w:val="center"/>
        <w:rPr>
          <w:b/>
          <w:bCs/>
          <w:sz w:val="20"/>
          <w:szCs w:val="20"/>
        </w:rPr>
      </w:pPr>
      <w:r>
        <w:rPr>
          <w:b/>
          <w:bCs/>
          <w:sz w:val="20"/>
          <w:szCs w:val="20"/>
        </w:rPr>
        <w:t>1900 Lake Park Drive, Suite 380</w:t>
      </w:r>
    </w:p>
    <w:p w14:paraId="06659E81" w14:textId="77777777" w:rsidR="004837DC" w:rsidRDefault="004837DC">
      <w:pPr>
        <w:jc w:val="center"/>
        <w:rPr>
          <w:sz w:val="20"/>
          <w:szCs w:val="20"/>
        </w:rPr>
      </w:pPr>
      <w:r>
        <w:rPr>
          <w:b/>
          <w:bCs/>
          <w:sz w:val="20"/>
          <w:szCs w:val="20"/>
        </w:rPr>
        <w:t>Smyrna, Georgia 30080</w:t>
      </w:r>
    </w:p>
    <w:p w14:paraId="037E6E45" w14:textId="77777777" w:rsidR="0087113F" w:rsidRDefault="004837DC">
      <w:pPr>
        <w:jc w:val="center"/>
        <w:rPr>
          <w:sz w:val="20"/>
          <w:szCs w:val="20"/>
        </w:rPr>
      </w:pPr>
      <w:r>
        <w:rPr>
          <w:b/>
          <w:bCs/>
          <w:sz w:val="20"/>
          <w:szCs w:val="20"/>
        </w:rPr>
        <w:t>Tel: (678) 384-7220</w:t>
      </w:r>
    </w:p>
    <w:p w14:paraId="2458F169" w14:textId="77777777" w:rsidR="0087113F" w:rsidRDefault="004837DC">
      <w:pPr>
        <w:jc w:val="center"/>
        <w:rPr>
          <w:sz w:val="20"/>
          <w:szCs w:val="20"/>
        </w:rPr>
      </w:pPr>
      <w:r>
        <w:rPr>
          <w:sz w:val="20"/>
          <w:szCs w:val="20"/>
        </w:rPr>
        <w:t xml:space="preserve"> (Name, address, including zip code, and telephone number, including area code, of agent for service)</w:t>
      </w:r>
    </w:p>
    <w:p w14:paraId="0332004C" w14:textId="77777777" w:rsidR="0087113F" w:rsidRDefault="004837DC">
      <w:pPr>
        <w:jc w:val="center"/>
        <w:rPr>
          <w:sz w:val="20"/>
          <w:szCs w:val="20"/>
        </w:rPr>
      </w:pPr>
      <w:r>
        <w:rPr>
          <w:sz w:val="20"/>
          <w:szCs w:val="20"/>
        </w:rPr>
        <w:t> </w:t>
      </w:r>
    </w:p>
    <w:p w14:paraId="30420B19" w14:textId="77777777" w:rsidR="0087113F" w:rsidRDefault="004837DC">
      <w:pPr>
        <w:jc w:val="center"/>
        <w:rPr>
          <w:sz w:val="20"/>
          <w:szCs w:val="20"/>
        </w:rPr>
      </w:pPr>
      <w:r>
        <w:rPr>
          <w:b/>
          <w:bCs/>
          <w:i/>
          <w:iCs/>
          <w:sz w:val="20"/>
          <w:szCs w:val="20"/>
        </w:rPr>
        <w:t>Copies to:</w:t>
      </w:r>
    </w:p>
    <w:p w14:paraId="70B08D5B" w14:textId="77777777" w:rsidR="0087113F" w:rsidRDefault="004837DC">
      <w:pPr>
        <w:jc w:val="center"/>
        <w:rPr>
          <w:sz w:val="20"/>
          <w:szCs w:val="20"/>
        </w:rPr>
      </w:pPr>
      <w:r>
        <w:rPr>
          <w:b/>
          <w:bCs/>
          <w:sz w:val="20"/>
          <w:szCs w:val="20"/>
        </w:rPr>
        <w:t>F. Reid Avett, Esq.</w:t>
      </w:r>
    </w:p>
    <w:p w14:paraId="402BD3A5" w14:textId="77777777" w:rsidR="0087113F" w:rsidRDefault="004837DC">
      <w:pPr>
        <w:jc w:val="center"/>
        <w:rPr>
          <w:sz w:val="20"/>
          <w:szCs w:val="20"/>
        </w:rPr>
      </w:pPr>
      <w:r>
        <w:rPr>
          <w:b/>
          <w:bCs/>
          <w:sz w:val="20"/>
          <w:szCs w:val="20"/>
        </w:rPr>
        <w:t>Womble Bond Dickinson (US) LLP</w:t>
      </w:r>
    </w:p>
    <w:p w14:paraId="6C6336E2" w14:textId="77777777" w:rsidR="0087113F" w:rsidRDefault="001B321E">
      <w:pPr>
        <w:jc w:val="center"/>
        <w:rPr>
          <w:sz w:val="20"/>
          <w:szCs w:val="20"/>
        </w:rPr>
      </w:pPr>
      <w:r>
        <w:rPr>
          <w:b/>
          <w:bCs/>
          <w:sz w:val="20"/>
          <w:szCs w:val="20"/>
        </w:rPr>
        <w:t>2001 K Street, NW, Suite 400 South</w:t>
      </w:r>
      <w:r w:rsidR="004837DC">
        <w:rPr>
          <w:b/>
          <w:bCs/>
          <w:sz w:val="20"/>
          <w:szCs w:val="20"/>
        </w:rPr>
        <w:br/>
      </w:r>
      <w:r>
        <w:rPr>
          <w:b/>
          <w:bCs/>
          <w:sz w:val="20"/>
          <w:szCs w:val="20"/>
        </w:rPr>
        <w:t>Washington, D.C. 20006</w:t>
      </w:r>
    </w:p>
    <w:p w14:paraId="353D630E" w14:textId="77777777" w:rsidR="0087113F" w:rsidRDefault="004837DC">
      <w:pPr>
        <w:jc w:val="center"/>
        <w:rPr>
          <w:sz w:val="20"/>
          <w:szCs w:val="20"/>
        </w:rPr>
      </w:pPr>
      <w:r>
        <w:rPr>
          <w:b/>
          <w:bCs/>
          <w:sz w:val="20"/>
          <w:szCs w:val="20"/>
        </w:rPr>
        <w:t>Tel: (202) 857-4425</w:t>
      </w:r>
    </w:p>
    <w:p w14:paraId="0F0DD9BE" w14:textId="77777777" w:rsidR="0087113F" w:rsidRDefault="004837DC">
      <w:pPr>
        <w:jc w:val="center"/>
        <w:rPr>
          <w:sz w:val="20"/>
          <w:szCs w:val="20"/>
        </w:rPr>
      </w:pPr>
      <w:r>
        <w:rPr>
          <w:sz w:val="20"/>
          <w:szCs w:val="20"/>
        </w:rPr>
        <w:t> </w:t>
      </w:r>
    </w:p>
    <w:p w14:paraId="216716B5" w14:textId="77777777" w:rsidR="0087113F" w:rsidRDefault="004837DC">
      <w:pPr>
        <w:jc w:val="both"/>
        <w:rPr>
          <w:sz w:val="20"/>
          <w:szCs w:val="20"/>
        </w:rPr>
      </w:pPr>
      <w:r>
        <w:rPr>
          <w:b/>
          <w:bCs/>
          <w:sz w:val="20"/>
          <w:szCs w:val="20"/>
        </w:rPr>
        <w:t>Approximate date of commencement of proposed sale to the public</w:t>
      </w:r>
      <w:r>
        <w:rPr>
          <w:sz w:val="20"/>
          <w:szCs w:val="20"/>
        </w:rPr>
        <w:t>: As soon as practicable after this registration statement is declared effective.</w:t>
      </w:r>
    </w:p>
    <w:p w14:paraId="0ADED894" w14:textId="77777777" w:rsidR="0087113F" w:rsidRDefault="004837DC">
      <w:pPr>
        <w:jc w:val="both"/>
        <w:rPr>
          <w:sz w:val="20"/>
          <w:szCs w:val="20"/>
        </w:rPr>
      </w:pPr>
      <w:r>
        <w:rPr>
          <w:sz w:val="20"/>
          <w:szCs w:val="20"/>
        </w:rPr>
        <w:t> </w:t>
      </w:r>
    </w:p>
    <w:p w14:paraId="2227496F" w14:textId="77777777" w:rsidR="0087113F" w:rsidRDefault="004837DC">
      <w:pPr>
        <w:jc w:val="both"/>
        <w:rPr>
          <w:sz w:val="20"/>
          <w:szCs w:val="20"/>
        </w:rPr>
      </w:pPr>
      <w:r>
        <w:rPr>
          <w:sz w:val="20"/>
          <w:szCs w:val="20"/>
        </w:rPr>
        <w:t xml:space="preserve">If any of the securities being registered on this Form are to be offered on a delayed or continuous basis pursuant to Rule 415 under the Securities Act of 1933 check the following box: </w:t>
      </w:r>
      <w:r>
        <w:rPr>
          <w:rFonts w:ascii="Segoe UI Symbol" w:eastAsia="Segoe UI Symbol" w:hAnsi="Segoe UI Symbol" w:cs="Segoe UI Symbol"/>
          <w:sz w:val="20"/>
          <w:szCs w:val="20"/>
        </w:rPr>
        <w:t>☒</w:t>
      </w:r>
    </w:p>
    <w:p w14:paraId="5838EC7B" w14:textId="77777777" w:rsidR="0087113F" w:rsidRDefault="004837DC">
      <w:pPr>
        <w:jc w:val="both"/>
        <w:rPr>
          <w:sz w:val="20"/>
          <w:szCs w:val="20"/>
        </w:rPr>
      </w:pPr>
      <w:r>
        <w:rPr>
          <w:sz w:val="20"/>
          <w:szCs w:val="20"/>
        </w:rPr>
        <w:t> </w:t>
      </w:r>
    </w:p>
    <w:p w14:paraId="1AD51DA0" w14:textId="77777777" w:rsidR="0087113F" w:rsidRDefault="004837DC">
      <w:pPr>
        <w:jc w:val="both"/>
        <w:rPr>
          <w:sz w:val="20"/>
          <w:szCs w:val="20"/>
        </w:rPr>
      </w:pPr>
      <w:r>
        <w:rPr>
          <w:sz w:val="20"/>
          <w:szCs w:val="20"/>
        </w:rPr>
        <w:t xml:space="preserve">If this Form is filed to register additional securities for an offering pursuant to Rule 462(b) under the Securities Act, please check the following box and list the Securities Act registration statement number of the earlier effective registration statement for the same offering. </w:t>
      </w:r>
      <w:r>
        <w:rPr>
          <w:rFonts w:ascii="Segoe UI Symbol" w:eastAsia="Segoe UI Symbol" w:hAnsi="Segoe UI Symbol" w:cs="Segoe UI Symbol"/>
          <w:sz w:val="20"/>
          <w:szCs w:val="20"/>
        </w:rPr>
        <w:t>☐</w:t>
      </w:r>
    </w:p>
    <w:p w14:paraId="7CDE4F06" w14:textId="77777777" w:rsidR="0087113F" w:rsidRDefault="004837DC">
      <w:pPr>
        <w:jc w:val="both"/>
        <w:rPr>
          <w:sz w:val="20"/>
          <w:szCs w:val="20"/>
        </w:rPr>
      </w:pPr>
      <w:r>
        <w:rPr>
          <w:sz w:val="20"/>
          <w:szCs w:val="20"/>
        </w:rPr>
        <w:t> </w:t>
      </w:r>
    </w:p>
    <w:p w14:paraId="778A9974" w14:textId="77777777" w:rsidR="0087113F" w:rsidRDefault="004837DC">
      <w:pPr>
        <w:jc w:val="both"/>
        <w:rPr>
          <w:sz w:val="20"/>
          <w:szCs w:val="20"/>
        </w:rPr>
      </w:pPr>
      <w:r>
        <w:rPr>
          <w:sz w:val="20"/>
          <w:szCs w:val="20"/>
        </w:rPr>
        <w:lastRenderedPageBreak/>
        <w:t xml:space="preserve">If this Form is a post-effective amendment filed pursuant to Rule 462(c) under the Securities Act, check the following box and list the Securities Act registration statement number of the earlier effective registration statement for the same offering. </w:t>
      </w:r>
      <w:r>
        <w:rPr>
          <w:rFonts w:ascii="Segoe UI Symbol" w:eastAsia="Segoe UI Symbol" w:hAnsi="Segoe UI Symbol" w:cs="Segoe UI Symbol"/>
          <w:sz w:val="20"/>
          <w:szCs w:val="20"/>
        </w:rPr>
        <w:t>☐</w:t>
      </w:r>
    </w:p>
    <w:p w14:paraId="1B2DF626" w14:textId="77777777" w:rsidR="0087113F" w:rsidRDefault="004837DC">
      <w:pPr>
        <w:jc w:val="both"/>
        <w:rPr>
          <w:sz w:val="20"/>
          <w:szCs w:val="20"/>
        </w:rPr>
      </w:pPr>
      <w:r>
        <w:rPr>
          <w:sz w:val="20"/>
          <w:szCs w:val="20"/>
        </w:rPr>
        <w:t> </w:t>
      </w:r>
    </w:p>
    <w:p w14:paraId="4D48BEC9" w14:textId="77777777" w:rsidR="0087113F" w:rsidRDefault="004837DC">
      <w:pPr>
        <w:jc w:val="both"/>
        <w:rPr>
          <w:sz w:val="20"/>
          <w:szCs w:val="20"/>
        </w:rPr>
      </w:pPr>
      <w:r>
        <w:rPr>
          <w:sz w:val="20"/>
          <w:szCs w:val="20"/>
        </w:rPr>
        <w:t xml:space="preserve">If this Form is a post-effective amendment filed pursuant to Rule 462(d) under the Securities Act, check the following box and list the Securities Act registration statement number of the earlier effective registration statement for the same offering. </w:t>
      </w:r>
      <w:r>
        <w:rPr>
          <w:rFonts w:ascii="Segoe UI Symbol" w:eastAsia="Segoe UI Symbol" w:hAnsi="Segoe UI Symbol" w:cs="Segoe UI Symbol"/>
          <w:sz w:val="20"/>
          <w:szCs w:val="20"/>
        </w:rPr>
        <w:t>☐</w:t>
      </w:r>
    </w:p>
    <w:p w14:paraId="7ACBFA96" w14:textId="77777777" w:rsidR="0087113F" w:rsidRDefault="004837DC">
      <w:pPr>
        <w:jc w:val="both"/>
        <w:rPr>
          <w:sz w:val="20"/>
          <w:szCs w:val="20"/>
        </w:rPr>
      </w:pPr>
      <w:r>
        <w:rPr>
          <w:sz w:val="20"/>
          <w:szCs w:val="20"/>
        </w:rPr>
        <w:t> </w:t>
      </w:r>
    </w:p>
    <w:p w14:paraId="7E5936F6" w14:textId="77777777" w:rsidR="0087113F" w:rsidRDefault="004837DC">
      <w:pPr>
        <w:jc w:val="both"/>
        <w:rPr>
          <w:sz w:val="20"/>
          <w:szCs w:val="20"/>
        </w:rPr>
      </w:pPr>
      <w:r>
        <w:rPr>
          <w:sz w:val="20"/>
          <w:szCs w:val="20"/>
        </w:rPr>
        <w:t>Indicate by check mark whether the registrant is a large accelerated filer, an accelerated filer, a non-accelerated filer, smaller reporting company, or an emerging growth company. See the definitions of “large accelerated filer,” “accelerated filer,” “smaller reporting company,” and “emerging growth company” in Rule 12b-2 of the Exchange Act.</w:t>
      </w:r>
    </w:p>
    <w:p w14:paraId="3F9E7FEA" w14:textId="77777777" w:rsidR="0087113F" w:rsidRDefault="004837DC">
      <w:pPr>
        <w:jc w:val="both"/>
        <w:rPr>
          <w:sz w:val="20"/>
          <w:szCs w:val="20"/>
        </w:rPr>
      </w:pPr>
      <w:r>
        <w:rPr>
          <w:sz w:val="20"/>
          <w:szCs w:val="20"/>
        </w:rPr>
        <w:t> </w:t>
      </w:r>
    </w:p>
    <w:tbl>
      <w:tblPr>
        <w:tblW w:w="5000" w:type="pct"/>
        <w:tblCellMar>
          <w:left w:w="0" w:type="dxa"/>
          <w:right w:w="0" w:type="dxa"/>
        </w:tblCellMar>
        <w:tblLook w:val="04A0" w:firstRow="1" w:lastRow="0" w:firstColumn="1" w:lastColumn="0" w:noHBand="0" w:noVBand="1"/>
      </w:tblPr>
      <w:tblGrid>
        <w:gridCol w:w="3884"/>
        <w:gridCol w:w="374"/>
        <w:gridCol w:w="4728"/>
        <w:gridCol w:w="374"/>
      </w:tblGrid>
      <w:tr w:rsidR="0087113F" w14:paraId="22DB931D" w14:textId="77777777">
        <w:trPr>
          <w:cantSplit/>
        </w:trPr>
        <w:tc>
          <w:tcPr>
            <w:tcW w:w="0" w:type="auto"/>
            <w:tcMar>
              <w:top w:w="0" w:type="dxa"/>
              <w:left w:w="0" w:type="dxa"/>
              <w:bottom w:w="0" w:type="dxa"/>
              <w:right w:w="0" w:type="dxa"/>
            </w:tcMar>
            <w:vAlign w:val="center"/>
            <w:hideMark/>
          </w:tcPr>
          <w:p w14:paraId="3E9E1A49" w14:textId="77777777" w:rsidR="0087113F" w:rsidRDefault="004837DC">
            <w:pPr>
              <w:rPr>
                <w:color w:val="000000"/>
                <w:sz w:val="20"/>
                <w:szCs w:val="20"/>
              </w:rPr>
            </w:pPr>
            <w:r>
              <w:rPr>
                <w:color w:val="000000"/>
                <w:sz w:val="20"/>
                <w:szCs w:val="20"/>
              </w:rPr>
              <w:t>Large accelerated filer</w:t>
            </w:r>
          </w:p>
        </w:tc>
        <w:tc>
          <w:tcPr>
            <w:tcW w:w="0" w:type="auto"/>
            <w:tcMar>
              <w:top w:w="0" w:type="dxa"/>
              <w:left w:w="0" w:type="dxa"/>
              <w:bottom w:w="0" w:type="dxa"/>
              <w:right w:w="0" w:type="dxa"/>
            </w:tcMar>
            <w:vAlign w:val="center"/>
            <w:hideMark/>
          </w:tcPr>
          <w:p w14:paraId="52633A09" w14:textId="77777777" w:rsidR="0087113F" w:rsidRDefault="004837DC">
            <w:pPr>
              <w:rPr>
                <w:color w:val="000000"/>
                <w:sz w:val="20"/>
                <w:szCs w:val="20"/>
              </w:rPr>
            </w:pPr>
            <w:r>
              <w:rPr>
                <w:rFonts w:ascii="Segoe UI Symbol" w:eastAsia="Segoe UI Symbol" w:hAnsi="Segoe UI Symbol" w:cs="Segoe UI Symbol"/>
                <w:color w:val="000000"/>
                <w:sz w:val="20"/>
                <w:szCs w:val="20"/>
              </w:rPr>
              <w:t>☐</w:t>
            </w:r>
          </w:p>
        </w:tc>
        <w:tc>
          <w:tcPr>
            <w:tcW w:w="0" w:type="auto"/>
            <w:tcMar>
              <w:top w:w="0" w:type="dxa"/>
              <w:left w:w="0" w:type="dxa"/>
              <w:bottom w:w="0" w:type="dxa"/>
              <w:right w:w="0" w:type="dxa"/>
            </w:tcMar>
            <w:vAlign w:val="center"/>
            <w:hideMark/>
          </w:tcPr>
          <w:p w14:paraId="43B64B1A" w14:textId="77777777" w:rsidR="0087113F" w:rsidRDefault="004837DC">
            <w:pPr>
              <w:rPr>
                <w:color w:val="000000"/>
                <w:sz w:val="20"/>
                <w:szCs w:val="20"/>
              </w:rPr>
            </w:pPr>
            <w:r>
              <w:rPr>
                <w:color w:val="000000"/>
                <w:sz w:val="20"/>
                <w:szCs w:val="20"/>
              </w:rPr>
              <w:t>Accelerated filer</w:t>
            </w:r>
          </w:p>
        </w:tc>
        <w:tc>
          <w:tcPr>
            <w:tcW w:w="0" w:type="auto"/>
            <w:tcMar>
              <w:top w:w="0" w:type="dxa"/>
              <w:left w:w="0" w:type="dxa"/>
              <w:bottom w:w="0" w:type="dxa"/>
              <w:right w:w="0" w:type="dxa"/>
            </w:tcMar>
            <w:vAlign w:val="center"/>
            <w:hideMark/>
          </w:tcPr>
          <w:p w14:paraId="436C0A7F" w14:textId="77777777" w:rsidR="0087113F" w:rsidRDefault="004837DC">
            <w:pPr>
              <w:rPr>
                <w:color w:val="000000"/>
                <w:sz w:val="20"/>
                <w:szCs w:val="20"/>
              </w:rPr>
            </w:pPr>
            <w:r>
              <w:rPr>
                <w:rFonts w:ascii="Segoe UI Symbol" w:eastAsia="Segoe UI Symbol" w:hAnsi="Segoe UI Symbol" w:cs="Segoe UI Symbol"/>
                <w:color w:val="000000"/>
                <w:sz w:val="20"/>
                <w:szCs w:val="20"/>
              </w:rPr>
              <w:t>☐</w:t>
            </w:r>
          </w:p>
        </w:tc>
      </w:tr>
      <w:tr w:rsidR="0087113F" w14:paraId="261D868E" w14:textId="77777777">
        <w:trPr>
          <w:cantSplit/>
        </w:trPr>
        <w:tc>
          <w:tcPr>
            <w:tcW w:w="0" w:type="auto"/>
            <w:tcMar>
              <w:top w:w="0" w:type="dxa"/>
              <w:left w:w="0" w:type="dxa"/>
              <w:bottom w:w="0" w:type="dxa"/>
              <w:right w:w="0" w:type="dxa"/>
            </w:tcMar>
            <w:vAlign w:val="center"/>
            <w:hideMark/>
          </w:tcPr>
          <w:p w14:paraId="5CA7855E" w14:textId="77777777" w:rsidR="0087113F" w:rsidRDefault="004837DC">
            <w:pPr>
              <w:rPr>
                <w:color w:val="000000"/>
                <w:sz w:val="20"/>
                <w:szCs w:val="20"/>
              </w:rPr>
            </w:pPr>
            <w:r>
              <w:rPr>
                <w:color w:val="000000"/>
                <w:sz w:val="20"/>
                <w:szCs w:val="20"/>
              </w:rPr>
              <w:t>Non-accelerated filer</w:t>
            </w:r>
          </w:p>
        </w:tc>
        <w:tc>
          <w:tcPr>
            <w:tcW w:w="0" w:type="auto"/>
            <w:tcMar>
              <w:top w:w="0" w:type="dxa"/>
              <w:left w:w="0" w:type="dxa"/>
              <w:bottom w:w="0" w:type="dxa"/>
              <w:right w:w="0" w:type="dxa"/>
            </w:tcMar>
            <w:vAlign w:val="center"/>
            <w:hideMark/>
          </w:tcPr>
          <w:p w14:paraId="21B44C14" w14:textId="77777777" w:rsidR="0087113F" w:rsidRDefault="004837DC">
            <w:pPr>
              <w:rPr>
                <w:color w:val="000000"/>
                <w:sz w:val="20"/>
                <w:szCs w:val="20"/>
              </w:rPr>
            </w:pPr>
            <w:r>
              <w:rPr>
                <w:rFonts w:ascii="Segoe UI Symbol" w:eastAsia="Segoe UI Symbol" w:hAnsi="Segoe UI Symbol" w:cs="Segoe UI Symbol"/>
                <w:color w:val="000000"/>
                <w:sz w:val="20"/>
                <w:szCs w:val="20"/>
              </w:rPr>
              <w:t>☒</w:t>
            </w:r>
          </w:p>
        </w:tc>
        <w:tc>
          <w:tcPr>
            <w:tcW w:w="0" w:type="auto"/>
            <w:tcMar>
              <w:top w:w="0" w:type="dxa"/>
              <w:left w:w="0" w:type="dxa"/>
              <w:bottom w:w="0" w:type="dxa"/>
              <w:right w:w="0" w:type="dxa"/>
            </w:tcMar>
            <w:vAlign w:val="center"/>
            <w:hideMark/>
          </w:tcPr>
          <w:p w14:paraId="1CD76872" w14:textId="77777777" w:rsidR="0087113F" w:rsidRDefault="004837DC">
            <w:pPr>
              <w:rPr>
                <w:color w:val="000000"/>
                <w:sz w:val="20"/>
                <w:szCs w:val="20"/>
              </w:rPr>
            </w:pPr>
            <w:r>
              <w:rPr>
                <w:color w:val="000000"/>
                <w:sz w:val="20"/>
                <w:szCs w:val="20"/>
              </w:rPr>
              <w:t>Smaller reporting company</w:t>
            </w:r>
          </w:p>
        </w:tc>
        <w:tc>
          <w:tcPr>
            <w:tcW w:w="0" w:type="auto"/>
            <w:tcMar>
              <w:top w:w="0" w:type="dxa"/>
              <w:left w:w="0" w:type="dxa"/>
              <w:bottom w:w="0" w:type="dxa"/>
              <w:right w:w="0" w:type="dxa"/>
            </w:tcMar>
            <w:hideMark/>
          </w:tcPr>
          <w:p w14:paraId="0ECE9457" w14:textId="77777777" w:rsidR="0087113F" w:rsidRDefault="004837DC">
            <w:pPr>
              <w:rPr>
                <w:color w:val="000000"/>
                <w:sz w:val="20"/>
                <w:szCs w:val="20"/>
              </w:rPr>
            </w:pPr>
            <w:r>
              <w:rPr>
                <w:rFonts w:ascii="Segoe UI Symbol" w:eastAsia="Segoe UI Symbol" w:hAnsi="Segoe UI Symbol" w:cs="Segoe UI Symbol"/>
                <w:color w:val="000000"/>
                <w:sz w:val="20"/>
                <w:szCs w:val="20"/>
              </w:rPr>
              <w:t>☒</w:t>
            </w:r>
          </w:p>
        </w:tc>
      </w:tr>
      <w:tr w:rsidR="0087113F" w14:paraId="07E6F59F" w14:textId="77777777">
        <w:trPr>
          <w:cantSplit/>
        </w:trPr>
        <w:tc>
          <w:tcPr>
            <w:tcW w:w="0" w:type="auto"/>
            <w:tcMar>
              <w:top w:w="0" w:type="dxa"/>
              <w:left w:w="0" w:type="dxa"/>
              <w:bottom w:w="0" w:type="dxa"/>
              <w:right w:w="0" w:type="dxa"/>
            </w:tcMar>
            <w:hideMark/>
          </w:tcPr>
          <w:p w14:paraId="55BFAADC" w14:textId="77777777" w:rsidR="0087113F" w:rsidRDefault="004837DC">
            <w:pPr>
              <w:rPr>
                <w:color w:val="000000"/>
                <w:sz w:val="20"/>
                <w:szCs w:val="20"/>
              </w:rPr>
            </w:pPr>
            <w:r>
              <w:rPr>
                <w:color w:val="000000"/>
                <w:sz w:val="20"/>
                <w:szCs w:val="20"/>
              </w:rPr>
              <w:t> </w:t>
            </w:r>
          </w:p>
        </w:tc>
        <w:tc>
          <w:tcPr>
            <w:tcW w:w="0" w:type="auto"/>
            <w:tcMar>
              <w:top w:w="0" w:type="dxa"/>
              <w:left w:w="0" w:type="dxa"/>
              <w:bottom w:w="0" w:type="dxa"/>
              <w:right w:w="0" w:type="dxa"/>
            </w:tcMar>
            <w:hideMark/>
          </w:tcPr>
          <w:p w14:paraId="350A9962" w14:textId="77777777" w:rsidR="0087113F" w:rsidRDefault="004837DC">
            <w:pPr>
              <w:rPr>
                <w:color w:val="000000"/>
                <w:sz w:val="20"/>
                <w:szCs w:val="20"/>
              </w:rPr>
            </w:pPr>
            <w:r>
              <w:rPr>
                <w:color w:val="000000"/>
                <w:sz w:val="20"/>
                <w:szCs w:val="20"/>
              </w:rPr>
              <w:t> </w:t>
            </w:r>
          </w:p>
        </w:tc>
        <w:tc>
          <w:tcPr>
            <w:tcW w:w="0" w:type="auto"/>
            <w:tcMar>
              <w:top w:w="0" w:type="dxa"/>
              <w:left w:w="0" w:type="dxa"/>
              <w:bottom w:w="0" w:type="dxa"/>
              <w:right w:w="0" w:type="dxa"/>
            </w:tcMar>
            <w:hideMark/>
          </w:tcPr>
          <w:p w14:paraId="72AB07CF" w14:textId="77777777" w:rsidR="0087113F" w:rsidRDefault="004837DC">
            <w:pPr>
              <w:rPr>
                <w:color w:val="000000"/>
                <w:sz w:val="20"/>
                <w:szCs w:val="20"/>
              </w:rPr>
            </w:pPr>
            <w:r>
              <w:rPr>
                <w:color w:val="000000"/>
                <w:sz w:val="20"/>
                <w:szCs w:val="20"/>
              </w:rPr>
              <w:t>Emerging growth company</w:t>
            </w:r>
          </w:p>
        </w:tc>
        <w:tc>
          <w:tcPr>
            <w:tcW w:w="0" w:type="auto"/>
            <w:tcMar>
              <w:top w:w="0" w:type="dxa"/>
              <w:left w:w="0" w:type="dxa"/>
              <w:bottom w:w="0" w:type="dxa"/>
              <w:right w:w="0" w:type="dxa"/>
            </w:tcMar>
            <w:hideMark/>
          </w:tcPr>
          <w:p w14:paraId="26578DC8" w14:textId="77777777" w:rsidR="0087113F" w:rsidRDefault="004837DC">
            <w:pPr>
              <w:rPr>
                <w:color w:val="000000"/>
                <w:sz w:val="20"/>
                <w:szCs w:val="20"/>
              </w:rPr>
            </w:pPr>
            <w:r>
              <w:rPr>
                <w:rFonts w:ascii="Segoe UI Symbol" w:eastAsia="Segoe UI Symbol" w:hAnsi="Segoe UI Symbol" w:cs="Segoe UI Symbol"/>
                <w:color w:val="000000"/>
                <w:sz w:val="20"/>
                <w:szCs w:val="20"/>
              </w:rPr>
              <w:t>☐</w:t>
            </w:r>
          </w:p>
        </w:tc>
      </w:tr>
    </w:tbl>
    <w:p w14:paraId="42697E92" w14:textId="77777777" w:rsidR="0087113F" w:rsidRDefault="004837DC">
      <w:pPr>
        <w:jc w:val="both"/>
        <w:rPr>
          <w:sz w:val="20"/>
          <w:szCs w:val="20"/>
        </w:rPr>
      </w:pPr>
      <w:r>
        <w:rPr>
          <w:sz w:val="20"/>
          <w:szCs w:val="20"/>
        </w:rPr>
        <w:t> </w:t>
      </w:r>
    </w:p>
    <w:p w14:paraId="64298E83" w14:textId="77777777" w:rsidR="0087113F" w:rsidRDefault="004837DC">
      <w:pPr>
        <w:jc w:val="both"/>
        <w:rPr>
          <w:sz w:val="20"/>
          <w:szCs w:val="20"/>
        </w:rPr>
      </w:pPr>
      <w:r>
        <w:rPr>
          <w:sz w:val="20"/>
          <w:szCs w:val="20"/>
        </w:rPr>
        <w:t xml:space="preserve">If an emerging growth company, indicate by check mark if the registrant has elected not to use the extended transition period for complying with any new or revised financial accounting standards provided pursuant to Section 7(a)(2)(B) of the Securities Act. </w:t>
      </w:r>
      <w:r>
        <w:rPr>
          <w:rFonts w:ascii="Segoe UI Symbol" w:eastAsia="Segoe UI Symbol" w:hAnsi="Segoe UI Symbol" w:cs="Segoe UI Symbol"/>
          <w:sz w:val="20"/>
          <w:szCs w:val="20"/>
        </w:rPr>
        <w:t>☐</w:t>
      </w:r>
    </w:p>
    <w:p w14:paraId="294D31E0" w14:textId="77777777" w:rsidR="0087113F" w:rsidRDefault="004837DC">
      <w:pPr>
        <w:jc w:val="both"/>
        <w:rPr>
          <w:sz w:val="20"/>
          <w:szCs w:val="20"/>
        </w:rPr>
      </w:pPr>
      <w:r>
        <w:rPr>
          <w:sz w:val="20"/>
          <w:szCs w:val="20"/>
        </w:rPr>
        <w:t>  </w:t>
      </w:r>
    </w:p>
    <w:p w14:paraId="117F22A3" w14:textId="77777777" w:rsidR="0087113F" w:rsidRDefault="004837DC">
      <w:pPr>
        <w:jc w:val="center"/>
        <w:rPr>
          <w:sz w:val="20"/>
          <w:szCs w:val="20"/>
        </w:rPr>
      </w:pPr>
      <w:r>
        <w:rPr>
          <w:b/>
          <w:bCs/>
          <w:sz w:val="20"/>
          <w:szCs w:val="20"/>
        </w:rPr>
        <w:t>CALCULATION OF REGISTRATION FEE</w:t>
      </w:r>
    </w:p>
    <w:p w14:paraId="55608CE6" w14:textId="6353F525" w:rsidR="0087113F" w:rsidRDefault="0087113F">
      <w:pPr>
        <w:jc w:val="center"/>
        <w:rPr>
          <w:sz w:val="20"/>
          <w:szCs w:val="20"/>
        </w:rPr>
      </w:pPr>
    </w:p>
    <w:tbl>
      <w:tblPr>
        <w:tblW w:w="5000" w:type="pct"/>
        <w:tblCellMar>
          <w:left w:w="0" w:type="dxa"/>
          <w:right w:w="0" w:type="dxa"/>
        </w:tblCellMar>
        <w:tblLook w:val="04A0" w:firstRow="1" w:lastRow="0" w:firstColumn="1" w:lastColumn="0" w:noHBand="0" w:noVBand="1"/>
      </w:tblPr>
      <w:tblGrid>
        <w:gridCol w:w="2277"/>
        <w:gridCol w:w="50"/>
        <w:gridCol w:w="70"/>
        <w:gridCol w:w="1263"/>
        <w:gridCol w:w="70"/>
        <w:gridCol w:w="50"/>
        <w:gridCol w:w="516"/>
        <w:gridCol w:w="1807"/>
        <w:gridCol w:w="259"/>
        <w:gridCol w:w="50"/>
        <w:gridCol w:w="106"/>
        <w:gridCol w:w="1218"/>
        <w:gridCol w:w="53"/>
        <w:gridCol w:w="50"/>
        <w:gridCol w:w="179"/>
        <w:gridCol w:w="1253"/>
        <w:gridCol w:w="89"/>
      </w:tblGrid>
      <w:tr w:rsidR="0087113F" w:rsidRPr="00D804D2" w14:paraId="2539981C" w14:textId="77777777" w:rsidTr="00D804D2">
        <w:trPr>
          <w:cantSplit/>
        </w:trPr>
        <w:tc>
          <w:tcPr>
            <w:tcW w:w="0" w:type="auto"/>
            <w:tcBorders>
              <w:bottom w:val="single" w:sz="12" w:space="0" w:color="000000"/>
            </w:tcBorders>
            <w:shd w:val="clear" w:color="auto" w:fill="auto"/>
            <w:tcMar>
              <w:top w:w="0" w:type="dxa"/>
              <w:left w:w="0" w:type="dxa"/>
              <w:bottom w:w="0" w:type="dxa"/>
              <w:right w:w="0" w:type="dxa"/>
            </w:tcMar>
            <w:vAlign w:val="bottom"/>
            <w:hideMark/>
          </w:tcPr>
          <w:p w14:paraId="740A2A8B" w14:textId="77777777" w:rsidR="0087113F" w:rsidRPr="00D804D2" w:rsidRDefault="004837DC">
            <w:pPr>
              <w:jc w:val="center"/>
              <w:rPr>
                <w:color w:val="000000"/>
                <w:sz w:val="20"/>
                <w:szCs w:val="20"/>
              </w:rPr>
            </w:pPr>
            <w:r w:rsidRPr="00D804D2">
              <w:rPr>
                <w:b/>
                <w:bCs/>
                <w:color w:val="000000"/>
                <w:sz w:val="20"/>
                <w:szCs w:val="20"/>
              </w:rPr>
              <w:t xml:space="preserve">Title of Each Class of </w:t>
            </w:r>
          </w:p>
          <w:p w14:paraId="450F1247" w14:textId="77777777" w:rsidR="0087113F" w:rsidRPr="00D804D2" w:rsidRDefault="004837DC">
            <w:pPr>
              <w:jc w:val="center"/>
              <w:rPr>
                <w:color w:val="000000"/>
                <w:sz w:val="20"/>
                <w:szCs w:val="20"/>
              </w:rPr>
            </w:pPr>
            <w:r w:rsidRPr="00D804D2">
              <w:rPr>
                <w:b/>
                <w:bCs/>
                <w:color w:val="000000"/>
                <w:sz w:val="20"/>
                <w:szCs w:val="20"/>
              </w:rPr>
              <w:t>Security Being Registered</w:t>
            </w:r>
          </w:p>
        </w:tc>
        <w:tc>
          <w:tcPr>
            <w:tcW w:w="0" w:type="auto"/>
            <w:shd w:val="clear" w:color="auto" w:fill="auto"/>
            <w:tcMar>
              <w:top w:w="0" w:type="dxa"/>
              <w:left w:w="0" w:type="dxa"/>
              <w:bottom w:w="35" w:type="dxa"/>
              <w:right w:w="0" w:type="dxa"/>
            </w:tcMar>
            <w:vAlign w:val="bottom"/>
            <w:hideMark/>
          </w:tcPr>
          <w:p w14:paraId="6E3D0A54" w14:textId="77777777" w:rsidR="0087113F" w:rsidRPr="00D804D2" w:rsidRDefault="004837DC">
            <w:pPr>
              <w:rPr>
                <w:color w:val="000000"/>
                <w:sz w:val="20"/>
                <w:szCs w:val="20"/>
              </w:rPr>
            </w:pPr>
            <w:r w:rsidRPr="00D804D2">
              <w:rPr>
                <w:color w:val="000000"/>
                <w:sz w:val="20"/>
                <w:szCs w:val="20"/>
              </w:rPr>
              <w:t> </w:t>
            </w:r>
          </w:p>
        </w:tc>
        <w:tc>
          <w:tcPr>
            <w:tcW w:w="0" w:type="auto"/>
            <w:gridSpan w:val="3"/>
            <w:tcBorders>
              <w:bottom w:val="single" w:sz="12" w:space="0" w:color="000000"/>
            </w:tcBorders>
            <w:shd w:val="clear" w:color="auto" w:fill="auto"/>
            <w:tcMar>
              <w:top w:w="0" w:type="dxa"/>
              <w:left w:w="0" w:type="dxa"/>
              <w:bottom w:w="0" w:type="dxa"/>
              <w:right w:w="0" w:type="dxa"/>
            </w:tcMar>
            <w:vAlign w:val="bottom"/>
            <w:hideMark/>
          </w:tcPr>
          <w:p w14:paraId="36C21EDE" w14:textId="77777777" w:rsidR="0087113F" w:rsidRPr="00D804D2" w:rsidRDefault="004837DC">
            <w:pPr>
              <w:jc w:val="center"/>
              <w:rPr>
                <w:color w:val="000000"/>
                <w:sz w:val="20"/>
                <w:szCs w:val="20"/>
              </w:rPr>
            </w:pPr>
            <w:r w:rsidRPr="00D804D2">
              <w:rPr>
                <w:b/>
                <w:bCs/>
                <w:color w:val="000000"/>
                <w:sz w:val="20"/>
                <w:szCs w:val="20"/>
              </w:rPr>
              <w:t xml:space="preserve">Amount </w:t>
            </w:r>
          </w:p>
          <w:p w14:paraId="50270948" w14:textId="77777777" w:rsidR="0087113F" w:rsidRPr="00D804D2" w:rsidRDefault="004837DC">
            <w:pPr>
              <w:jc w:val="center"/>
              <w:rPr>
                <w:color w:val="000000"/>
                <w:sz w:val="20"/>
                <w:szCs w:val="20"/>
              </w:rPr>
            </w:pPr>
            <w:r w:rsidRPr="00D804D2">
              <w:rPr>
                <w:b/>
                <w:bCs/>
                <w:color w:val="000000"/>
                <w:sz w:val="20"/>
                <w:szCs w:val="20"/>
              </w:rPr>
              <w:t>Being Registered(1)</w:t>
            </w:r>
          </w:p>
        </w:tc>
        <w:tc>
          <w:tcPr>
            <w:tcW w:w="0" w:type="auto"/>
            <w:shd w:val="clear" w:color="auto" w:fill="auto"/>
            <w:tcMar>
              <w:top w:w="0" w:type="dxa"/>
              <w:left w:w="0" w:type="dxa"/>
              <w:bottom w:w="35" w:type="dxa"/>
              <w:right w:w="0" w:type="dxa"/>
            </w:tcMar>
            <w:vAlign w:val="bottom"/>
            <w:hideMark/>
          </w:tcPr>
          <w:p w14:paraId="049BF8CF" w14:textId="77777777" w:rsidR="0087113F" w:rsidRPr="00D804D2" w:rsidRDefault="004837DC">
            <w:pPr>
              <w:rPr>
                <w:b/>
                <w:bCs/>
                <w:color w:val="000000"/>
                <w:sz w:val="20"/>
                <w:szCs w:val="20"/>
              </w:rPr>
            </w:pPr>
            <w:r w:rsidRPr="00D804D2">
              <w:rPr>
                <w:b/>
                <w:bCs/>
                <w:color w:val="000000"/>
                <w:sz w:val="20"/>
                <w:szCs w:val="20"/>
              </w:rPr>
              <w:t> </w:t>
            </w:r>
          </w:p>
        </w:tc>
        <w:tc>
          <w:tcPr>
            <w:tcW w:w="0" w:type="auto"/>
            <w:gridSpan w:val="3"/>
            <w:tcBorders>
              <w:bottom w:val="single" w:sz="12" w:space="0" w:color="000000"/>
            </w:tcBorders>
            <w:shd w:val="clear" w:color="auto" w:fill="auto"/>
            <w:tcMar>
              <w:top w:w="0" w:type="dxa"/>
              <w:left w:w="0" w:type="dxa"/>
              <w:bottom w:w="0" w:type="dxa"/>
              <w:right w:w="0" w:type="dxa"/>
            </w:tcMar>
            <w:vAlign w:val="bottom"/>
            <w:hideMark/>
          </w:tcPr>
          <w:p w14:paraId="6EA4D505" w14:textId="77777777" w:rsidR="0087113F" w:rsidRPr="00D804D2" w:rsidRDefault="004837DC">
            <w:pPr>
              <w:jc w:val="center"/>
              <w:rPr>
                <w:b/>
                <w:bCs/>
                <w:color w:val="000000"/>
                <w:sz w:val="20"/>
                <w:szCs w:val="20"/>
              </w:rPr>
            </w:pPr>
            <w:r w:rsidRPr="00D804D2">
              <w:rPr>
                <w:b/>
                <w:bCs/>
                <w:color w:val="000000"/>
                <w:sz w:val="20"/>
                <w:szCs w:val="20"/>
              </w:rPr>
              <w:t>Proposed Maximum Offering Price per Security(2)</w:t>
            </w:r>
          </w:p>
        </w:tc>
        <w:tc>
          <w:tcPr>
            <w:tcW w:w="0" w:type="auto"/>
            <w:shd w:val="clear" w:color="auto" w:fill="auto"/>
            <w:tcMar>
              <w:top w:w="0" w:type="dxa"/>
              <w:left w:w="0" w:type="dxa"/>
              <w:bottom w:w="35" w:type="dxa"/>
              <w:right w:w="0" w:type="dxa"/>
            </w:tcMar>
            <w:vAlign w:val="bottom"/>
            <w:hideMark/>
          </w:tcPr>
          <w:p w14:paraId="448D0705" w14:textId="77777777" w:rsidR="0087113F" w:rsidRPr="00D804D2" w:rsidRDefault="004837DC">
            <w:pPr>
              <w:rPr>
                <w:color w:val="000000"/>
                <w:sz w:val="20"/>
                <w:szCs w:val="20"/>
              </w:rPr>
            </w:pPr>
            <w:r w:rsidRPr="00D804D2">
              <w:rPr>
                <w:color w:val="000000"/>
                <w:sz w:val="20"/>
                <w:szCs w:val="20"/>
              </w:rPr>
              <w:t> </w:t>
            </w:r>
          </w:p>
        </w:tc>
        <w:tc>
          <w:tcPr>
            <w:tcW w:w="0" w:type="auto"/>
            <w:gridSpan w:val="3"/>
            <w:tcBorders>
              <w:bottom w:val="single" w:sz="12" w:space="0" w:color="000000"/>
            </w:tcBorders>
            <w:shd w:val="clear" w:color="auto" w:fill="auto"/>
            <w:tcMar>
              <w:top w:w="0" w:type="dxa"/>
              <w:left w:w="0" w:type="dxa"/>
              <w:bottom w:w="0" w:type="dxa"/>
              <w:right w:w="0" w:type="dxa"/>
            </w:tcMar>
            <w:vAlign w:val="bottom"/>
            <w:hideMark/>
          </w:tcPr>
          <w:p w14:paraId="71531B5D" w14:textId="77777777" w:rsidR="0087113F" w:rsidRPr="00D804D2" w:rsidRDefault="004837DC">
            <w:pPr>
              <w:jc w:val="center"/>
              <w:rPr>
                <w:color w:val="000000"/>
                <w:sz w:val="20"/>
                <w:szCs w:val="20"/>
              </w:rPr>
            </w:pPr>
            <w:r w:rsidRPr="00D804D2">
              <w:rPr>
                <w:b/>
                <w:bCs/>
                <w:color w:val="000000"/>
                <w:sz w:val="20"/>
                <w:szCs w:val="20"/>
              </w:rPr>
              <w:t xml:space="preserve">Proposed </w:t>
            </w:r>
          </w:p>
          <w:p w14:paraId="1C4DA2BE" w14:textId="77777777" w:rsidR="0087113F" w:rsidRPr="00D804D2" w:rsidRDefault="004837DC">
            <w:pPr>
              <w:jc w:val="center"/>
              <w:rPr>
                <w:color w:val="000000"/>
                <w:sz w:val="20"/>
                <w:szCs w:val="20"/>
              </w:rPr>
            </w:pPr>
            <w:r w:rsidRPr="00D804D2">
              <w:rPr>
                <w:b/>
                <w:bCs/>
                <w:color w:val="000000"/>
                <w:sz w:val="20"/>
                <w:szCs w:val="20"/>
              </w:rPr>
              <w:t xml:space="preserve">Maximum </w:t>
            </w:r>
          </w:p>
          <w:p w14:paraId="6969127C" w14:textId="77777777" w:rsidR="0087113F" w:rsidRPr="00D804D2" w:rsidRDefault="004837DC">
            <w:pPr>
              <w:jc w:val="center"/>
              <w:rPr>
                <w:color w:val="000000"/>
                <w:sz w:val="20"/>
                <w:szCs w:val="20"/>
              </w:rPr>
            </w:pPr>
            <w:r w:rsidRPr="00D804D2">
              <w:rPr>
                <w:b/>
                <w:bCs/>
                <w:color w:val="000000"/>
                <w:sz w:val="20"/>
                <w:szCs w:val="20"/>
              </w:rPr>
              <w:t xml:space="preserve">Aggregate </w:t>
            </w:r>
          </w:p>
          <w:p w14:paraId="7EF7197A" w14:textId="77777777" w:rsidR="0087113F" w:rsidRPr="00D804D2" w:rsidRDefault="004837DC">
            <w:pPr>
              <w:jc w:val="center"/>
              <w:rPr>
                <w:color w:val="000000"/>
                <w:sz w:val="20"/>
                <w:szCs w:val="20"/>
              </w:rPr>
            </w:pPr>
            <w:r w:rsidRPr="00D804D2">
              <w:rPr>
                <w:b/>
                <w:bCs/>
                <w:color w:val="000000"/>
                <w:sz w:val="20"/>
                <w:szCs w:val="20"/>
              </w:rPr>
              <w:t>Offering Price(2)</w:t>
            </w:r>
          </w:p>
        </w:tc>
        <w:tc>
          <w:tcPr>
            <w:tcW w:w="0" w:type="auto"/>
            <w:shd w:val="clear" w:color="auto" w:fill="auto"/>
            <w:tcMar>
              <w:top w:w="0" w:type="dxa"/>
              <w:left w:w="0" w:type="dxa"/>
              <w:bottom w:w="35" w:type="dxa"/>
              <w:right w:w="0" w:type="dxa"/>
            </w:tcMar>
            <w:vAlign w:val="bottom"/>
            <w:hideMark/>
          </w:tcPr>
          <w:p w14:paraId="689955E1" w14:textId="77777777" w:rsidR="0087113F" w:rsidRPr="00D804D2" w:rsidRDefault="004837DC">
            <w:pPr>
              <w:rPr>
                <w:b/>
                <w:bCs/>
                <w:color w:val="000000"/>
                <w:sz w:val="20"/>
                <w:szCs w:val="20"/>
              </w:rPr>
            </w:pPr>
            <w:r w:rsidRPr="00D804D2">
              <w:rPr>
                <w:b/>
                <w:bCs/>
                <w:color w:val="000000"/>
                <w:sz w:val="20"/>
                <w:szCs w:val="20"/>
              </w:rPr>
              <w:t> </w:t>
            </w:r>
          </w:p>
        </w:tc>
        <w:tc>
          <w:tcPr>
            <w:tcW w:w="0" w:type="auto"/>
            <w:gridSpan w:val="3"/>
            <w:tcBorders>
              <w:bottom w:val="single" w:sz="12" w:space="0" w:color="000000"/>
            </w:tcBorders>
            <w:shd w:val="clear" w:color="auto" w:fill="auto"/>
            <w:tcMar>
              <w:top w:w="0" w:type="dxa"/>
              <w:left w:w="0" w:type="dxa"/>
              <w:bottom w:w="0" w:type="dxa"/>
              <w:right w:w="0" w:type="dxa"/>
            </w:tcMar>
            <w:vAlign w:val="bottom"/>
            <w:hideMark/>
          </w:tcPr>
          <w:p w14:paraId="5D807C9E" w14:textId="77777777" w:rsidR="0087113F" w:rsidRPr="00D804D2" w:rsidRDefault="001E55D3">
            <w:pPr>
              <w:jc w:val="center"/>
              <w:rPr>
                <w:b/>
                <w:bCs/>
                <w:color w:val="000000"/>
                <w:sz w:val="20"/>
                <w:szCs w:val="20"/>
              </w:rPr>
            </w:pPr>
            <w:r>
              <w:rPr>
                <w:b/>
                <w:bCs/>
                <w:color w:val="000000"/>
                <w:sz w:val="20"/>
                <w:szCs w:val="20"/>
              </w:rPr>
              <w:t xml:space="preserve">Amount of Registration </w:t>
            </w:r>
            <w:r>
              <w:rPr>
                <w:b/>
                <w:bCs/>
                <w:color w:val="000000"/>
                <w:sz w:val="20"/>
                <w:szCs w:val="20"/>
              </w:rPr>
              <w:br/>
              <w:t>Fee</w:t>
            </w:r>
          </w:p>
        </w:tc>
      </w:tr>
      <w:tr w:rsidR="00691BDC" w:rsidRPr="00D804D2" w14:paraId="01DB372B" w14:textId="77777777" w:rsidTr="00D804D2">
        <w:trPr>
          <w:cantSplit/>
        </w:trPr>
        <w:tc>
          <w:tcPr>
            <w:tcW w:w="0" w:type="auto"/>
            <w:shd w:val="clear" w:color="auto" w:fill="auto"/>
            <w:tcMar>
              <w:top w:w="0" w:type="dxa"/>
              <w:left w:w="0" w:type="dxa"/>
              <w:bottom w:w="0" w:type="dxa"/>
              <w:right w:w="0" w:type="dxa"/>
            </w:tcMar>
            <w:vAlign w:val="bottom"/>
            <w:hideMark/>
          </w:tcPr>
          <w:p w14:paraId="2D8D346D" w14:textId="77777777" w:rsidR="0087113F" w:rsidRPr="00D804D2" w:rsidRDefault="00D804D2">
            <w:pPr>
              <w:rPr>
                <w:color w:val="000000"/>
                <w:sz w:val="20"/>
                <w:szCs w:val="20"/>
              </w:rPr>
            </w:pPr>
            <w:r w:rsidRPr="00D804D2">
              <w:rPr>
                <w:color w:val="000000"/>
                <w:sz w:val="20"/>
                <w:szCs w:val="20"/>
              </w:rPr>
              <w:t>Common Stock, $0.0</w:t>
            </w:r>
            <w:r w:rsidR="004837DC" w:rsidRPr="00D804D2">
              <w:rPr>
                <w:color w:val="000000"/>
                <w:sz w:val="20"/>
                <w:szCs w:val="20"/>
              </w:rPr>
              <w:t>01 par value per share (3)</w:t>
            </w:r>
          </w:p>
        </w:tc>
        <w:tc>
          <w:tcPr>
            <w:tcW w:w="0" w:type="auto"/>
            <w:shd w:val="clear" w:color="auto" w:fill="auto"/>
            <w:tcMar>
              <w:top w:w="0" w:type="dxa"/>
              <w:left w:w="0" w:type="dxa"/>
              <w:bottom w:w="0" w:type="dxa"/>
              <w:right w:w="0" w:type="dxa"/>
            </w:tcMar>
            <w:vAlign w:val="bottom"/>
            <w:hideMark/>
          </w:tcPr>
          <w:p w14:paraId="1D2113AA" w14:textId="77777777" w:rsidR="0087113F" w:rsidRPr="00D804D2" w:rsidRDefault="004837DC">
            <w:pPr>
              <w:rPr>
                <w:color w:val="000000"/>
                <w:sz w:val="20"/>
                <w:szCs w:val="20"/>
              </w:rPr>
            </w:pPr>
            <w:r w:rsidRPr="00D804D2">
              <w:rPr>
                <w:color w:val="000000"/>
                <w:sz w:val="20"/>
                <w:szCs w:val="20"/>
              </w:rPr>
              <w:t> </w:t>
            </w:r>
          </w:p>
        </w:tc>
        <w:tc>
          <w:tcPr>
            <w:tcW w:w="0" w:type="auto"/>
            <w:shd w:val="clear" w:color="auto" w:fill="auto"/>
            <w:tcMar>
              <w:top w:w="0" w:type="dxa"/>
              <w:left w:w="0" w:type="dxa"/>
              <w:bottom w:w="0" w:type="dxa"/>
              <w:right w:w="0" w:type="dxa"/>
            </w:tcMar>
            <w:vAlign w:val="bottom"/>
            <w:hideMark/>
          </w:tcPr>
          <w:p w14:paraId="18FC20F9" w14:textId="77777777" w:rsidR="0087113F" w:rsidRPr="00D804D2" w:rsidRDefault="004837DC">
            <w:pPr>
              <w:rPr>
                <w:color w:val="000000"/>
                <w:sz w:val="20"/>
                <w:szCs w:val="20"/>
              </w:rPr>
            </w:pPr>
            <w:r w:rsidRPr="00D804D2">
              <w:rPr>
                <w:color w:val="000000"/>
                <w:sz w:val="20"/>
                <w:szCs w:val="20"/>
              </w:rPr>
              <w:t> </w:t>
            </w:r>
          </w:p>
        </w:tc>
        <w:tc>
          <w:tcPr>
            <w:tcW w:w="0" w:type="auto"/>
            <w:shd w:val="clear" w:color="auto" w:fill="auto"/>
            <w:tcMar>
              <w:top w:w="0" w:type="dxa"/>
              <w:left w:w="0" w:type="dxa"/>
              <w:bottom w:w="0" w:type="dxa"/>
              <w:right w:w="0" w:type="dxa"/>
            </w:tcMar>
            <w:vAlign w:val="bottom"/>
            <w:hideMark/>
          </w:tcPr>
          <w:p w14:paraId="1B89BD7C" w14:textId="7263E892" w:rsidR="0087113F" w:rsidRPr="00D804D2" w:rsidRDefault="0091389D">
            <w:pPr>
              <w:jc w:val="right"/>
              <w:rPr>
                <w:color w:val="000000"/>
                <w:sz w:val="20"/>
                <w:szCs w:val="20"/>
              </w:rPr>
            </w:pPr>
            <w:r>
              <w:rPr>
                <w:color w:val="000000"/>
                <w:sz w:val="20"/>
                <w:szCs w:val="20"/>
              </w:rPr>
              <w:t>21,4</w:t>
            </w:r>
            <w:r w:rsidR="0091119A">
              <w:rPr>
                <w:color w:val="000000"/>
                <w:sz w:val="20"/>
                <w:szCs w:val="20"/>
              </w:rPr>
              <w:t>12,124</w:t>
            </w:r>
          </w:p>
        </w:tc>
        <w:tc>
          <w:tcPr>
            <w:tcW w:w="0" w:type="auto"/>
            <w:shd w:val="clear" w:color="auto" w:fill="auto"/>
            <w:tcMar>
              <w:top w:w="0" w:type="dxa"/>
              <w:left w:w="0" w:type="dxa"/>
              <w:bottom w:w="0" w:type="dxa"/>
              <w:right w:w="0" w:type="dxa"/>
            </w:tcMar>
            <w:vAlign w:val="bottom"/>
            <w:hideMark/>
          </w:tcPr>
          <w:p w14:paraId="0E370D66" w14:textId="77777777" w:rsidR="0087113F" w:rsidRPr="00D804D2" w:rsidRDefault="004837DC">
            <w:pPr>
              <w:rPr>
                <w:color w:val="000000"/>
                <w:sz w:val="20"/>
                <w:szCs w:val="20"/>
              </w:rPr>
            </w:pPr>
            <w:r w:rsidRPr="00D804D2">
              <w:rPr>
                <w:color w:val="000000"/>
                <w:sz w:val="20"/>
                <w:szCs w:val="20"/>
              </w:rPr>
              <w:t> </w:t>
            </w:r>
          </w:p>
        </w:tc>
        <w:tc>
          <w:tcPr>
            <w:tcW w:w="0" w:type="auto"/>
            <w:shd w:val="clear" w:color="auto" w:fill="auto"/>
            <w:tcMar>
              <w:top w:w="0" w:type="dxa"/>
              <w:left w:w="0" w:type="dxa"/>
              <w:bottom w:w="0" w:type="dxa"/>
              <w:right w:w="0" w:type="dxa"/>
            </w:tcMar>
            <w:vAlign w:val="bottom"/>
            <w:hideMark/>
          </w:tcPr>
          <w:p w14:paraId="7109C33D" w14:textId="77777777" w:rsidR="0087113F" w:rsidRPr="00D804D2" w:rsidRDefault="004837DC">
            <w:pPr>
              <w:rPr>
                <w:color w:val="000000"/>
                <w:sz w:val="20"/>
                <w:szCs w:val="20"/>
              </w:rPr>
            </w:pPr>
            <w:r w:rsidRPr="00D804D2">
              <w:rPr>
                <w:color w:val="000000"/>
                <w:sz w:val="20"/>
                <w:szCs w:val="20"/>
              </w:rPr>
              <w:t> </w:t>
            </w:r>
          </w:p>
        </w:tc>
        <w:tc>
          <w:tcPr>
            <w:tcW w:w="0" w:type="auto"/>
            <w:shd w:val="clear" w:color="auto" w:fill="auto"/>
            <w:tcMar>
              <w:top w:w="0" w:type="dxa"/>
              <w:left w:w="0" w:type="dxa"/>
              <w:bottom w:w="0" w:type="dxa"/>
              <w:right w:w="0" w:type="dxa"/>
            </w:tcMar>
            <w:vAlign w:val="bottom"/>
            <w:hideMark/>
          </w:tcPr>
          <w:p w14:paraId="1E93FC6A" w14:textId="77777777" w:rsidR="0087113F" w:rsidRPr="00D804D2" w:rsidRDefault="004837DC">
            <w:pPr>
              <w:rPr>
                <w:color w:val="000000"/>
                <w:sz w:val="20"/>
                <w:szCs w:val="20"/>
              </w:rPr>
            </w:pPr>
            <w:r w:rsidRPr="00D804D2">
              <w:rPr>
                <w:color w:val="000000"/>
                <w:sz w:val="20"/>
                <w:szCs w:val="20"/>
              </w:rPr>
              <w:t>$</w:t>
            </w:r>
          </w:p>
        </w:tc>
        <w:tc>
          <w:tcPr>
            <w:tcW w:w="0" w:type="auto"/>
            <w:shd w:val="clear" w:color="auto" w:fill="auto"/>
            <w:tcMar>
              <w:top w:w="0" w:type="dxa"/>
              <w:left w:w="0" w:type="dxa"/>
              <w:bottom w:w="0" w:type="dxa"/>
              <w:right w:w="0" w:type="dxa"/>
            </w:tcMar>
            <w:vAlign w:val="bottom"/>
            <w:hideMark/>
          </w:tcPr>
          <w:p w14:paraId="2E472EB9" w14:textId="4EAC2300" w:rsidR="0087113F" w:rsidRPr="00D804D2" w:rsidRDefault="00691BDC">
            <w:pPr>
              <w:jc w:val="right"/>
              <w:rPr>
                <w:color w:val="000000"/>
                <w:sz w:val="20"/>
                <w:szCs w:val="20"/>
              </w:rPr>
            </w:pPr>
            <w:r>
              <w:rPr>
                <w:color w:val="000000"/>
                <w:sz w:val="20"/>
                <w:szCs w:val="20"/>
              </w:rPr>
              <w:t>1.47</w:t>
            </w:r>
          </w:p>
        </w:tc>
        <w:tc>
          <w:tcPr>
            <w:tcW w:w="0" w:type="auto"/>
            <w:shd w:val="clear" w:color="auto" w:fill="auto"/>
            <w:tcMar>
              <w:top w:w="0" w:type="dxa"/>
              <w:left w:w="0" w:type="dxa"/>
              <w:bottom w:w="0" w:type="dxa"/>
              <w:right w:w="0" w:type="dxa"/>
            </w:tcMar>
            <w:vAlign w:val="bottom"/>
            <w:hideMark/>
          </w:tcPr>
          <w:p w14:paraId="7BD83C3B" w14:textId="77777777" w:rsidR="0087113F" w:rsidRPr="00D804D2" w:rsidRDefault="004837DC">
            <w:pPr>
              <w:rPr>
                <w:color w:val="000000"/>
                <w:sz w:val="20"/>
                <w:szCs w:val="20"/>
              </w:rPr>
            </w:pPr>
            <w:r w:rsidRPr="00D804D2">
              <w:rPr>
                <w:color w:val="000000"/>
                <w:sz w:val="20"/>
                <w:szCs w:val="20"/>
              </w:rPr>
              <w:t> </w:t>
            </w:r>
          </w:p>
        </w:tc>
        <w:tc>
          <w:tcPr>
            <w:tcW w:w="0" w:type="auto"/>
            <w:shd w:val="clear" w:color="auto" w:fill="auto"/>
            <w:tcMar>
              <w:top w:w="0" w:type="dxa"/>
              <w:left w:w="0" w:type="dxa"/>
              <w:bottom w:w="0" w:type="dxa"/>
              <w:right w:w="0" w:type="dxa"/>
            </w:tcMar>
            <w:vAlign w:val="bottom"/>
            <w:hideMark/>
          </w:tcPr>
          <w:p w14:paraId="318B9926" w14:textId="77777777" w:rsidR="0087113F" w:rsidRPr="00D804D2" w:rsidRDefault="004837DC">
            <w:pPr>
              <w:rPr>
                <w:color w:val="000000"/>
                <w:sz w:val="20"/>
                <w:szCs w:val="20"/>
              </w:rPr>
            </w:pPr>
            <w:r w:rsidRPr="00D804D2">
              <w:rPr>
                <w:color w:val="000000"/>
                <w:sz w:val="20"/>
                <w:szCs w:val="20"/>
              </w:rPr>
              <w:t> </w:t>
            </w:r>
          </w:p>
        </w:tc>
        <w:tc>
          <w:tcPr>
            <w:tcW w:w="0" w:type="auto"/>
            <w:shd w:val="clear" w:color="auto" w:fill="auto"/>
            <w:tcMar>
              <w:top w:w="0" w:type="dxa"/>
              <w:left w:w="0" w:type="dxa"/>
              <w:bottom w:w="0" w:type="dxa"/>
              <w:right w:w="0" w:type="dxa"/>
            </w:tcMar>
            <w:vAlign w:val="bottom"/>
            <w:hideMark/>
          </w:tcPr>
          <w:p w14:paraId="537F0811" w14:textId="77777777" w:rsidR="0087113F" w:rsidRPr="00D804D2" w:rsidRDefault="004837DC">
            <w:pPr>
              <w:rPr>
                <w:color w:val="000000"/>
                <w:sz w:val="20"/>
                <w:szCs w:val="20"/>
              </w:rPr>
            </w:pPr>
            <w:r w:rsidRPr="00D804D2">
              <w:rPr>
                <w:color w:val="000000"/>
                <w:sz w:val="20"/>
                <w:szCs w:val="20"/>
              </w:rPr>
              <w:t>$</w:t>
            </w:r>
          </w:p>
        </w:tc>
        <w:tc>
          <w:tcPr>
            <w:tcW w:w="0" w:type="auto"/>
            <w:shd w:val="clear" w:color="auto" w:fill="auto"/>
            <w:tcMar>
              <w:top w:w="0" w:type="dxa"/>
              <w:left w:w="0" w:type="dxa"/>
              <w:bottom w:w="0" w:type="dxa"/>
              <w:right w:w="0" w:type="dxa"/>
            </w:tcMar>
            <w:vAlign w:val="bottom"/>
            <w:hideMark/>
          </w:tcPr>
          <w:p w14:paraId="4B655608" w14:textId="3CC78740" w:rsidR="0087113F" w:rsidRPr="00D804D2" w:rsidRDefault="00691BDC">
            <w:pPr>
              <w:jc w:val="right"/>
              <w:rPr>
                <w:color w:val="000000"/>
                <w:sz w:val="20"/>
                <w:szCs w:val="20"/>
              </w:rPr>
            </w:pPr>
            <w:r>
              <w:rPr>
                <w:color w:val="000000"/>
                <w:sz w:val="20"/>
                <w:szCs w:val="20"/>
              </w:rPr>
              <w:t>31,457,822.28</w:t>
            </w:r>
          </w:p>
        </w:tc>
        <w:tc>
          <w:tcPr>
            <w:tcW w:w="0" w:type="auto"/>
            <w:shd w:val="clear" w:color="auto" w:fill="auto"/>
            <w:tcMar>
              <w:top w:w="0" w:type="dxa"/>
              <w:left w:w="0" w:type="dxa"/>
              <w:bottom w:w="0" w:type="dxa"/>
              <w:right w:w="0" w:type="dxa"/>
            </w:tcMar>
            <w:vAlign w:val="bottom"/>
            <w:hideMark/>
          </w:tcPr>
          <w:p w14:paraId="09A2534A" w14:textId="77777777" w:rsidR="0087113F" w:rsidRPr="00D804D2" w:rsidRDefault="004837DC">
            <w:pPr>
              <w:rPr>
                <w:color w:val="000000"/>
                <w:sz w:val="20"/>
                <w:szCs w:val="20"/>
              </w:rPr>
            </w:pPr>
            <w:r w:rsidRPr="00D804D2">
              <w:rPr>
                <w:color w:val="000000"/>
                <w:sz w:val="20"/>
                <w:szCs w:val="20"/>
              </w:rPr>
              <w:t> </w:t>
            </w:r>
          </w:p>
        </w:tc>
        <w:tc>
          <w:tcPr>
            <w:tcW w:w="0" w:type="auto"/>
            <w:shd w:val="clear" w:color="auto" w:fill="auto"/>
            <w:tcMar>
              <w:top w:w="0" w:type="dxa"/>
              <w:left w:w="0" w:type="dxa"/>
              <w:bottom w:w="0" w:type="dxa"/>
              <w:right w:w="0" w:type="dxa"/>
            </w:tcMar>
            <w:vAlign w:val="bottom"/>
            <w:hideMark/>
          </w:tcPr>
          <w:p w14:paraId="33620451" w14:textId="77777777" w:rsidR="0087113F" w:rsidRPr="00D804D2" w:rsidRDefault="004837DC">
            <w:pPr>
              <w:rPr>
                <w:color w:val="000000"/>
                <w:sz w:val="20"/>
                <w:szCs w:val="20"/>
              </w:rPr>
            </w:pPr>
            <w:r w:rsidRPr="00D804D2">
              <w:rPr>
                <w:color w:val="000000"/>
                <w:sz w:val="20"/>
                <w:szCs w:val="20"/>
              </w:rPr>
              <w:t> </w:t>
            </w:r>
          </w:p>
        </w:tc>
        <w:tc>
          <w:tcPr>
            <w:tcW w:w="0" w:type="auto"/>
            <w:shd w:val="clear" w:color="auto" w:fill="auto"/>
            <w:tcMar>
              <w:top w:w="0" w:type="dxa"/>
              <w:left w:w="0" w:type="dxa"/>
              <w:bottom w:w="0" w:type="dxa"/>
              <w:right w:w="0" w:type="dxa"/>
            </w:tcMar>
            <w:vAlign w:val="bottom"/>
            <w:hideMark/>
          </w:tcPr>
          <w:p w14:paraId="524C6760" w14:textId="77777777" w:rsidR="0087113F" w:rsidRPr="00D804D2" w:rsidRDefault="004837DC">
            <w:pPr>
              <w:rPr>
                <w:color w:val="000000"/>
                <w:sz w:val="20"/>
                <w:szCs w:val="20"/>
              </w:rPr>
            </w:pPr>
            <w:r w:rsidRPr="00D804D2">
              <w:rPr>
                <w:color w:val="000000"/>
                <w:sz w:val="20"/>
                <w:szCs w:val="20"/>
              </w:rPr>
              <w:t>$</w:t>
            </w:r>
          </w:p>
        </w:tc>
        <w:tc>
          <w:tcPr>
            <w:tcW w:w="0" w:type="auto"/>
            <w:shd w:val="clear" w:color="auto" w:fill="auto"/>
            <w:tcMar>
              <w:top w:w="0" w:type="dxa"/>
              <w:left w:w="0" w:type="dxa"/>
              <w:bottom w:w="0" w:type="dxa"/>
              <w:right w:w="0" w:type="dxa"/>
            </w:tcMar>
            <w:vAlign w:val="bottom"/>
            <w:hideMark/>
          </w:tcPr>
          <w:p w14:paraId="5826A072" w14:textId="4D9C6A55" w:rsidR="0087113F" w:rsidRPr="00D804D2" w:rsidRDefault="00691BDC">
            <w:pPr>
              <w:jc w:val="right"/>
              <w:rPr>
                <w:color w:val="000000"/>
                <w:sz w:val="20"/>
                <w:szCs w:val="20"/>
              </w:rPr>
            </w:pPr>
            <w:r>
              <w:rPr>
                <w:color w:val="000000"/>
                <w:sz w:val="20"/>
                <w:szCs w:val="20"/>
              </w:rPr>
              <w:t>2,917.81</w:t>
            </w:r>
          </w:p>
        </w:tc>
        <w:tc>
          <w:tcPr>
            <w:tcW w:w="0" w:type="auto"/>
            <w:shd w:val="clear" w:color="auto" w:fill="auto"/>
            <w:tcMar>
              <w:top w:w="0" w:type="dxa"/>
              <w:left w:w="0" w:type="dxa"/>
              <w:bottom w:w="0" w:type="dxa"/>
              <w:right w:w="0" w:type="dxa"/>
            </w:tcMar>
            <w:vAlign w:val="bottom"/>
            <w:hideMark/>
          </w:tcPr>
          <w:p w14:paraId="5CE615B2" w14:textId="77777777" w:rsidR="0087113F" w:rsidRPr="00D804D2" w:rsidRDefault="004837DC">
            <w:pPr>
              <w:rPr>
                <w:color w:val="000000"/>
                <w:sz w:val="20"/>
                <w:szCs w:val="20"/>
              </w:rPr>
            </w:pPr>
            <w:r w:rsidRPr="00D804D2">
              <w:rPr>
                <w:color w:val="000000"/>
                <w:sz w:val="20"/>
                <w:szCs w:val="20"/>
              </w:rPr>
              <w:t> </w:t>
            </w:r>
          </w:p>
        </w:tc>
      </w:tr>
      <w:tr w:rsidR="00691BDC" w14:paraId="4576DAD3" w14:textId="77777777" w:rsidTr="00D804D2">
        <w:trPr>
          <w:cantSplit/>
        </w:trPr>
        <w:tc>
          <w:tcPr>
            <w:tcW w:w="0" w:type="auto"/>
            <w:shd w:val="clear" w:color="auto" w:fill="auto"/>
            <w:tcMar>
              <w:top w:w="0" w:type="dxa"/>
              <w:left w:w="0" w:type="dxa"/>
              <w:bottom w:w="0" w:type="dxa"/>
              <w:right w:w="0" w:type="dxa"/>
            </w:tcMar>
            <w:vAlign w:val="bottom"/>
            <w:hideMark/>
          </w:tcPr>
          <w:p w14:paraId="51E01681" w14:textId="77777777" w:rsidR="0087113F" w:rsidRPr="00D804D2" w:rsidRDefault="004837DC">
            <w:pPr>
              <w:rPr>
                <w:color w:val="000000"/>
                <w:sz w:val="20"/>
                <w:szCs w:val="20"/>
              </w:rPr>
            </w:pPr>
            <w:r w:rsidRPr="00D804D2">
              <w:rPr>
                <w:color w:val="000000"/>
                <w:sz w:val="20"/>
                <w:szCs w:val="20"/>
              </w:rPr>
              <w:t>Total</w:t>
            </w:r>
          </w:p>
        </w:tc>
        <w:tc>
          <w:tcPr>
            <w:tcW w:w="0" w:type="auto"/>
            <w:shd w:val="clear" w:color="auto" w:fill="auto"/>
            <w:tcMar>
              <w:top w:w="0" w:type="dxa"/>
              <w:left w:w="0" w:type="dxa"/>
              <w:bottom w:w="0" w:type="dxa"/>
              <w:right w:w="0" w:type="dxa"/>
            </w:tcMar>
            <w:vAlign w:val="bottom"/>
            <w:hideMark/>
          </w:tcPr>
          <w:p w14:paraId="1CCC4150" w14:textId="77777777" w:rsidR="0087113F" w:rsidRPr="00D804D2" w:rsidRDefault="004837DC">
            <w:pPr>
              <w:rPr>
                <w:b/>
                <w:bCs/>
                <w:color w:val="000000"/>
                <w:sz w:val="20"/>
                <w:szCs w:val="20"/>
              </w:rPr>
            </w:pPr>
            <w:r w:rsidRPr="00D804D2">
              <w:rPr>
                <w:b/>
                <w:bCs/>
                <w:color w:val="000000"/>
                <w:sz w:val="20"/>
                <w:szCs w:val="20"/>
              </w:rPr>
              <w:t> </w:t>
            </w:r>
          </w:p>
        </w:tc>
        <w:tc>
          <w:tcPr>
            <w:tcW w:w="0" w:type="auto"/>
            <w:shd w:val="clear" w:color="auto" w:fill="auto"/>
            <w:tcMar>
              <w:top w:w="0" w:type="dxa"/>
              <w:left w:w="0" w:type="dxa"/>
              <w:bottom w:w="0" w:type="dxa"/>
              <w:right w:w="0" w:type="dxa"/>
            </w:tcMar>
            <w:vAlign w:val="bottom"/>
            <w:hideMark/>
          </w:tcPr>
          <w:p w14:paraId="62F25A80" w14:textId="77777777" w:rsidR="0087113F" w:rsidRPr="00D804D2" w:rsidRDefault="004837DC">
            <w:pPr>
              <w:rPr>
                <w:b/>
                <w:bCs/>
                <w:color w:val="000000"/>
                <w:sz w:val="20"/>
                <w:szCs w:val="20"/>
              </w:rPr>
            </w:pPr>
            <w:r w:rsidRPr="00D804D2">
              <w:rPr>
                <w:b/>
                <w:bCs/>
                <w:color w:val="000000"/>
                <w:sz w:val="20"/>
                <w:szCs w:val="20"/>
              </w:rPr>
              <w:t> </w:t>
            </w:r>
          </w:p>
        </w:tc>
        <w:tc>
          <w:tcPr>
            <w:tcW w:w="0" w:type="auto"/>
            <w:shd w:val="clear" w:color="auto" w:fill="auto"/>
            <w:tcMar>
              <w:top w:w="0" w:type="dxa"/>
              <w:left w:w="0" w:type="dxa"/>
              <w:bottom w:w="0" w:type="dxa"/>
              <w:right w:w="0" w:type="dxa"/>
            </w:tcMar>
            <w:vAlign w:val="bottom"/>
            <w:hideMark/>
          </w:tcPr>
          <w:p w14:paraId="0686C26F" w14:textId="1585299D" w:rsidR="0087113F" w:rsidRPr="00D804D2" w:rsidRDefault="0091389D">
            <w:pPr>
              <w:jc w:val="right"/>
              <w:rPr>
                <w:b/>
                <w:bCs/>
                <w:color w:val="000000"/>
                <w:sz w:val="20"/>
                <w:szCs w:val="20"/>
              </w:rPr>
            </w:pPr>
            <w:r>
              <w:rPr>
                <w:b/>
                <w:bCs/>
                <w:color w:val="000000"/>
                <w:sz w:val="20"/>
                <w:szCs w:val="20"/>
              </w:rPr>
              <w:t>21,4</w:t>
            </w:r>
            <w:r w:rsidR="0091119A">
              <w:rPr>
                <w:b/>
                <w:bCs/>
                <w:color w:val="000000"/>
                <w:sz w:val="20"/>
                <w:szCs w:val="20"/>
              </w:rPr>
              <w:t>12,124</w:t>
            </w:r>
          </w:p>
        </w:tc>
        <w:tc>
          <w:tcPr>
            <w:tcW w:w="0" w:type="auto"/>
            <w:shd w:val="clear" w:color="auto" w:fill="auto"/>
            <w:tcMar>
              <w:top w:w="0" w:type="dxa"/>
              <w:left w:w="0" w:type="dxa"/>
              <w:bottom w:w="0" w:type="dxa"/>
              <w:right w:w="0" w:type="dxa"/>
            </w:tcMar>
            <w:vAlign w:val="bottom"/>
            <w:hideMark/>
          </w:tcPr>
          <w:p w14:paraId="7ADDDF4F" w14:textId="77777777" w:rsidR="0087113F" w:rsidRPr="00D804D2" w:rsidRDefault="004837DC">
            <w:pPr>
              <w:rPr>
                <w:b/>
                <w:bCs/>
                <w:color w:val="000000"/>
                <w:sz w:val="20"/>
                <w:szCs w:val="20"/>
              </w:rPr>
            </w:pPr>
            <w:r w:rsidRPr="00D804D2">
              <w:rPr>
                <w:b/>
                <w:bCs/>
                <w:color w:val="000000"/>
                <w:sz w:val="20"/>
                <w:szCs w:val="20"/>
              </w:rPr>
              <w:t> </w:t>
            </w:r>
          </w:p>
        </w:tc>
        <w:tc>
          <w:tcPr>
            <w:tcW w:w="0" w:type="auto"/>
            <w:shd w:val="clear" w:color="auto" w:fill="auto"/>
            <w:tcMar>
              <w:top w:w="0" w:type="dxa"/>
              <w:left w:w="0" w:type="dxa"/>
              <w:bottom w:w="0" w:type="dxa"/>
              <w:right w:w="0" w:type="dxa"/>
            </w:tcMar>
            <w:vAlign w:val="bottom"/>
            <w:hideMark/>
          </w:tcPr>
          <w:p w14:paraId="2CCCC260" w14:textId="77777777" w:rsidR="0087113F" w:rsidRPr="00D804D2" w:rsidRDefault="004837DC">
            <w:pPr>
              <w:rPr>
                <w:b/>
                <w:bCs/>
                <w:color w:val="000000"/>
                <w:sz w:val="20"/>
                <w:szCs w:val="20"/>
              </w:rPr>
            </w:pPr>
            <w:r w:rsidRPr="00D804D2">
              <w:rPr>
                <w:b/>
                <w:bCs/>
                <w:color w:val="000000"/>
                <w:sz w:val="20"/>
                <w:szCs w:val="20"/>
              </w:rPr>
              <w:t> </w:t>
            </w:r>
          </w:p>
        </w:tc>
        <w:tc>
          <w:tcPr>
            <w:tcW w:w="0" w:type="auto"/>
            <w:shd w:val="clear" w:color="auto" w:fill="auto"/>
            <w:tcMar>
              <w:top w:w="0" w:type="dxa"/>
              <w:left w:w="0" w:type="dxa"/>
              <w:bottom w:w="0" w:type="dxa"/>
              <w:right w:w="0" w:type="dxa"/>
            </w:tcMar>
            <w:vAlign w:val="bottom"/>
            <w:hideMark/>
          </w:tcPr>
          <w:p w14:paraId="4649AD46" w14:textId="77777777" w:rsidR="0087113F" w:rsidRPr="00D804D2" w:rsidRDefault="004837DC">
            <w:pPr>
              <w:rPr>
                <w:b/>
                <w:bCs/>
                <w:color w:val="000000"/>
                <w:sz w:val="20"/>
                <w:szCs w:val="20"/>
              </w:rPr>
            </w:pPr>
            <w:r w:rsidRPr="00D804D2">
              <w:rPr>
                <w:b/>
                <w:bCs/>
                <w:color w:val="000000"/>
                <w:sz w:val="20"/>
                <w:szCs w:val="20"/>
              </w:rPr>
              <w:t>$</w:t>
            </w:r>
          </w:p>
        </w:tc>
        <w:tc>
          <w:tcPr>
            <w:tcW w:w="0" w:type="auto"/>
            <w:shd w:val="clear" w:color="auto" w:fill="auto"/>
            <w:tcMar>
              <w:top w:w="0" w:type="dxa"/>
              <w:left w:w="0" w:type="dxa"/>
              <w:bottom w:w="0" w:type="dxa"/>
              <w:right w:w="0" w:type="dxa"/>
            </w:tcMar>
            <w:vAlign w:val="bottom"/>
            <w:hideMark/>
          </w:tcPr>
          <w:p w14:paraId="13892C73" w14:textId="04A80EAE" w:rsidR="0087113F" w:rsidRPr="00D804D2" w:rsidRDefault="00691BDC">
            <w:pPr>
              <w:jc w:val="right"/>
              <w:rPr>
                <w:b/>
                <w:bCs/>
                <w:color w:val="000000"/>
                <w:sz w:val="20"/>
                <w:szCs w:val="20"/>
              </w:rPr>
            </w:pPr>
            <w:r>
              <w:rPr>
                <w:b/>
                <w:bCs/>
                <w:color w:val="000000"/>
                <w:sz w:val="20"/>
                <w:szCs w:val="20"/>
              </w:rPr>
              <w:t>1.47</w:t>
            </w:r>
          </w:p>
        </w:tc>
        <w:tc>
          <w:tcPr>
            <w:tcW w:w="0" w:type="auto"/>
            <w:shd w:val="clear" w:color="auto" w:fill="auto"/>
            <w:tcMar>
              <w:top w:w="0" w:type="dxa"/>
              <w:left w:w="0" w:type="dxa"/>
              <w:bottom w:w="0" w:type="dxa"/>
              <w:right w:w="0" w:type="dxa"/>
            </w:tcMar>
            <w:vAlign w:val="bottom"/>
            <w:hideMark/>
          </w:tcPr>
          <w:p w14:paraId="107AFF56" w14:textId="77777777" w:rsidR="0087113F" w:rsidRPr="00D804D2" w:rsidRDefault="004837DC">
            <w:pPr>
              <w:rPr>
                <w:b/>
                <w:bCs/>
                <w:color w:val="000000"/>
                <w:sz w:val="20"/>
                <w:szCs w:val="20"/>
              </w:rPr>
            </w:pPr>
            <w:r w:rsidRPr="00D804D2">
              <w:rPr>
                <w:b/>
                <w:bCs/>
                <w:color w:val="000000"/>
                <w:sz w:val="20"/>
                <w:szCs w:val="20"/>
              </w:rPr>
              <w:t> </w:t>
            </w:r>
          </w:p>
        </w:tc>
        <w:tc>
          <w:tcPr>
            <w:tcW w:w="0" w:type="auto"/>
            <w:shd w:val="clear" w:color="auto" w:fill="auto"/>
            <w:tcMar>
              <w:top w:w="0" w:type="dxa"/>
              <w:left w:w="0" w:type="dxa"/>
              <w:bottom w:w="0" w:type="dxa"/>
              <w:right w:w="0" w:type="dxa"/>
            </w:tcMar>
            <w:vAlign w:val="bottom"/>
            <w:hideMark/>
          </w:tcPr>
          <w:p w14:paraId="59A24BA0" w14:textId="77777777" w:rsidR="0087113F" w:rsidRPr="00D804D2" w:rsidRDefault="004837DC">
            <w:pPr>
              <w:rPr>
                <w:b/>
                <w:bCs/>
                <w:color w:val="000000"/>
                <w:sz w:val="20"/>
                <w:szCs w:val="20"/>
              </w:rPr>
            </w:pPr>
            <w:r w:rsidRPr="00D804D2">
              <w:rPr>
                <w:b/>
                <w:bCs/>
                <w:color w:val="000000"/>
                <w:sz w:val="20"/>
                <w:szCs w:val="20"/>
              </w:rPr>
              <w:t> </w:t>
            </w:r>
          </w:p>
        </w:tc>
        <w:tc>
          <w:tcPr>
            <w:tcW w:w="0" w:type="auto"/>
            <w:shd w:val="clear" w:color="auto" w:fill="auto"/>
            <w:tcMar>
              <w:top w:w="0" w:type="dxa"/>
              <w:left w:w="0" w:type="dxa"/>
              <w:bottom w:w="0" w:type="dxa"/>
              <w:right w:w="0" w:type="dxa"/>
            </w:tcMar>
            <w:vAlign w:val="bottom"/>
            <w:hideMark/>
          </w:tcPr>
          <w:p w14:paraId="423C1A9B" w14:textId="77777777" w:rsidR="0087113F" w:rsidRPr="00D804D2" w:rsidRDefault="004837DC">
            <w:pPr>
              <w:rPr>
                <w:b/>
                <w:bCs/>
                <w:color w:val="000000"/>
                <w:sz w:val="20"/>
                <w:szCs w:val="20"/>
              </w:rPr>
            </w:pPr>
            <w:r w:rsidRPr="00D804D2">
              <w:rPr>
                <w:b/>
                <w:bCs/>
                <w:color w:val="000000"/>
                <w:sz w:val="20"/>
                <w:szCs w:val="20"/>
              </w:rPr>
              <w:t>$</w:t>
            </w:r>
          </w:p>
        </w:tc>
        <w:tc>
          <w:tcPr>
            <w:tcW w:w="0" w:type="auto"/>
            <w:shd w:val="clear" w:color="auto" w:fill="auto"/>
            <w:tcMar>
              <w:top w:w="0" w:type="dxa"/>
              <w:left w:w="0" w:type="dxa"/>
              <w:bottom w:w="0" w:type="dxa"/>
              <w:right w:w="0" w:type="dxa"/>
            </w:tcMar>
            <w:vAlign w:val="bottom"/>
            <w:hideMark/>
          </w:tcPr>
          <w:p w14:paraId="16D59237" w14:textId="3E47EDD8" w:rsidR="0087113F" w:rsidRPr="00D804D2" w:rsidRDefault="00691BDC">
            <w:pPr>
              <w:jc w:val="right"/>
              <w:rPr>
                <w:b/>
                <w:bCs/>
                <w:color w:val="000000"/>
                <w:sz w:val="20"/>
                <w:szCs w:val="20"/>
              </w:rPr>
            </w:pPr>
            <w:r>
              <w:rPr>
                <w:b/>
                <w:bCs/>
                <w:color w:val="000000"/>
                <w:sz w:val="20"/>
                <w:szCs w:val="20"/>
              </w:rPr>
              <w:t>31,457,822.28</w:t>
            </w:r>
          </w:p>
        </w:tc>
        <w:tc>
          <w:tcPr>
            <w:tcW w:w="0" w:type="auto"/>
            <w:shd w:val="clear" w:color="auto" w:fill="auto"/>
            <w:tcMar>
              <w:top w:w="0" w:type="dxa"/>
              <w:left w:w="0" w:type="dxa"/>
              <w:bottom w:w="0" w:type="dxa"/>
              <w:right w:w="0" w:type="dxa"/>
            </w:tcMar>
            <w:vAlign w:val="bottom"/>
            <w:hideMark/>
          </w:tcPr>
          <w:p w14:paraId="1A56FCA8" w14:textId="77777777" w:rsidR="0087113F" w:rsidRPr="00D804D2" w:rsidRDefault="004837DC">
            <w:pPr>
              <w:rPr>
                <w:b/>
                <w:bCs/>
                <w:color w:val="000000"/>
                <w:sz w:val="20"/>
                <w:szCs w:val="20"/>
              </w:rPr>
            </w:pPr>
            <w:r w:rsidRPr="00D804D2">
              <w:rPr>
                <w:b/>
                <w:bCs/>
                <w:color w:val="000000"/>
                <w:sz w:val="20"/>
                <w:szCs w:val="20"/>
              </w:rPr>
              <w:t> </w:t>
            </w:r>
          </w:p>
        </w:tc>
        <w:tc>
          <w:tcPr>
            <w:tcW w:w="0" w:type="auto"/>
            <w:shd w:val="clear" w:color="auto" w:fill="auto"/>
            <w:tcMar>
              <w:top w:w="0" w:type="dxa"/>
              <w:left w:w="0" w:type="dxa"/>
              <w:bottom w:w="0" w:type="dxa"/>
              <w:right w:w="0" w:type="dxa"/>
            </w:tcMar>
            <w:vAlign w:val="bottom"/>
            <w:hideMark/>
          </w:tcPr>
          <w:p w14:paraId="1627871C" w14:textId="77777777" w:rsidR="0087113F" w:rsidRPr="00D804D2" w:rsidRDefault="004837DC">
            <w:pPr>
              <w:rPr>
                <w:b/>
                <w:bCs/>
                <w:color w:val="000000"/>
                <w:sz w:val="20"/>
                <w:szCs w:val="20"/>
              </w:rPr>
            </w:pPr>
            <w:r w:rsidRPr="00D804D2">
              <w:rPr>
                <w:b/>
                <w:bCs/>
                <w:color w:val="000000"/>
                <w:sz w:val="20"/>
                <w:szCs w:val="20"/>
              </w:rPr>
              <w:t> </w:t>
            </w:r>
          </w:p>
        </w:tc>
        <w:tc>
          <w:tcPr>
            <w:tcW w:w="0" w:type="auto"/>
            <w:shd w:val="clear" w:color="auto" w:fill="auto"/>
            <w:tcMar>
              <w:top w:w="0" w:type="dxa"/>
              <w:left w:w="0" w:type="dxa"/>
              <w:bottom w:w="0" w:type="dxa"/>
              <w:right w:w="0" w:type="dxa"/>
            </w:tcMar>
            <w:vAlign w:val="bottom"/>
            <w:hideMark/>
          </w:tcPr>
          <w:p w14:paraId="0576FAFE" w14:textId="77777777" w:rsidR="0087113F" w:rsidRPr="00D804D2" w:rsidRDefault="004837DC">
            <w:pPr>
              <w:rPr>
                <w:b/>
                <w:bCs/>
                <w:color w:val="000000"/>
                <w:sz w:val="20"/>
                <w:szCs w:val="20"/>
              </w:rPr>
            </w:pPr>
            <w:r w:rsidRPr="00D804D2">
              <w:rPr>
                <w:b/>
                <w:bCs/>
                <w:color w:val="000000"/>
                <w:sz w:val="20"/>
                <w:szCs w:val="20"/>
              </w:rPr>
              <w:t>$</w:t>
            </w:r>
          </w:p>
        </w:tc>
        <w:tc>
          <w:tcPr>
            <w:tcW w:w="0" w:type="auto"/>
            <w:shd w:val="clear" w:color="auto" w:fill="auto"/>
            <w:tcMar>
              <w:top w:w="0" w:type="dxa"/>
              <w:left w:w="0" w:type="dxa"/>
              <w:bottom w:w="0" w:type="dxa"/>
              <w:right w:w="0" w:type="dxa"/>
            </w:tcMar>
            <w:vAlign w:val="bottom"/>
            <w:hideMark/>
          </w:tcPr>
          <w:p w14:paraId="40879021" w14:textId="687C5FFE" w:rsidR="0087113F" w:rsidRDefault="00691BDC">
            <w:pPr>
              <w:jc w:val="right"/>
              <w:rPr>
                <w:b/>
                <w:bCs/>
                <w:color w:val="000000"/>
                <w:sz w:val="20"/>
                <w:szCs w:val="20"/>
              </w:rPr>
            </w:pPr>
            <w:r>
              <w:rPr>
                <w:b/>
                <w:bCs/>
                <w:color w:val="000000"/>
                <w:sz w:val="20"/>
                <w:szCs w:val="20"/>
              </w:rPr>
              <w:t>2,917.81</w:t>
            </w:r>
          </w:p>
        </w:tc>
        <w:tc>
          <w:tcPr>
            <w:tcW w:w="0" w:type="auto"/>
            <w:shd w:val="clear" w:color="auto" w:fill="auto"/>
            <w:tcMar>
              <w:top w:w="0" w:type="dxa"/>
              <w:left w:w="0" w:type="dxa"/>
              <w:bottom w:w="0" w:type="dxa"/>
              <w:right w:w="0" w:type="dxa"/>
            </w:tcMar>
            <w:vAlign w:val="bottom"/>
            <w:hideMark/>
          </w:tcPr>
          <w:p w14:paraId="2BB1221F" w14:textId="77777777" w:rsidR="0087113F" w:rsidRDefault="004837DC">
            <w:pPr>
              <w:rPr>
                <w:b/>
                <w:bCs/>
                <w:color w:val="000000"/>
                <w:sz w:val="20"/>
                <w:szCs w:val="20"/>
              </w:rPr>
            </w:pPr>
            <w:r>
              <w:rPr>
                <w:b/>
                <w:bCs/>
                <w:color w:val="000000"/>
                <w:sz w:val="20"/>
                <w:szCs w:val="20"/>
              </w:rPr>
              <w:t> </w:t>
            </w:r>
          </w:p>
        </w:tc>
      </w:tr>
    </w:tbl>
    <w:p w14:paraId="7BB5A924" w14:textId="77777777" w:rsidR="0087113F" w:rsidRDefault="004837DC">
      <w:pPr>
        <w:jc w:val="both"/>
        <w:rPr>
          <w:sz w:val="20"/>
          <w:szCs w:val="20"/>
        </w:rPr>
      </w:pPr>
      <w:r>
        <w:rPr>
          <w:sz w:val="20"/>
          <w:szCs w:val="20"/>
        </w:rPr>
        <w:t> </w:t>
      </w:r>
    </w:p>
    <w:p w14:paraId="0326B7C7" w14:textId="77777777" w:rsidR="0087113F" w:rsidRDefault="004837DC">
      <w:pPr>
        <w:jc w:val="both"/>
        <w:rPr>
          <w:sz w:val="20"/>
          <w:szCs w:val="20"/>
        </w:rPr>
      </w:pPr>
      <w:r>
        <w:rPr>
          <w:sz w:val="20"/>
          <w:szCs w:val="20"/>
        </w:rPr>
        <w:t>(1) This registration statement also includes an indeterminate number of securities that may become offered, issuable or sold to prevent dilution resulting from stock splits, stock dividends and similar transactions, which are included pursuant to Rule 416 under the Securities Act of 1933, as amended.</w:t>
      </w:r>
    </w:p>
    <w:p w14:paraId="7F64FDC5" w14:textId="77777777" w:rsidR="0087113F" w:rsidRDefault="004837DC">
      <w:pPr>
        <w:jc w:val="both"/>
        <w:rPr>
          <w:sz w:val="20"/>
          <w:szCs w:val="20"/>
        </w:rPr>
      </w:pPr>
      <w:r>
        <w:rPr>
          <w:sz w:val="20"/>
          <w:szCs w:val="20"/>
        </w:rPr>
        <w:t> </w:t>
      </w:r>
    </w:p>
    <w:p w14:paraId="60685C69" w14:textId="4A51C979" w:rsidR="0087113F" w:rsidRDefault="004837DC">
      <w:pPr>
        <w:jc w:val="both"/>
        <w:rPr>
          <w:sz w:val="20"/>
          <w:szCs w:val="20"/>
        </w:rPr>
      </w:pPr>
      <w:r>
        <w:rPr>
          <w:sz w:val="20"/>
          <w:szCs w:val="20"/>
        </w:rPr>
        <w:t xml:space="preserve">(2) Estimated solely for the purpose of calculating the registration fee pursuant to Rule 457(c) promulgated under the Securities Act of 1933, as amended, based upon the average of the high and low prices of the common stock as reported on the </w:t>
      </w:r>
      <w:r w:rsidR="00D804D2">
        <w:rPr>
          <w:sz w:val="20"/>
          <w:szCs w:val="20"/>
        </w:rPr>
        <w:t>Nasdaq Capital Market</w:t>
      </w:r>
      <w:r>
        <w:rPr>
          <w:sz w:val="20"/>
          <w:szCs w:val="20"/>
        </w:rPr>
        <w:t xml:space="preserve"> on </w:t>
      </w:r>
      <w:r w:rsidR="00FA4890">
        <w:rPr>
          <w:sz w:val="20"/>
          <w:szCs w:val="20"/>
        </w:rPr>
        <w:t xml:space="preserve">June </w:t>
      </w:r>
      <w:r w:rsidR="00C60409">
        <w:rPr>
          <w:sz w:val="20"/>
          <w:szCs w:val="20"/>
        </w:rPr>
        <w:t>10</w:t>
      </w:r>
      <w:r>
        <w:rPr>
          <w:sz w:val="20"/>
          <w:szCs w:val="20"/>
        </w:rPr>
        <w:t>, 2022.</w:t>
      </w:r>
    </w:p>
    <w:p w14:paraId="1EAE2401" w14:textId="77777777" w:rsidR="0087113F" w:rsidRDefault="004837DC">
      <w:pPr>
        <w:jc w:val="both"/>
        <w:rPr>
          <w:sz w:val="20"/>
          <w:szCs w:val="20"/>
        </w:rPr>
      </w:pPr>
      <w:r>
        <w:rPr>
          <w:sz w:val="20"/>
          <w:szCs w:val="20"/>
        </w:rPr>
        <w:t> </w:t>
      </w:r>
    </w:p>
    <w:p w14:paraId="19A7F782" w14:textId="2299F6A1" w:rsidR="0087113F" w:rsidRDefault="004837DC">
      <w:pPr>
        <w:jc w:val="both"/>
        <w:rPr>
          <w:sz w:val="20"/>
          <w:szCs w:val="20"/>
        </w:rPr>
      </w:pPr>
      <w:r>
        <w:rPr>
          <w:sz w:val="20"/>
          <w:szCs w:val="20"/>
        </w:rPr>
        <w:t xml:space="preserve">(3) Consists of (i) </w:t>
      </w:r>
      <w:r w:rsidR="003C746F">
        <w:rPr>
          <w:sz w:val="20"/>
          <w:szCs w:val="20"/>
        </w:rPr>
        <w:t>9,090,910</w:t>
      </w:r>
      <w:r>
        <w:rPr>
          <w:sz w:val="20"/>
          <w:szCs w:val="20"/>
        </w:rPr>
        <w:t xml:space="preserve"> shares of common stock </w:t>
      </w:r>
      <w:r w:rsidR="003C746F">
        <w:rPr>
          <w:sz w:val="20"/>
          <w:szCs w:val="20"/>
        </w:rPr>
        <w:t xml:space="preserve">issuable upon the exercise of pre-funded warrants issued </w:t>
      </w:r>
      <w:r>
        <w:rPr>
          <w:sz w:val="20"/>
          <w:szCs w:val="20"/>
        </w:rPr>
        <w:t xml:space="preserve">in a private placement in </w:t>
      </w:r>
      <w:r w:rsidR="003C746F">
        <w:rPr>
          <w:sz w:val="20"/>
          <w:szCs w:val="20"/>
        </w:rPr>
        <w:t>May</w:t>
      </w:r>
      <w:r w:rsidR="002651F3">
        <w:rPr>
          <w:sz w:val="20"/>
          <w:szCs w:val="20"/>
        </w:rPr>
        <w:t xml:space="preserve"> 2022</w:t>
      </w:r>
      <w:r w:rsidR="00D804D2">
        <w:rPr>
          <w:sz w:val="20"/>
          <w:szCs w:val="20"/>
        </w:rPr>
        <w:t xml:space="preserve"> (the “Private Placement”),</w:t>
      </w:r>
      <w:r>
        <w:rPr>
          <w:sz w:val="20"/>
          <w:szCs w:val="20"/>
        </w:rPr>
        <w:t xml:space="preserve"> (ii) </w:t>
      </w:r>
      <w:r w:rsidR="0091119A">
        <w:rPr>
          <w:sz w:val="20"/>
          <w:szCs w:val="20"/>
        </w:rPr>
        <w:t>12,121,2</w:t>
      </w:r>
      <w:r w:rsidR="003B2B5C">
        <w:rPr>
          <w:sz w:val="20"/>
          <w:szCs w:val="20"/>
        </w:rPr>
        <w:t>1</w:t>
      </w:r>
      <w:r w:rsidR="0091119A">
        <w:rPr>
          <w:sz w:val="20"/>
          <w:szCs w:val="20"/>
        </w:rPr>
        <w:t>4</w:t>
      </w:r>
      <w:r w:rsidR="003C746F">
        <w:rPr>
          <w:sz w:val="20"/>
          <w:szCs w:val="20"/>
        </w:rPr>
        <w:t xml:space="preserve"> </w:t>
      </w:r>
      <w:r w:rsidR="001E55D3">
        <w:rPr>
          <w:sz w:val="20"/>
          <w:szCs w:val="20"/>
        </w:rPr>
        <w:t xml:space="preserve">shares of common stock issuable upon the exercise of </w:t>
      </w:r>
      <w:r w:rsidR="0091119A">
        <w:rPr>
          <w:sz w:val="20"/>
          <w:szCs w:val="20"/>
        </w:rPr>
        <w:t>preferred investment options</w:t>
      </w:r>
      <w:r w:rsidR="001E55D3">
        <w:rPr>
          <w:sz w:val="20"/>
          <w:szCs w:val="20"/>
        </w:rPr>
        <w:t xml:space="preserve"> issued in the Private Placement at an exercise price of $</w:t>
      </w:r>
      <w:r w:rsidR="003C746F">
        <w:rPr>
          <w:sz w:val="20"/>
          <w:szCs w:val="20"/>
        </w:rPr>
        <w:t>1.65</w:t>
      </w:r>
      <w:r w:rsidR="001E55D3">
        <w:rPr>
          <w:sz w:val="20"/>
          <w:szCs w:val="20"/>
        </w:rPr>
        <w:t xml:space="preserve"> per share</w:t>
      </w:r>
      <w:r w:rsidR="0091389D">
        <w:rPr>
          <w:sz w:val="20"/>
          <w:szCs w:val="20"/>
        </w:rPr>
        <w:t>, (iii) 128,000 shares of common stock issuable upon the exercise of a warrant issued in a public offering in September 2020 at an exercise price of $5.50 per share and (iv) 72,000 shares of common stock issuable upon the exercise of a warrant issued in a public offering in February 2021 at an exercise price of $6.875 per share</w:t>
      </w:r>
      <w:r>
        <w:rPr>
          <w:sz w:val="20"/>
          <w:szCs w:val="20"/>
        </w:rPr>
        <w:t>.</w:t>
      </w:r>
    </w:p>
    <w:p w14:paraId="5BCEF218" w14:textId="77777777" w:rsidR="001E55D3" w:rsidRDefault="001E55D3">
      <w:pPr>
        <w:jc w:val="both"/>
        <w:rPr>
          <w:sz w:val="20"/>
          <w:szCs w:val="20"/>
        </w:rPr>
      </w:pPr>
    </w:p>
    <w:p w14:paraId="2D2A6194" w14:textId="77777777" w:rsidR="001E55D3" w:rsidRDefault="001E55D3">
      <w:pPr>
        <w:jc w:val="both"/>
        <w:rPr>
          <w:sz w:val="20"/>
          <w:szCs w:val="20"/>
        </w:rPr>
      </w:pPr>
      <w:r>
        <w:rPr>
          <w:b/>
          <w:bCs/>
          <w:sz w:val="20"/>
          <w:szCs w:val="20"/>
        </w:rPr>
        <w:t>The registrant hereby amends this registration statement on such date or dates as may be necessary to delay its effective date until the registrant shall file a further amendment which specifically states that this registration statement shall thereafter become effective in accordance with Section 8(a) of the Securities Act of 1933, as amended, or until the registration statement shall become effective on such date as the Securities and Exchange Commission, acting pursuant to said Section 8(a), may determine.</w:t>
      </w:r>
    </w:p>
    <w:p w14:paraId="4DEE42F5" w14:textId="77777777" w:rsidR="0087113F" w:rsidRDefault="004837DC">
      <w:pPr>
        <w:jc w:val="both"/>
        <w:rPr>
          <w:sz w:val="20"/>
          <w:szCs w:val="20"/>
        </w:rPr>
      </w:pPr>
      <w:r>
        <w:rPr>
          <w:sz w:val="20"/>
          <w:szCs w:val="20"/>
        </w:rPr>
        <w:t> </w:t>
      </w:r>
    </w:p>
    <w:p w14:paraId="488B82D3" w14:textId="77777777" w:rsidR="0087113F" w:rsidRDefault="004837DC">
      <w:pPr>
        <w:jc w:val="both"/>
        <w:rPr>
          <w:sz w:val="20"/>
          <w:szCs w:val="20"/>
        </w:rPr>
      </w:pPr>
      <w:r>
        <w:rPr>
          <w:sz w:val="20"/>
          <w:szCs w:val="20"/>
        </w:rPr>
        <w:t> </w:t>
      </w:r>
    </w:p>
    <w:p w14:paraId="2B26BFFB" w14:textId="77777777" w:rsidR="0087113F" w:rsidRDefault="004837DC">
      <w:pPr>
        <w:pBdr>
          <w:top w:val="single" w:sz="12" w:space="0" w:color="000000"/>
          <w:bottom w:val="single" w:sz="32" w:space="0" w:color="000000"/>
        </w:pBdr>
        <w:rPr>
          <w:sz w:val="2"/>
          <w:szCs w:val="2"/>
        </w:rPr>
      </w:pPr>
      <w:r>
        <w:rPr>
          <w:sz w:val="2"/>
          <w:szCs w:val="2"/>
        </w:rPr>
        <w:t> </w:t>
      </w:r>
    </w:p>
    <w:p w14:paraId="089FC62C" w14:textId="77777777" w:rsidR="0087113F" w:rsidRDefault="004837DC">
      <w:pPr>
        <w:jc w:val="both"/>
        <w:rPr>
          <w:sz w:val="20"/>
          <w:szCs w:val="20"/>
        </w:rPr>
      </w:pPr>
      <w:r>
        <w:rPr>
          <w:sz w:val="20"/>
          <w:szCs w:val="20"/>
        </w:rPr>
        <w:lastRenderedPageBreak/>
        <w:t> </w:t>
      </w:r>
    </w:p>
    <w:tbl>
      <w:tblPr>
        <w:tblW w:w="5000" w:type="pct"/>
        <w:tblBorders>
          <w:bottom w:val="single" w:sz="12" w:space="0" w:color="000000"/>
        </w:tblBorders>
        <w:tblCellMar>
          <w:left w:w="0" w:type="dxa"/>
          <w:right w:w="0" w:type="dxa"/>
        </w:tblCellMar>
        <w:tblLook w:val="04A0" w:firstRow="1" w:lastRow="0" w:firstColumn="1" w:lastColumn="0" w:noHBand="0" w:noVBand="1"/>
      </w:tblPr>
      <w:tblGrid>
        <w:gridCol w:w="9360"/>
      </w:tblGrid>
      <w:tr w:rsidR="0087113F" w14:paraId="40E38C8F" w14:textId="77777777">
        <w:trPr>
          <w:cantSplit/>
        </w:trPr>
        <w:tc>
          <w:tcPr>
            <w:tcW w:w="0" w:type="auto"/>
            <w:tcMar>
              <w:top w:w="0" w:type="dxa"/>
              <w:left w:w="0" w:type="dxa"/>
              <w:bottom w:w="0" w:type="dxa"/>
              <w:right w:w="0" w:type="dxa"/>
            </w:tcMar>
            <w:hideMark/>
          </w:tcPr>
          <w:p w14:paraId="74822C1F" w14:textId="77777777" w:rsidR="0087113F" w:rsidRDefault="004837DC">
            <w:pPr>
              <w:rPr>
                <w:color w:val="000000"/>
                <w:sz w:val="20"/>
                <w:szCs w:val="20"/>
              </w:rPr>
            </w:pPr>
            <w:r>
              <w:rPr>
                <w:color w:val="000000"/>
                <w:sz w:val="20"/>
                <w:szCs w:val="20"/>
              </w:rPr>
              <w:t> </w:t>
            </w:r>
          </w:p>
        </w:tc>
      </w:tr>
    </w:tbl>
    <w:p w14:paraId="749427FB" w14:textId="77777777" w:rsidR="0087113F" w:rsidRDefault="0087113F">
      <w:pPr>
        <w:rPr>
          <w:vanish/>
        </w:rPr>
      </w:pPr>
    </w:p>
    <w:p w14:paraId="72CEC6CF" w14:textId="4FDE15F0" w:rsidR="0087113F" w:rsidRDefault="004837DC">
      <w:pPr>
        <w:jc w:val="both"/>
        <w:rPr>
          <w:sz w:val="20"/>
          <w:szCs w:val="20"/>
        </w:rPr>
      </w:pPr>
      <w:r>
        <w:rPr>
          <w:color w:val="FF0000"/>
          <w:sz w:val="20"/>
          <w:szCs w:val="20"/>
        </w:rPr>
        <w:t>The information in this preliminary prospectus is not complete and may be c</w:t>
      </w:r>
      <w:r w:rsidR="00F77489">
        <w:rPr>
          <w:color w:val="FF0000"/>
          <w:sz w:val="20"/>
          <w:szCs w:val="20"/>
        </w:rPr>
        <w:t>hanged. The selling stockholder</w:t>
      </w:r>
      <w:r w:rsidR="005B1C7A">
        <w:rPr>
          <w:color w:val="FF0000"/>
          <w:sz w:val="20"/>
          <w:szCs w:val="20"/>
        </w:rPr>
        <w:t>s</w:t>
      </w:r>
      <w:r>
        <w:rPr>
          <w:color w:val="FF0000"/>
          <w:sz w:val="20"/>
          <w:szCs w:val="20"/>
        </w:rPr>
        <w:t xml:space="preserve"> may not sell these securities until the registration statement filed with the Securities and Exchange Commission is effective. This preliminary prospectus is not an offer to sell these securities and we are not soliciting an offer to buy these securities in any state or jurisdiction where the offer or sale is not permitted.</w:t>
      </w:r>
    </w:p>
    <w:p w14:paraId="01ADF282" w14:textId="77777777" w:rsidR="0087113F" w:rsidRDefault="004837DC">
      <w:pPr>
        <w:jc w:val="both"/>
        <w:rPr>
          <w:color w:val="FF0000"/>
          <w:sz w:val="20"/>
          <w:szCs w:val="20"/>
        </w:rPr>
      </w:pPr>
      <w:r>
        <w:rPr>
          <w:color w:val="FF0000"/>
          <w:sz w:val="20"/>
          <w:szCs w:val="20"/>
        </w:rPr>
        <w:t> </w:t>
      </w:r>
    </w:p>
    <w:p w14:paraId="093D09B8" w14:textId="3EAAF1E3" w:rsidR="001E55D3" w:rsidRDefault="004D4D36" w:rsidP="001E55D3">
      <w:pPr>
        <w:jc w:val="center"/>
        <w:rPr>
          <w:color w:val="FF0000"/>
          <w:sz w:val="20"/>
          <w:szCs w:val="20"/>
        </w:rPr>
      </w:pPr>
      <w:r>
        <w:rPr>
          <w:b/>
          <w:bCs/>
          <w:color w:val="FF0000"/>
          <w:sz w:val="20"/>
          <w:szCs w:val="20"/>
        </w:rPr>
        <w:t xml:space="preserve">SUBJECT TO COMPLETION, DATED </w:t>
      </w:r>
      <w:r w:rsidR="00790384">
        <w:rPr>
          <w:b/>
          <w:bCs/>
          <w:color w:val="FF0000"/>
          <w:sz w:val="20"/>
          <w:szCs w:val="20"/>
        </w:rPr>
        <w:t>June</w:t>
      </w:r>
      <w:r w:rsidR="00ED4457">
        <w:rPr>
          <w:b/>
          <w:bCs/>
          <w:color w:val="FF0000"/>
          <w:sz w:val="20"/>
          <w:szCs w:val="20"/>
        </w:rPr>
        <w:t xml:space="preserve"> </w:t>
      </w:r>
      <w:r w:rsidR="0039388C">
        <w:rPr>
          <w:b/>
          <w:bCs/>
          <w:color w:val="FF0000"/>
          <w:sz w:val="20"/>
          <w:szCs w:val="20"/>
        </w:rPr>
        <w:t>14</w:t>
      </w:r>
      <w:r w:rsidR="001E55D3">
        <w:rPr>
          <w:b/>
          <w:bCs/>
          <w:color w:val="FF0000"/>
          <w:sz w:val="20"/>
          <w:szCs w:val="20"/>
        </w:rPr>
        <w:t>, 2022</w:t>
      </w:r>
    </w:p>
    <w:p w14:paraId="05AA9CEF" w14:textId="77777777" w:rsidR="001E55D3" w:rsidRDefault="001E55D3">
      <w:pPr>
        <w:jc w:val="both"/>
        <w:rPr>
          <w:sz w:val="20"/>
          <w:szCs w:val="20"/>
        </w:rPr>
      </w:pPr>
    </w:p>
    <w:p w14:paraId="7D53330F" w14:textId="77777777" w:rsidR="0087113F" w:rsidRDefault="004837DC">
      <w:pPr>
        <w:jc w:val="center"/>
        <w:rPr>
          <w:sz w:val="20"/>
          <w:szCs w:val="20"/>
        </w:rPr>
      </w:pPr>
      <w:r>
        <w:rPr>
          <w:b/>
          <w:bCs/>
          <w:color w:val="FF0000"/>
          <w:sz w:val="20"/>
          <w:szCs w:val="20"/>
        </w:rPr>
        <w:t>PRELIMINARY PROSPECTUS</w:t>
      </w:r>
    </w:p>
    <w:p w14:paraId="7BDACADF" w14:textId="77777777" w:rsidR="001E55D3" w:rsidRPr="00F77489" w:rsidRDefault="004837DC" w:rsidP="00F77489">
      <w:pPr>
        <w:jc w:val="center"/>
        <w:rPr>
          <w:sz w:val="20"/>
          <w:szCs w:val="20"/>
        </w:rPr>
      </w:pPr>
      <w:r>
        <w:rPr>
          <w:color w:val="FF0000"/>
          <w:sz w:val="20"/>
          <w:szCs w:val="20"/>
        </w:rPr>
        <w:t> </w:t>
      </w:r>
    </w:p>
    <w:p w14:paraId="13A5D310" w14:textId="77777777" w:rsidR="001E55D3" w:rsidRDefault="001E55D3">
      <w:pPr>
        <w:jc w:val="center"/>
        <w:rPr>
          <w:sz w:val="20"/>
          <w:szCs w:val="20"/>
        </w:rPr>
      </w:pPr>
      <w:r>
        <w:rPr>
          <w:noProof/>
        </w:rPr>
        <w:drawing>
          <wp:inline distT="0" distB="0" distL="0" distR="0" wp14:anchorId="74B4F953" wp14:editId="5DCDEE1F">
            <wp:extent cx="3419475" cy="1009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19475" cy="1009650"/>
                    </a:xfrm>
                    <a:prstGeom prst="rect">
                      <a:avLst/>
                    </a:prstGeom>
                  </pic:spPr>
                </pic:pic>
              </a:graphicData>
            </a:graphic>
          </wp:inline>
        </w:drawing>
      </w:r>
    </w:p>
    <w:p w14:paraId="5B9EBEA3" w14:textId="79246539" w:rsidR="0087113F" w:rsidRDefault="004837DC">
      <w:pPr>
        <w:jc w:val="center"/>
        <w:rPr>
          <w:b/>
          <w:bCs/>
          <w:sz w:val="20"/>
          <w:szCs w:val="20"/>
        </w:rPr>
      </w:pPr>
      <w:r>
        <w:rPr>
          <w:b/>
          <w:bCs/>
          <w:sz w:val="20"/>
          <w:szCs w:val="20"/>
        </w:rPr>
        <w:t> </w:t>
      </w:r>
    </w:p>
    <w:p w14:paraId="044C2E6D" w14:textId="1C78D87B" w:rsidR="00FA4890" w:rsidRDefault="00FA4890">
      <w:pPr>
        <w:jc w:val="center"/>
        <w:rPr>
          <w:b/>
          <w:bCs/>
          <w:sz w:val="20"/>
          <w:szCs w:val="20"/>
        </w:rPr>
      </w:pPr>
    </w:p>
    <w:p w14:paraId="74046B66" w14:textId="77777777" w:rsidR="0087113F" w:rsidRDefault="001E55D3">
      <w:pPr>
        <w:jc w:val="center"/>
        <w:rPr>
          <w:sz w:val="20"/>
          <w:szCs w:val="20"/>
        </w:rPr>
      </w:pPr>
      <w:r>
        <w:rPr>
          <w:b/>
          <w:bCs/>
          <w:sz w:val="20"/>
          <w:szCs w:val="20"/>
        </w:rPr>
        <w:t>GEOVAX LABS, INC.</w:t>
      </w:r>
    </w:p>
    <w:p w14:paraId="68990F61" w14:textId="77777777" w:rsidR="0087113F" w:rsidRDefault="004837DC">
      <w:pPr>
        <w:jc w:val="center"/>
        <w:rPr>
          <w:sz w:val="20"/>
          <w:szCs w:val="20"/>
        </w:rPr>
      </w:pPr>
      <w:r>
        <w:rPr>
          <w:sz w:val="20"/>
          <w:szCs w:val="20"/>
        </w:rPr>
        <w:t> </w:t>
      </w:r>
    </w:p>
    <w:p w14:paraId="52EFE8A9" w14:textId="25EC63D2" w:rsidR="0087113F" w:rsidRDefault="004F5282">
      <w:pPr>
        <w:jc w:val="center"/>
        <w:rPr>
          <w:sz w:val="20"/>
          <w:szCs w:val="20"/>
        </w:rPr>
      </w:pPr>
      <w:r>
        <w:rPr>
          <w:b/>
          <w:bCs/>
          <w:sz w:val="20"/>
          <w:szCs w:val="20"/>
        </w:rPr>
        <w:t>21,</w:t>
      </w:r>
      <w:r w:rsidR="0091389D">
        <w:rPr>
          <w:b/>
          <w:bCs/>
          <w:sz w:val="20"/>
          <w:szCs w:val="20"/>
        </w:rPr>
        <w:t>4</w:t>
      </w:r>
      <w:r>
        <w:rPr>
          <w:b/>
          <w:bCs/>
          <w:sz w:val="20"/>
          <w:szCs w:val="20"/>
        </w:rPr>
        <w:t>12,124</w:t>
      </w:r>
      <w:r w:rsidR="004837DC">
        <w:rPr>
          <w:b/>
          <w:bCs/>
          <w:sz w:val="20"/>
          <w:szCs w:val="20"/>
        </w:rPr>
        <w:t xml:space="preserve"> Shares of Common Stock</w:t>
      </w:r>
    </w:p>
    <w:p w14:paraId="58BD6EDD" w14:textId="77777777" w:rsidR="0087113F" w:rsidRDefault="004837DC">
      <w:pPr>
        <w:jc w:val="center"/>
        <w:rPr>
          <w:sz w:val="20"/>
          <w:szCs w:val="20"/>
        </w:rPr>
      </w:pPr>
      <w:r>
        <w:rPr>
          <w:sz w:val="20"/>
          <w:szCs w:val="20"/>
        </w:rPr>
        <w:t> </w:t>
      </w:r>
    </w:p>
    <w:p w14:paraId="7652FB75" w14:textId="1B9FA182" w:rsidR="0087113F" w:rsidRPr="004B66E2" w:rsidRDefault="004837DC">
      <w:pPr>
        <w:ind w:firstLine="720"/>
        <w:jc w:val="both"/>
        <w:rPr>
          <w:sz w:val="20"/>
          <w:szCs w:val="20"/>
        </w:rPr>
      </w:pPr>
      <w:r w:rsidRPr="004B66E2">
        <w:rPr>
          <w:sz w:val="20"/>
          <w:szCs w:val="20"/>
        </w:rPr>
        <w:t>This prospectus relates to the resale</w:t>
      </w:r>
      <w:r w:rsidR="00BD7579">
        <w:rPr>
          <w:sz w:val="20"/>
          <w:szCs w:val="20"/>
        </w:rPr>
        <w:t xml:space="preserve"> </w:t>
      </w:r>
      <w:r w:rsidRPr="004B66E2">
        <w:rPr>
          <w:sz w:val="20"/>
          <w:szCs w:val="20"/>
        </w:rPr>
        <w:t xml:space="preserve">of up to an aggregate of </w:t>
      </w:r>
      <w:r w:rsidR="004F5282">
        <w:rPr>
          <w:sz w:val="20"/>
          <w:szCs w:val="20"/>
        </w:rPr>
        <w:t>21,</w:t>
      </w:r>
      <w:r w:rsidR="0091389D">
        <w:rPr>
          <w:sz w:val="20"/>
          <w:szCs w:val="20"/>
        </w:rPr>
        <w:t>4</w:t>
      </w:r>
      <w:r w:rsidR="004F5282">
        <w:rPr>
          <w:sz w:val="20"/>
          <w:szCs w:val="20"/>
        </w:rPr>
        <w:t>12,124</w:t>
      </w:r>
      <w:r w:rsidRPr="004B66E2">
        <w:rPr>
          <w:sz w:val="20"/>
          <w:szCs w:val="20"/>
        </w:rPr>
        <w:t xml:space="preserve"> shares </w:t>
      </w:r>
      <w:r w:rsidR="000E45DF">
        <w:rPr>
          <w:sz w:val="20"/>
          <w:szCs w:val="20"/>
        </w:rPr>
        <w:t xml:space="preserve">(the “Common Shares”) </w:t>
      </w:r>
      <w:r w:rsidRPr="004B66E2">
        <w:rPr>
          <w:sz w:val="20"/>
          <w:szCs w:val="20"/>
        </w:rPr>
        <w:t xml:space="preserve">of our common stock, </w:t>
      </w:r>
      <w:r w:rsidR="004B66E2" w:rsidRPr="004B66E2">
        <w:rPr>
          <w:sz w:val="20"/>
          <w:szCs w:val="20"/>
        </w:rPr>
        <w:t>par value $0.0</w:t>
      </w:r>
      <w:r w:rsidR="006D0EDF">
        <w:rPr>
          <w:sz w:val="20"/>
          <w:szCs w:val="20"/>
        </w:rPr>
        <w:t>01 per share</w:t>
      </w:r>
      <w:r w:rsidR="000E45DF">
        <w:rPr>
          <w:sz w:val="20"/>
          <w:szCs w:val="20"/>
        </w:rPr>
        <w:t xml:space="preserve"> (the “Common Stock”)</w:t>
      </w:r>
      <w:r w:rsidR="006D0EDF">
        <w:rPr>
          <w:sz w:val="20"/>
          <w:szCs w:val="20"/>
        </w:rPr>
        <w:t>, consisting of</w:t>
      </w:r>
      <w:r w:rsidRPr="004B66E2">
        <w:rPr>
          <w:sz w:val="20"/>
          <w:szCs w:val="20"/>
        </w:rPr>
        <w:t xml:space="preserve"> </w:t>
      </w:r>
      <w:r w:rsidR="004B66E2" w:rsidRPr="004B66E2">
        <w:rPr>
          <w:sz w:val="20"/>
          <w:szCs w:val="20"/>
        </w:rPr>
        <w:t xml:space="preserve">(i) </w:t>
      </w:r>
      <w:r w:rsidR="004F5282">
        <w:rPr>
          <w:sz w:val="20"/>
          <w:szCs w:val="20"/>
        </w:rPr>
        <w:t xml:space="preserve">9,090,910 shares of </w:t>
      </w:r>
      <w:r w:rsidR="000E45DF">
        <w:rPr>
          <w:sz w:val="20"/>
          <w:szCs w:val="20"/>
        </w:rPr>
        <w:t>C</w:t>
      </w:r>
      <w:r w:rsidR="004F5282">
        <w:rPr>
          <w:sz w:val="20"/>
          <w:szCs w:val="20"/>
        </w:rPr>
        <w:t xml:space="preserve">ommon </w:t>
      </w:r>
      <w:r w:rsidR="000E45DF">
        <w:rPr>
          <w:sz w:val="20"/>
          <w:szCs w:val="20"/>
        </w:rPr>
        <w:t>S</w:t>
      </w:r>
      <w:r w:rsidR="004F5282">
        <w:rPr>
          <w:sz w:val="20"/>
          <w:szCs w:val="20"/>
        </w:rPr>
        <w:t xml:space="preserve">tock issuable upon the exercise of pre-funded warrants issued in </w:t>
      </w:r>
      <w:r w:rsidR="000E45DF">
        <w:rPr>
          <w:sz w:val="20"/>
          <w:szCs w:val="20"/>
        </w:rPr>
        <w:t>the P</w:t>
      </w:r>
      <w:r w:rsidR="004F5282">
        <w:rPr>
          <w:sz w:val="20"/>
          <w:szCs w:val="20"/>
        </w:rPr>
        <w:t xml:space="preserve">rivate </w:t>
      </w:r>
      <w:r w:rsidR="000E45DF">
        <w:rPr>
          <w:sz w:val="20"/>
          <w:szCs w:val="20"/>
        </w:rPr>
        <w:t>P</w:t>
      </w:r>
      <w:r w:rsidR="004F5282">
        <w:rPr>
          <w:sz w:val="20"/>
          <w:szCs w:val="20"/>
        </w:rPr>
        <w:t>lacement (the “</w:t>
      </w:r>
      <w:r w:rsidR="000E45DF">
        <w:rPr>
          <w:sz w:val="20"/>
          <w:szCs w:val="20"/>
        </w:rPr>
        <w:t>Pre-Funded Warrant</w:t>
      </w:r>
      <w:r w:rsidR="004F5282">
        <w:rPr>
          <w:sz w:val="20"/>
          <w:szCs w:val="20"/>
        </w:rPr>
        <w:t>”)</w:t>
      </w:r>
      <w:r w:rsidR="0091389D">
        <w:rPr>
          <w:sz w:val="20"/>
          <w:szCs w:val="20"/>
        </w:rPr>
        <w:t xml:space="preserve">, </w:t>
      </w:r>
      <w:r w:rsidR="004F5282">
        <w:rPr>
          <w:sz w:val="20"/>
          <w:szCs w:val="20"/>
        </w:rPr>
        <w:t>(ii) 12,121,2</w:t>
      </w:r>
      <w:r w:rsidR="003B2B5C">
        <w:rPr>
          <w:sz w:val="20"/>
          <w:szCs w:val="20"/>
        </w:rPr>
        <w:t>1</w:t>
      </w:r>
      <w:r w:rsidR="004F5282">
        <w:rPr>
          <w:sz w:val="20"/>
          <w:szCs w:val="20"/>
        </w:rPr>
        <w:t xml:space="preserve">4 shares of </w:t>
      </w:r>
      <w:r w:rsidR="000E45DF">
        <w:rPr>
          <w:sz w:val="20"/>
          <w:szCs w:val="20"/>
        </w:rPr>
        <w:t>C</w:t>
      </w:r>
      <w:r w:rsidR="004F5282">
        <w:rPr>
          <w:sz w:val="20"/>
          <w:szCs w:val="20"/>
        </w:rPr>
        <w:t xml:space="preserve">ommon </w:t>
      </w:r>
      <w:r w:rsidR="000E45DF">
        <w:rPr>
          <w:sz w:val="20"/>
          <w:szCs w:val="20"/>
        </w:rPr>
        <w:t>S</w:t>
      </w:r>
      <w:r w:rsidR="004F5282">
        <w:rPr>
          <w:sz w:val="20"/>
          <w:szCs w:val="20"/>
        </w:rPr>
        <w:t>tock issuable upon the exercise of preferred investment options issued in the Private Placement at an exercise price of $1.65 per share</w:t>
      </w:r>
      <w:r w:rsidR="0091389D">
        <w:rPr>
          <w:sz w:val="20"/>
          <w:szCs w:val="20"/>
        </w:rPr>
        <w:t xml:space="preserve"> (the “Preferred Investment Option”),</w:t>
      </w:r>
      <w:r w:rsidR="000E45DF">
        <w:rPr>
          <w:sz w:val="20"/>
          <w:szCs w:val="20"/>
        </w:rPr>
        <w:t xml:space="preserve"> </w:t>
      </w:r>
      <w:r w:rsidR="0091389D">
        <w:rPr>
          <w:sz w:val="20"/>
          <w:szCs w:val="20"/>
        </w:rPr>
        <w:t xml:space="preserve">(iii) 128,000 shares of Common Stock issuable upon the exercise of a warrant issued in a public offering in September 2020 at an exercise price of $5.50 per share (the “2020 Common Warrant”) and (iv) 72,000 shares of Common Stock issuable upon the exercise of a warrant issued in a public offering in February 2021 at an exercise price of $6.875 per share </w:t>
      </w:r>
      <w:r w:rsidR="000E45DF">
        <w:rPr>
          <w:sz w:val="20"/>
          <w:szCs w:val="20"/>
        </w:rPr>
        <w:t xml:space="preserve">(the </w:t>
      </w:r>
      <w:r w:rsidR="0091389D">
        <w:rPr>
          <w:sz w:val="20"/>
          <w:szCs w:val="20"/>
        </w:rPr>
        <w:t xml:space="preserve">“2021 Common Warrant” and together with the </w:t>
      </w:r>
      <w:r w:rsidR="00A72724">
        <w:rPr>
          <w:sz w:val="20"/>
          <w:szCs w:val="20"/>
        </w:rPr>
        <w:t xml:space="preserve">Pre-Funded Warrant, </w:t>
      </w:r>
      <w:r w:rsidR="0091389D">
        <w:rPr>
          <w:sz w:val="20"/>
          <w:szCs w:val="20"/>
        </w:rPr>
        <w:t xml:space="preserve">the Preferred Investment Option and the 2020 Common Warrant, </w:t>
      </w:r>
      <w:r w:rsidR="00A72724">
        <w:rPr>
          <w:sz w:val="20"/>
          <w:szCs w:val="20"/>
        </w:rPr>
        <w:t>the</w:t>
      </w:r>
      <w:r w:rsidR="000E45DF">
        <w:rPr>
          <w:sz w:val="20"/>
          <w:szCs w:val="20"/>
        </w:rPr>
        <w:t xml:space="preserve"> “Warrants” and</w:t>
      </w:r>
      <w:r w:rsidR="00A72724">
        <w:rPr>
          <w:sz w:val="20"/>
          <w:szCs w:val="20"/>
        </w:rPr>
        <w:t xml:space="preserve">, collectively with the </w:t>
      </w:r>
      <w:r w:rsidR="000E45DF">
        <w:rPr>
          <w:sz w:val="20"/>
          <w:szCs w:val="20"/>
        </w:rPr>
        <w:t xml:space="preserve">Pre-Funded Warrant and </w:t>
      </w:r>
      <w:r w:rsidR="004B66E2" w:rsidRPr="00336ABC">
        <w:rPr>
          <w:sz w:val="20"/>
          <w:szCs w:val="20"/>
        </w:rPr>
        <w:t>Common Shares, the “Securities”).</w:t>
      </w:r>
      <w:r w:rsidR="00BD7579">
        <w:rPr>
          <w:sz w:val="20"/>
          <w:szCs w:val="20"/>
        </w:rPr>
        <w:t xml:space="preserve">  This prospectus relates to the resale of up to an aggregate of 21,212,124 Common Shares issuable upon the exercise of the Pre-Funded Warrant and the Preferred Investment Option </w:t>
      </w:r>
      <w:r w:rsidR="00BD7579" w:rsidRPr="004B66E2">
        <w:rPr>
          <w:sz w:val="20"/>
          <w:szCs w:val="20"/>
        </w:rPr>
        <w:t xml:space="preserve">by </w:t>
      </w:r>
      <w:r w:rsidR="00BD7579">
        <w:rPr>
          <w:sz w:val="20"/>
          <w:szCs w:val="20"/>
        </w:rPr>
        <w:t xml:space="preserve">Armistice Capital Master Fund Ltd., </w:t>
      </w:r>
      <w:r w:rsidR="00BD7579" w:rsidRPr="00F92A01">
        <w:rPr>
          <w:sz w:val="20"/>
          <w:szCs w:val="20"/>
        </w:rPr>
        <w:t>a Cayman Islands exempted company</w:t>
      </w:r>
      <w:r w:rsidR="00BD7579">
        <w:rPr>
          <w:sz w:val="20"/>
          <w:szCs w:val="20"/>
        </w:rPr>
        <w:t xml:space="preserve"> (“Armistice”), 128,000 Common Shares issuable upon the exercise of the 2020 Common Warrant by Maxim </w:t>
      </w:r>
      <w:r w:rsidR="0043187A">
        <w:rPr>
          <w:sz w:val="20"/>
          <w:szCs w:val="20"/>
        </w:rPr>
        <w:t xml:space="preserve">Partners </w:t>
      </w:r>
      <w:r w:rsidR="00BD7579">
        <w:rPr>
          <w:sz w:val="20"/>
          <w:szCs w:val="20"/>
        </w:rPr>
        <w:t xml:space="preserve">LLC (“Maxim </w:t>
      </w:r>
      <w:r w:rsidR="0043187A">
        <w:rPr>
          <w:sz w:val="20"/>
          <w:szCs w:val="20"/>
        </w:rPr>
        <w:t>Partners</w:t>
      </w:r>
      <w:r w:rsidR="00BD7579">
        <w:rPr>
          <w:sz w:val="20"/>
          <w:szCs w:val="20"/>
        </w:rPr>
        <w:t>”</w:t>
      </w:r>
      <w:r w:rsidR="0043187A">
        <w:rPr>
          <w:sz w:val="20"/>
          <w:szCs w:val="20"/>
        </w:rPr>
        <w:t xml:space="preserve"> and together with Armistice, the “Selling Stockholders”</w:t>
      </w:r>
      <w:r w:rsidR="00BD7579">
        <w:rPr>
          <w:sz w:val="20"/>
          <w:szCs w:val="20"/>
        </w:rPr>
        <w:t xml:space="preserve">) and 72,000 Common Shares issuable upon the exercise of the 2021 Common Warrant by </w:t>
      </w:r>
      <w:r w:rsidR="00F07249">
        <w:rPr>
          <w:sz w:val="20"/>
          <w:szCs w:val="20"/>
        </w:rPr>
        <w:t>Maxim</w:t>
      </w:r>
      <w:r w:rsidR="002C73A9">
        <w:rPr>
          <w:sz w:val="20"/>
          <w:szCs w:val="20"/>
        </w:rPr>
        <w:t xml:space="preserve"> Partners</w:t>
      </w:r>
      <w:r w:rsidR="00F07249">
        <w:rPr>
          <w:sz w:val="20"/>
          <w:szCs w:val="20"/>
        </w:rPr>
        <w:t>.</w:t>
      </w:r>
    </w:p>
    <w:p w14:paraId="6885BC46" w14:textId="77777777" w:rsidR="0087113F" w:rsidRPr="004B66E2" w:rsidRDefault="004837DC">
      <w:pPr>
        <w:ind w:firstLine="720"/>
        <w:jc w:val="both"/>
        <w:rPr>
          <w:sz w:val="20"/>
          <w:szCs w:val="20"/>
        </w:rPr>
      </w:pPr>
      <w:r w:rsidRPr="004B66E2">
        <w:rPr>
          <w:sz w:val="20"/>
          <w:szCs w:val="20"/>
        </w:rPr>
        <w:t> </w:t>
      </w:r>
    </w:p>
    <w:p w14:paraId="6D94C489" w14:textId="4B950CBE" w:rsidR="0087113F" w:rsidRPr="004B66E2" w:rsidRDefault="004837DC">
      <w:pPr>
        <w:ind w:firstLine="720"/>
        <w:jc w:val="both"/>
        <w:rPr>
          <w:sz w:val="20"/>
          <w:szCs w:val="20"/>
        </w:rPr>
      </w:pPr>
      <w:r w:rsidRPr="004B66E2">
        <w:rPr>
          <w:sz w:val="20"/>
          <w:szCs w:val="20"/>
        </w:rPr>
        <w:t xml:space="preserve">We will not receive any proceeds from the sale of </w:t>
      </w:r>
      <w:r w:rsidR="000E45DF">
        <w:rPr>
          <w:sz w:val="20"/>
          <w:szCs w:val="20"/>
        </w:rPr>
        <w:t>the Common S</w:t>
      </w:r>
      <w:r w:rsidRPr="004B66E2">
        <w:rPr>
          <w:sz w:val="20"/>
          <w:szCs w:val="20"/>
        </w:rPr>
        <w:t xml:space="preserve">hares </w:t>
      </w:r>
      <w:r w:rsidR="000E45DF">
        <w:rPr>
          <w:sz w:val="20"/>
          <w:szCs w:val="20"/>
        </w:rPr>
        <w:t xml:space="preserve">covered by this prospectus </w:t>
      </w:r>
      <w:r w:rsidRPr="004B66E2">
        <w:rPr>
          <w:sz w:val="20"/>
          <w:szCs w:val="20"/>
        </w:rPr>
        <w:t>b</w:t>
      </w:r>
      <w:r w:rsidR="004B66E2" w:rsidRPr="004B66E2">
        <w:rPr>
          <w:sz w:val="20"/>
          <w:szCs w:val="20"/>
        </w:rPr>
        <w:t xml:space="preserve">y </w:t>
      </w:r>
      <w:r w:rsidR="00F77489">
        <w:rPr>
          <w:sz w:val="20"/>
          <w:szCs w:val="20"/>
        </w:rPr>
        <w:t>the Selling Stockholder</w:t>
      </w:r>
      <w:r w:rsidR="00F07249">
        <w:rPr>
          <w:sz w:val="20"/>
          <w:szCs w:val="20"/>
        </w:rPr>
        <w:t>s</w:t>
      </w:r>
      <w:r w:rsidRPr="004B66E2">
        <w:rPr>
          <w:sz w:val="20"/>
          <w:szCs w:val="20"/>
        </w:rPr>
        <w:t xml:space="preserve">. All net proceeds from the sale of </w:t>
      </w:r>
      <w:r w:rsidR="000E45DF">
        <w:rPr>
          <w:sz w:val="20"/>
          <w:szCs w:val="20"/>
        </w:rPr>
        <w:t xml:space="preserve">the Common Shares </w:t>
      </w:r>
      <w:r w:rsidRPr="004B66E2">
        <w:rPr>
          <w:sz w:val="20"/>
          <w:szCs w:val="20"/>
        </w:rPr>
        <w:t xml:space="preserve">covered by this prospectus will go to the </w:t>
      </w:r>
      <w:r w:rsidR="00F77489">
        <w:rPr>
          <w:sz w:val="20"/>
          <w:szCs w:val="20"/>
        </w:rPr>
        <w:t>S</w:t>
      </w:r>
      <w:r w:rsidRPr="004B66E2">
        <w:rPr>
          <w:sz w:val="20"/>
          <w:szCs w:val="20"/>
        </w:rPr>
        <w:t xml:space="preserve">elling </w:t>
      </w:r>
      <w:r w:rsidR="00F77489">
        <w:rPr>
          <w:sz w:val="20"/>
          <w:szCs w:val="20"/>
        </w:rPr>
        <w:t>S</w:t>
      </w:r>
      <w:r w:rsidRPr="004B66E2">
        <w:rPr>
          <w:sz w:val="20"/>
          <w:szCs w:val="20"/>
        </w:rPr>
        <w:t>tockholder</w:t>
      </w:r>
      <w:r w:rsidR="00F07249">
        <w:rPr>
          <w:sz w:val="20"/>
          <w:szCs w:val="20"/>
        </w:rPr>
        <w:t>s</w:t>
      </w:r>
      <w:r w:rsidRPr="004B66E2">
        <w:rPr>
          <w:sz w:val="20"/>
          <w:szCs w:val="20"/>
        </w:rPr>
        <w:t xml:space="preserve">. However, we may receive the proceeds from any exercise of </w:t>
      </w:r>
      <w:r w:rsidR="00F07249">
        <w:rPr>
          <w:sz w:val="20"/>
          <w:szCs w:val="20"/>
        </w:rPr>
        <w:t xml:space="preserve">each of </w:t>
      </w:r>
      <w:r w:rsidRPr="004B66E2">
        <w:rPr>
          <w:sz w:val="20"/>
          <w:szCs w:val="20"/>
        </w:rPr>
        <w:t xml:space="preserve">the </w:t>
      </w:r>
      <w:r w:rsidR="000E45DF">
        <w:rPr>
          <w:sz w:val="20"/>
          <w:szCs w:val="20"/>
        </w:rPr>
        <w:t>Preferred Investment Option</w:t>
      </w:r>
      <w:r w:rsidR="00F07249">
        <w:rPr>
          <w:sz w:val="20"/>
          <w:szCs w:val="20"/>
        </w:rPr>
        <w:t>, the 2020 Common Warrant or the 2021 Common Warrant.</w:t>
      </w:r>
      <w:r w:rsidRPr="004B66E2">
        <w:rPr>
          <w:sz w:val="20"/>
          <w:szCs w:val="20"/>
        </w:rPr>
        <w:t xml:space="preserve"> See “Use of Proceeds.”</w:t>
      </w:r>
    </w:p>
    <w:p w14:paraId="7F44A650" w14:textId="77777777" w:rsidR="0087113F" w:rsidRPr="004B66E2" w:rsidRDefault="004837DC">
      <w:pPr>
        <w:ind w:firstLine="720"/>
        <w:jc w:val="both"/>
        <w:rPr>
          <w:sz w:val="20"/>
          <w:szCs w:val="20"/>
        </w:rPr>
      </w:pPr>
      <w:r w:rsidRPr="004B66E2">
        <w:rPr>
          <w:sz w:val="20"/>
          <w:szCs w:val="20"/>
        </w:rPr>
        <w:t> </w:t>
      </w:r>
    </w:p>
    <w:p w14:paraId="07AD56A8" w14:textId="4188A8B9" w:rsidR="0087113F" w:rsidRPr="00D63ADC" w:rsidRDefault="004B66E2">
      <w:pPr>
        <w:ind w:firstLine="720"/>
        <w:jc w:val="both"/>
        <w:rPr>
          <w:sz w:val="20"/>
          <w:szCs w:val="20"/>
        </w:rPr>
      </w:pPr>
      <w:r w:rsidRPr="004B66E2">
        <w:rPr>
          <w:sz w:val="20"/>
          <w:szCs w:val="20"/>
        </w:rPr>
        <w:t xml:space="preserve">The </w:t>
      </w:r>
      <w:r w:rsidR="00F77489">
        <w:rPr>
          <w:sz w:val="20"/>
          <w:szCs w:val="20"/>
        </w:rPr>
        <w:t>S</w:t>
      </w:r>
      <w:r w:rsidRPr="004B66E2">
        <w:rPr>
          <w:sz w:val="20"/>
          <w:szCs w:val="20"/>
        </w:rPr>
        <w:t xml:space="preserve">elling </w:t>
      </w:r>
      <w:r w:rsidR="00F77489">
        <w:rPr>
          <w:sz w:val="20"/>
          <w:szCs w:val="20"/>
        </w:rPr>
        <w:t>S</w:t>
      </w:r>
      <w:r w:rsidRPr="004B66E2">
        <w:rPr>
          <w:sz w:val="20"/>
          <w:szCs w:val="20"/>
        </w:rPr>
        <w:t>tockholder</w:t>
      </w:r>
      <w:r w:rsidR="00F07249">
        <w:rPr>
          <w:sz w:val="20"/>
          <w:szCs w:val="20"/>
        </w:rPr>
        <w:t>s</w:t>
      </w:r>
      <w:r w:rsidR="004837DC" w:rsidRPr="004B66E2">
        <w:rPr>
          <w:sz w:val="20"/>
          <w:szCs w:val="20"/>
        </w:rPr>
        <w:t xml:space="preserve"> may sell all or a portion of the </w:t>
      </w:r>
      <w:r w:rsidR="000E45DF">
        <w:rPr>
          <w:sz w:val="20"/>
          <w:szCs w:val="20"/>
        </w:rPr>
        <w:t>Common S</w:t>
      </w:r>
      <w:r w:rsidR="004837DC" w:rsidRPr="004B66E2">
        <w:rPr>
          <w:sz w:val="20"/>
          <w:szCs w:val="20"/>
        </w:rPr>
        <w:t xml:space="preserve">hares </w:t>
      </w:r>
      <w:r w:rsidR="00D63ADC">
        <w:rPr>
          <w:sz w:val="20"/>
          <w:szCs w:val="20"/>
        </w:rPr>
        <w:t>s</w:t>
      </w:r>
      <w:r w:rsidR="004837DC" w:rsidRPr="004B66E2">
        <w:rPr>
          <w:sz w:val="20"/>
          <w:szCs w:val="20"/>
        </w:rPr>
        <w:t xml:space="preserve">tock </w:t>
      </w:r>
      <w:r>
        <w:rPr>
          <w:sz w:val="20"/>
          <w:szCs w:val="20"/>
        </w:rPr>
        <w:t xml:space="preserve">covered by this prospectus </w:t>
      </w:r>
      <w:r w:rsidR="004837DC" w:rsidRPr="004B66E2">
        <w:rPr>
          <w:sz w:val="20"/>
          <w:szCs w:val="20"/>
        </w:rPr>
        <w:t xml:space="preserve">from time to time in market transactions through any market on which our shares of </w:t>
      </w:r>
      <w:r w:rsidR="00D63ADC">
        <w:rPr>
          <w:sz w:val="20"/>
          <w:szCs w:val="20"/>
        </w:rPr>
        <w:t>c</w:t>
      </w:r>
      <w:r w:rsidR="004837DC" w:rsidRPr="004B66E2">
        <w:rPr>
          <w:sz w:val="20"/>
          <w:szCs w:val="20"/>
        </w:rPr>
        <w:t xml:space="preserve">ommon </w:t>
      </w:r>
      <w:r w:rsidR="00D63ADC">
        <w:rPr>
          <w:sz w:val="20"/>
          <w:szCs w:val="20"/>
        </w:rPr>
        <w:t>s</w:t>
      </w:r>
      <w:r w:rsidR="004837DC" w:rsidRPr="004B66E2">
        <w:rPr>
          <w:sz w:val="20"/>
          <w:szCs w:val="20"/>
        </w:rPr>
        <w:t xml:space="preserve">tock are then traded, in negotiated transactions or otherwise, and at prices and on terms that will be determined by the then prevailing market price or </w:t>
      </w:r>
      <w:r w:rsidR="004837DC" w:rsidRPr="00D63ADC">
        <w:rPr>
          <w:sz w:val="20"/>
          <w:szCs w:val="20"/>
        </w:rPr>
        <w:t>at negotiated prices directly or through a broker or brokers, who may act as agent or as principal or by a combination of such methods of sale. See “Plan of Distribution.”</w:t>
      </w:r>
    </w:p>
    <w:p w14:paraId="1FE22DCB" w14:textId="77777777" w:rsidR="0087113F" w:rsidRPr="00D63ADC" w:rsidRDefault="004837DC">
      <w:pPr>
        <w:ind w:firstLine="720"/>
        <w:jc w:val="both"/>
        <w:rPr>
          <w:sz w:val="20"/>
          <w:szCs w:val="20"/>
        </w:rPr>
      </w:pPr>
      <w:r w:rsidRPr="00D63ADC">
        <w:rPr>
          <w:sz w:val="20"/>
          <w:szCs w:val="20"/>
        </w:rPr>
        <w:t> </w:t>
      </w:r>
    </w:p>
    <w:p w14:paraId="43039884" w14:textId="08067D6F" w:rsidR="0087113F" w:rsidRPr="00D63ADC" w:rsidRDefault="004837DC">
      <w:pPr>
        <w:ind w:firstLine="720"/>
        <w:jc w:val="both"/>
        <w:rPr>
          <w:sz w:val="20"/>
          <w:szCs w:val="20"/>
        </w:rPr>
      </w:pPr>
      <w:r w:rsidRPr="00D63ADC">
        <w:rPr>
          <w:sz w:val="20"/>
          <w:szCs w:val="20"/>
        </w:rPr>
        <w:t xml:space="preserve">Our </w:t>
      </w:r>
      <w:r w:rsidR="00D63ADC" w:rsidRPr="00D63ADC">
        <w:rPr>
          <w:sz w:val="20"/>
          <w:szCs w:val="20"/>
        </w:rPr>
        <w:t>c</w:t>
      </w:r>
      <w:r w:rsidRPr="00D63ADC">
        <w:rPr>
          <w:sz w:val="20"/>
          <w:szCs w:val="20"/>
        </w:rPr>
        <w:t xml:space="preserve">ommon </w:t>
      </w:r>
      <w:r w:rsidR="00D63ADC" w:rsidRPr="00D63ADC">
        <w:rPr>
          <w:sz w:val="20"/>
          <w:szCs w:val="20"/>
        </w:rPr>
        <w:t>s</w:t>
      </w:r>
      <w:r w:rsidRPr="00D63ADC">
        <w:rPr>
          <w:sz w:val="20"/>
          <w:szCs w:val="20"/>
        </w:rPr>
        <w:t xml:space="preserve">tock </w:t>
      </w:r>
      <w:r w:rsidR="00D63ADC" w:rsidRPr="00D63ADC">
        <w:rPr>
          <w:sz w:val="20"/>
          <w:szCs w:val="20"/>
        </w:rPr>
        <w:t xml:space="preserve">and </w:t>
      </w:r>
      <w:r w:rsidR="00736016">
        <w:rPr>
          <w:sz w:val="20"/>
          <w:szCs w:val="20"/>
        </w:rPr>
        <w:t xml:space="preserve">the </w:t>
      </w:r>
      <w:r w:rsidR="00D63ADC">
        <w:rPr>
          <w:sz w:val="20"/>
          <w:szCs w:val="20"/>
        </w:rPr>
        <w:t xml:space="preserve">warrants we issued to investors in a September 2020 public offering (the “September </w:t>
      </w:r>
      <w:r w:rsidR="00736016">
        <w:rPr>
          <w:sz w:val="20"/>
          <w:szCs w:val="20"/>
        </w:rPr>
        <w:t xml:space="preserve">2020 </w:t>
      </w:r>
      <w:r w:rsidR="00D63ADC">
        <w:rPr>
          <w:sz w:val="20"/>
          <w:szCs w:val="20"/>
        </w:rPr>
        <w:t>Warrants”)</w:t>
      </w:r>
      <w:r w:rsidR="00D63ADC" w:rsidRPr="00D63ADC">
        <w:rPr>
          <w:sz w:val="20"/>
          <w:szCs w:val="20"/>
        </w:rPr>
        <w:t xml:space="preserve"> are</w:t>
      </w:r>
      <w:r w:rsidRPr="00D63ADC">
        <w:rPr>
          <w:sz w:val="20"/>
          <w:szCs w:val="20"/>
        </w:rPr>
        <w:t xml:space="preserve"> listed on </w:t>
      </w:r>
      <w:r w:rsidR="00D63ADC" w:rsidRPr="00D63ADC">
        <w:rPr>
          <w:sz w:val="20"/>
          <w:szCs w:val="20"/>
        </w:rPr>
        <w:t>the Nasdaq Capital Market</w:t>
      </w:r>
      <w:r w:rsidRPr="00D63ADC">
        <w:rPr>
          <w:sz w:val="20"/>
          <w:szCs w:val="20"/>
        </w:rPr>
        <w:t xml:space="preserve"> under the symbol</w:t>
      </w:r>
      <w:r w:rsidR="00D63ADC" w:rsidRPr="00D63ADC">
        <w:rPr>
          <w:sz w:val="20"/>
          <w:szCs w:val="20"/>
        </w:rPr>
        <w:t>s</w:t>
      </w:r>
      <w:r w:rsidRPr="00D63ADC">
        <w:rPr>
          <w:sz w:val="20"/>
          <w:szCs w:val="20"/>
        </w:rPr>
        <w:t xml:space="preserve"> “</w:t>
      </w:r>
      <w:r w:rsidR="00D63ADC" w:rsidRPr="00D63ADC">
        <w:rPr>
          <w:sz w:val="20"/>
          <w:szCs w:val="20"/>
        </w:rPr>
        <w:t>GOVX</w:t>
      </w:r>
      <w:r w:rsidRPr="00D63ADC">
        <w:rPr>
          <w:sz w:val="20"/>
          <w:szCs w:val="20"/>
        </w:rPr>
        <w:t>”</w:t>
      </w:r>
      <w:r w:rsidR="00D63ADC" w:rsidRPr="00D63ADC">
        <w:rPr>
          <w:sz w:val="20"/>
          <w:szCs w:val="20"/>
        </w:rPr>
        <w:t xml:space="preserve"> and “GOVXW,” respectively.</w:t>
      </w:r>
      <w:r w:rsidRPr="00D63ADC">
        <w:rPr>
          <w:sz w:val="20"/>
          <w:szCs w:val="20"/>
        </w:rPr>
        <w:t xml:space="preserve"> On </w:t>
      </w:r>
      <w:r w:rsidR="00FA4890">
        <w:rPr>
          <w:sz w:val="20"/>
          <w:szCs w:val="20"/>
        </w:rPr>
        <w:t>June</w:t>
      </w:r>
      <w:r w:rsidR="00ED4457">
        <w:rPr>
          <w:sz w:val="20"/>
          <w:szCs w:val="20"/>
        </w:rPr>
        <w:t xml:space="preserve"> </w:t>
      </w:r>
      <w:r w:rsidR="0039388C">
        <w:rPr>
          <w:sz w:val="20"/>
          <w:szCs w:val="20"/>
        </w:rPr>
        <w:t>10</w:t>
      </w:r>
      <w:r w:rsidRPr="00D63ADC">
        <w:rPr>
          <w:sz w:val="20"/>
          <w:szCs w:val="20"/>
        </w:rPr>
        <w:t xml:space="preserve">, 2022, the last reported sale price of our </w:t>
      </w:r>
      <w:r w:rsidR="00D63ADC" w:rsidRPr="00D63ADC">
        <w:rPr>
          <w:sz w:val="20"/>
          <w:szCs w:val="20"/>
        </w:rPr>
        <w:t>c</w:t>
      </w:r>
      <w:r w:rsidRPr="00D63ADC">
        <w:rPr>
          <w:sz w:val="20"/>
          <w:szCs w:val="20"/>
        </w:rPr>
        <w:t xml:space="preserve">ommon </w:t>
      </w:r>
      <w:r w:rsidR="00D63ADC" w:rsidRPr="00D63ADC">
        <w:rPr>
          <w:sz w:val="20"/>
          <w:szCs w:val="20"/>
        </w:rPr>
        <w:t>s</w:t>
      </w:r>
      <w:r w:rsidRPr="00D63ADC">
        <w:rPr>
          <w:sz w:val="20"/>
          <w:szCs w:val="20"/>
        </w:rPr>
        <w:t>tock was $</w:t>
      </w:r>
      <w:r w:rsidR="00691BDC">
        <w:rPr>
          <w:sz w:val="20"/>
          <w:szCs w:val="20"/>
        </w:rPr>
        <w:t>1.42</w:t>
      </w:r>
      <w:r w:rsidRPr="00D63ADC">
        <w:rPr>
          <w:sz w:val="20"/>
          <w:szCs w:val="20"/>
        </w:rPr>
        <w:t xml:space="preserve"> per share</w:t>
      </w:r>
      <w:r w:rsidR="00D63ADC" w:rsidRPr="00D63ADC">
        <w:rPr>
          <w:sz w:val="20"/>
          <w:szCs w:val="20"/>
        </w:rPr>
        <w:t xml:space="preserve"> and the last reported sale price of the September </w:t>
      </w:r>
      <w:r w:rsidR="00FF0811">
        <w:rPr>
          <w:sz w:val="20"/>
          <w:szCs w:val="20"/>
        </w:rPr>
        <w:t xml:space="preserve">2020 </w:t>
      </w:r>
      <w:r w:rsidR="00D63ADC" w:rsidRPr="00D63ADC">
        <w:rPr>
          <w:sz w:val="20"/>
          <w:szCs w:val="20"/>
        </w:rPr>
        <w:t>Warrants was $</w:t>
      </w:r>
      <w:r w:rsidR="00691BDC">
        <w:rPr>
          <w:sz w:val="20"/>
          <w:szCs w:val="20"/>
        </w:rPr>
        <w:t>0.56</w:t>
      </w:r>
      <w:r w:rsidR="00D63ADC" w:rsidRPr="00D63ADC">
        <w:rPr>
          <w:sz w:val="20"/>
          <w:szCs w:val="20"/>
        </w:rPr>
        <w:t xml:space="preserve"> per warrant</w:t>
      </w:r>
      <w:r w:rsidRPr="00D63ADC">
        <w:rPr>
          <w:sz w:val="20"/>
          <w:szCs w:val="20"/>
        </w:rPr>
        <w:t>.</w:t>
      </w:r>
    </w:p>
    <w:p w14:paraId="7BFEDCA3" w14:textId="77777777" w:rsidR="0087113F" w:rsidRPr="00D63ADC" w:rsidRDefault="004837DC">
      <w:pPr>
        <w:ind w:firstLine="720"/>
        <w:jc w:val="both"/>
        <w:rPr>
          <w:sz w:val="20"/>
          <w:szCs w:val="20"/>
        </w:rPr>
      </w:pPr>
      <w:r w:rsidRPr="00D63ADC">
        <w:rPr>
          <w:sz w:val="20"/>
          <w:szCs w:val="20"/>
        </w:rPr>
        <w:lastRenderedPageBreak/>
        <w:t> </w:t>
      </w:r>
    </w:p>
    <w:p w14:paraId="7B634D80" w14:textId="4A434A28" w:rsidR="0087113F" w:rsidRPr="00D63ADC" w:rsidRDefault="004837DC">
      <w:pPr>
        <w:ind w:firstLine="720"/>
        <w:jc w:val="both"/>
        <w:rPr>
          <w:sz w:val="20"/>
          <w:szCs w:val="20"/>
        </w:rPr>
      </w:pPr>
      <w:r w:rsidRPr="00D63ADC">
        <w:rPr>
          <w:b/>
          <w:bCs/>
          <w:sz w:val="20"/>
          <w:szCs w:val="20"/>
        </w:rPr>
        <w:t xml:space="preserve">Investing in our </w:t>
      </w:r>
      <w:r w:rsidR="00D63ADC" w:rsidRPr="00D63ADC">
        <w:rPr>
          <w:b/>
          <w:bCs/>
          <w:sz w:val="20"/>
          <w:szCs w:val="20"/>
        </w:rPr>
        <w:t>shares of common stock</w:t>
      </w:r>
      <w:r w:rsidRPr="00D63ADC">
        <w:rPr>
          <w:b/>
          <w:bCs/>
          <w:sz w:val="20"/>
          <w:szCs w:val="20"/>
        </w:rPr>
        <w:t xml:space="preserve"> involves a high degree of risk. The risks are described in the “Risk Factors” section beginning on page </w:t>
      </w:r>
      <w:r w:rsidR="0070530C">
        <w:rPr>
          <w:b/>
          <w:bCs/>
          <w:sz w:val="20"/>
          <w:szCs w:val="20"/>
        </w:rPr>
        <w:t>6</w:t>
      </w:r>
      <w:r w:rsidRPr="00D63ADC">
        <w:rPr>
          <w:b/>
          <w:bCs/>
          <w:sz w:val="20"/>
          <w:szCs w:val="20"/>
        </w:rPr>
        <w:t xml:space="preserve"> of this prospectus. You should also consider the risk factors described or referred to in any a</w:t>
      </w:r>
      <w:r w:rsidR="00840105">
        <w:rPr>
          <w:b/>
          <w:bCs/>
          <w:sz w:val="20"/>
          <w:szCs w:val="20"/>
        </w:rPr>
        <w:t>pplicable prospectus supplement</w:t>
      </w:r>
      <w:r w:rsidRPr="00D63ADC">
        <w:rPr>
          <w:b/>
          <w:bCs/>
          <w:sz w:val="20"/>
          <w:szCs w:val="20"/>
        </w:rPr>
        <w:t xml:space="preserve"> before investing in these securities.</w:t>
      </w:r>
    </w:p>
    <w:p w14:paraId="2BA1241B" w14:textId="77777777" w:rsidR="0087113F" w:rsidRPr="00D63ADC" w:rsidRDefault="004837DC">
      <w:pPr>
        <w:ind w:firstLine="720"/>
        <w:jc w:val="both"/>
        <w:rPr>
          <w:sz w:val="20"/>
          <w:szCs w:val="20"/>
        </w:rPr>
      </w:pPr>
      <w:r w:rsidRPr="00D63ADC">
        <w:rPr>
          <w:sz w:val="20"/>
          <w:szCs w:val="20"/>
        </w:rPr>
        <w:t> </w:t>
      </w:r>
    </w:p>
    <w:p w14:paraId="5FF2FC58" w14:textId="77777777" w:rsidR="0087113F" w:rsidRDefault="004837DC">
      <w:pPr>
        <w:ind w:firstLine="720"/>
        <w:jc w:val="both"/>
        <w:rPr>
          <w:sz w:val="20"/>
          <w:szCs w:val="20"/>
        </w:rPr>
      </w:pPr>
      <w:r w:rsidRPr="00D63ADC">
        <w:rPr>
          <w:b/>
          <w:bCs/>
          <w:sz w:val="20"/>
          <w:szCs w:val="20"/>
        </w:rPr>
        <w:t xml:space="preserve">Neither the Securities and Exchange Commission (“SEC”) nor any </w:t>
      </w:r>
      <w:r w:rsidR="00D63ADC" w:rsidRPr="00D63ADC">
        <w:rPr>
          <w:b/>
          <w:bCs/>
          <w:sz w:val="20"/>
          <w:szCs w:val="20"/>
        </w:rPr>
        <w:t>other regulatory body</w:t>
      </w:r>
      <w:r w:rsidRPr="00D63ADC">
        <w:rPr>
          <w:b/>
          <w:bCs/>
          <w:sz w:val="20"/>
          <w:szCs w:val="20"/>
        </w:rPr>
        <w:t xml:space="preserve"> has approved or disapproved of these securities or passed upon the accuracy or adequacy of this pro</w:t>
      </w:r>
      <w:r w:rsidR="00D63ADC" w:rsidRPr="00D63ADC">
        <w:rPr>
          <w:b/>
          <w:bCs/>
          <w:sz w:val="20"/>
          <w:szCs w:val="20"/>
        </w:rPr>
        <w:t>spectus</w:t>
      </w:r>
      <w:r w:rsidRPr="00D63ADC">
        <w:rPr>
          <w:b/>
          <w:bCs/>
          <w:sz w:val="20"/>
          <w:szCs w:val="20"/>
        </w:rPr>
        <w:t>. Any representation to the contrary is a criminal offense.</w:t>
      </w:r>
    </w:p>
    <w:p w14:paraId="07C7A253" w14:textId="77777777" w:rsidR="0087113F" w:rsidRDefault="004837DC">
      <w:pPr>
        <w:ind w:firstLine="720"/>
        <w:jc w:val="both"/>
        <w:rPr>
          <w:sz w:val="20"/>
          <w:szCs w:val="20"/>
        </w:rPr>
      </w:pPr>
      <w:r>
        <w:rPr>
          <w:sz w:val="20"/>
          <w:szCs w:val="20"/>
        </w:rPr>
        <w:t> </w:t>
      </w:r>
    </w:p>
    <w:p w14:paraId="10AB0247" w14:textId="77777777" w:rsidR="00840105" w:rsidRDefault="004837DC">
      <w:pPr>
        <w:jc w:val="center"/>
        <w:rPr>
          <w:sz w:val="20"/>
          <w:szCs w:val="20"/>
        </w:rPr>
        <w:sectPr w:rsidR="00840105" w:rsidSect="004837DC">
          <w:headerReference w:type="default" r:id="rId9"/>
          <w:footerReference w:type="default" r:id="rId10"/>
          <w:footerReference w:type="first" r:id="rId11"/>
          <w:pgSz w:w="12240" w:h="15840"/>
          <w:pgMar w:top="1440" w:right="1440" w:bottom="1440" w:left="1440" w:header="720" w:footer="720" w:gutter="0"/>
          <w:cols w:space="720"/>
          <w:titlePg/>
          <w:docGrid w:linePitch="326"/>
        </w:sectPr>
      </w:pPr>
      <w:r>
        <w:rPr>
          <w:sz w:val="20"/>
          <w:szCs w:val="20"/>
        </w:rPr>
        <w:t xml:space="preserve">The date of this prospectus is </w:t>
      </w:r>
      <w:r w:rsidR="001E55D3">
        <w:rPr>
          <w:sz w:val="20"/>
          <w:szCs w:val="20"/>
        </w:rPr>
        <w:t xml:space="preserve">            </w:t>
      </w:r>
      <w:r>
        <w:rPr>
          <w:sz w:val="20"/>
          <w:szCs w:val="20"/>
        </w:rPr>
        <w:t>, 2022.</w:t>
      </w:r>
    </w:p>
    <w:p w14:paraId="0B831325" w14:textId="77777777" w:rsidR="00E33DBC" w:rsidRDefault="00E33DBC">
      <w:pPr>
        <w:jc w:val="center"/>
        <w:rPr>
          <w:sz w:val="20"/>
          <w:szCs w:val="20"/>
        </w:rPr>
        <w:sectPr w:rsidR="00E33DBC" w:rsidSect="00840105">
          <w:headerReference w:type="first" r:id="rId12"/>
          <w:footerReference w:type="first" r:id="rId13"/>
          <w:pgSz w:w="12240" w:h="15840"/>
          <w:pgMar w:top="1440" w:right="1440" w:bottom="1440" w:left="1440" w:header="720" w:footer="720" w:gutter="0"/>
          <w:pgNumType w:fmt="lowerRoman" w:start="1"/>
          <w:cols w:space="720"/>
          <w:titlePg/>
          <w:docGrid w:linePitch="326"/>
        </w:sectPr>
      </w:pPr>
    </w:p>
    <w:p w14:paraId="3E823281" w14:textId="77777777" w:rsidR="0087113F" w:rsidRDefault="0087113F">
      <w:pPr>
        <w:rPr>
          <w:vanish/>
        </w:rPr>
      </w:pPr>
    </w:p>
    <w:p w14:paraId="23D86451" w14:textId="77777777" w:rsidR="0087113F" w:rsidRDefault="004837DC">
      <w:pPr>
        <w:jc w:val="center"/>
        <w:rPr>
          <w:sz w:val="20"/>
          <w:szCs w:val="20"/>
        </w:rPr>
      </w:pPr>
      <w:r>
        <w:rPr>
          <w:b/>
          <w:bCs/>
          <w:sz w:val="20"/>
          <w:szCs w:val="20"/>
        </w:rPr>
        <w:t>TABLE OF CONTENTS</w:t>
      </w:r>
    </w:p>
    <w:p w14:paraId="2ECA8F07" w14:textId="77777777" w:rsidR="00CA51F1" w:rsidRDefault="00CA51F1">
      <w:pPr>
        <w:jc w:val="center"/>
        <w:rPr>
          <w:sz w:val="20"/>
          <w:szCs w:val="20"/>
        </w:rPr>
      </w:pPr>
    </w:p>
    <w:tbl>
      <w:tblPr>
        <w:tblW w:w="5048" w:type="pct"/>
        <w:tblCellMar>
          <w:left w:w="0" w:type="dxa"/>
          <w:right w:w="0" w:type="dxa"/>
        </w:tblCellMar>
        <w:tblLook w:val="04A0" w:firstRow="1" w:lastRow="0" w:firstColumn="1" w:lastColumn="0" w:noHBand="0" w:noVBand="1"/>
      </w:tblPr>
      <w:tblGrid>
        <w:gridCol w:w="9083"/>
        <w:gridCol w:w="276"/>
        <w:gridCol w:w="91"/>
      </w:tblGrid>
      <w:tr w:rsidR="0087113F" w14:paraId="43878BD8" w14:textId="77777777" w:rsidTr="0081617A">
        <w:trPr>
          <w:cantSplit/>
        </w:trPr>
        <w:tc>
          <w:tcPr>
            <w:tcW w:w="0" w:type="auto"/>
            <w:shd w:val="clear" w:color="auto" w:fill="auto"/>
            <w:tcMar>
              <w:top w:w="0" w:type="dxa"/>
              <w:left w:w="0" w:type="dxa"/>
              <w:bottom w:w="0" w:type="dxa"/>
              <w:right w:w="0" w:type="dxa"/>
            </w:tcMar>
            <w:hideMark/>
          </w:tcPr>
          <w:p w14:paraId="2B1D3342" w14:textId="77777777" w:rsidR="0087113F" w:rsidRDefault="00D63ADC">
            <w:pPr>
              <w:rPr>
                <w:color w:val="000000"/>
                <w:sz w:val="20"/>
                <w:szCs w:val="20"/>
              </w:rPr>
            </w:pPr>
            <w:r>
              <w:rPr>
                <w:color w:val="0000EE"/>
                <w:sz w:val="20"/>
                <w:szCs w:val="20"/>
                <w:u w:val="single" w:color="0000EE"/>
              </w:rPr>
              <w:t>ABOUT THIS PROSPECTUS</w:t>
            </w:r>
          </w:p>
        </w:tc>
        <w:tc>
          <w:tcPr>
            <w:tcW w:w="194" w:type="pct"/>
            <w:gridSpan w:val="2"/>
            <w:shd w:val="clear" w:color="auto" w:fill="auto"/>
            <w:tcMar>
              <w:top w:w="0" w:type="dxa"/>
              <w:left w:w="0" w:type="dxa"/>
              <w:bottom w:w="0" w:type="dxa"/>
              <w:right w:w="0" w:type="dxa"/>
            </w:tcMar>
            <w:hideMark/>
          </w:tcPr>
          <w:p w14:paraId="1A44268C" w14:textId="77777777" w:rsidR="0087113F" w:rsidRDefault="004837DC">
            <w:pPr>
              <w:jc w:val="center"/>
              <w:rPr>
                <w:color w:val="000000"/>
                <w:sz w:val="20"/>
                <w:szCs w:val="20"/>
              </w:rPr>
            </w:pPr>
            <w:r>
              <w:rPr>
                <w:color w:val="000000"/>
                <w:sz w:val="20"/>
                <w:szCs w:val="20"/>
              </w:rPr>
              <w:t>i</w:t>
            </w:r>
          </w:p>
        </w:tc>
      </w:tr>
      <w:tr w:rsidR="0087113F" w14:paraId="2E8CB341" w14:textId="77777777" w:rsidTr="0081617A">
        <w:trPr>
          <w:cantSplit/>
        </w:trPr>
        <w:tc>
          <w:tcPr>
            <w:tcW w:w="0" w:type="auto"/>
            <w:shd w:val="clear" w:color="auto" w:fill="auto"/>
            <w:tcMar>
              <w:top w:w="0" w:type="dxa"/>
              <w:left w:w="0" w:type="dxa"/>
              <w:bottom w:w="0" w:type="dxa"/>
              <w:right w:w="0" w:type="dxa"/>
            </w:tcMar>
            <w:hideMark/>
          </w:tcPr>
          <w:p w14:paraId="420CC625" w14:textId="77777777" w:rsidR="0087113F" w:rsidRDefault="004837DC">
            <w:pPr>
              <w:rPr>
                <w:color w:val="000000"/>
                <w:sz w:val="20"/>
                <w:szCs w:val="20"/>
              </w:rPr>
            </w:pPr>
            <w:r>
              <w:rPr>
                <w:color w:val="0000EE"/>
                <w:sz w:val="20"/>
                <w:szCs w:val="20"/>
                <w:u w:val="single" w:color="0000EE"/>
              </w:rPr>
              <w:t>PROSPECTUS SUMMARY</w:t>
            </w:r>
          </w:p>
        </w:tc>
        <w:tc>
          <w:tcPr>
            <w:tcW w:w="194" w:type="pct"/>
            <w:gridSpan w:val="2"/>
            <w:shd w:val="clear" w:color="auto" w:fill="auto"/>
            <w:tcMar>
              <w:top w:w="0" w:type="dxa"/>
              <w:left w:w="0" w:type="dxa"/>
              <w:bottom w:w="0" w:type="dxa"/>
              <w:right w:w="0" w:type="dxa"/>
            </w:tcMar>
            <w:hideMark/>
          </w:tcPr>
          <w:p w14:paraId="7F1A49C3" w14:textId="77777777" w:rsidR="0087113F" w:rsidRDefault="004837DC">
            <w:pPr>
              <w:jc w:val="center"/>
              <w:rPr>
                <w:color w:val="000000"/>
                <w:sz w:val="20"/>
                <w:szCs w:val="20"/>
              </w:rPr>
            </w:pPr>
            <w:r>
              <w:rPr>
                <w:color w:val="000000"/>
                <w:sz w:val="20"/>
                <w:szCs w:val="20"/>
              </w:rPr>
              <w:t>1</w:t>
            </w:r>
          </w:p>
        </w:tc>
      </w:tr>
      <w:tr w:rsidR="0087113F" w14:paraId="6DCFD681" w14:textId="77777777" w:rsidTr="0081617A">
        <w:trPr>
          <w:cantSplit/>
        </w:trPr>
        <w:tc>
          <w:tcPr>
            <w:tcW w:w="0" w:type="auto"/>
            <w:shd w:val="clear" w:color="auto" w:fill="auto"/>
            <w:tcMar>
              <w:top w:w="0" w:type="dxa"/>
              <w:left w:w="0" w:type="dxa"/>
              <w:bottom w:w="0" w:type="dxa"/>
              <w:right w:w="0" w:type="dxa"/>
            </w:tcMar>
            <w:hideMark/>
          </w:tcPr>
          <w:p w14:paraId="66C5905D" w14:textId="77777777" w:rsidR="0087113F" w:rsidRDefault="004837DC">
            <w:pPr>
              <w:rPr>
                <w:color w:val="000000"/>
                <w:sz w:val="20"/>
                <w:szCs w:val="20"/>
              </w:rPr>
            </w:pPr>
            <w:r>
              <w:rPr>
                <w:color w:val="0000EE"/>
                <w:sz w:val="20"/>
                <w:szCs w:val="20"/>
                <w:u w:val="single" w:color="0000EE"/>
              </w:rPr>
              <w:t>RISK FACTORS</w:t>
            </w:r>
          </w:p>
        </w:tc>
        <w:tc>
          <w:tcPr>
            <w:tcW w:w="194" w:type="pct"/>
            <w:gridSpan w:val="2"/>
            <w:shd w:val="clear" w:color="auto" w:fill="auto"/>
            <w:tcMar>
              <w:top w:w="0" w:type="dxa"/>
              <w:left w:w="0" w:type="dxa"/>
              <w:bottom w:w="0" w:type="dxa"/>
              <w:right w:w="0" w:type="dxa"/>
            </w:tcMar>
            <w:hideMark/>
          </w:tcPr>
          <w:p w14:paraId="44403220" w14:textId="36BE124A" w:rsidR="0087113F" w:rsidRDefault="00683544">
            <w:pPr>
              <w:jc w:val="center"/>
              <w:rPr>
                <w:color w:val="000000"/>
                <w:sz w:val="20"/>
                <w:szCs w:val="20"/>
              </w:rPr>
            </w:pPr>
            <w:r>
              <w:rPr>
                <w:color w:val="000000"/>
                <w:sz w:val="20"/>
                <w:szCs w:val="20"/>
              </w:rPr>
              <w:t>5</w:t>
            </w:r>
          </w:p>
        </w:tc>
      </w:tr>
      <w:tr w:rsidR="0087113F" w14:paraId="1E6BB3FD" w14:textId="77777777" w:rsidTr="0081617A">
        <w:trPr>
          <w:cantSplit/>
        </w:trPr>
        <w:tc>
          <w:tcPr>
            <w:tcW w:w="0" w:type="auto"/>
            <w:shd w:val="clear" w:color="auto" w:fill="auto"/>
            <w:tcMar>
              <w:top w:w="0" w:type="dxa"/>
              <w:left w:w="0" w:type="dxa"/>
              <w:bottom w:w="0" w:type="dxa"/>
              <w:right w:w="0" w:type="dxa"/>
            </w:tcMar>
            <w:hideMark/>
          </w:tcPr>
          <w:p w14:paraId="59650DBF" w14:textId="77777777" w:rsidR="0087113F" w:rsidRDefault="004837DC">
            <w:pPr>
              <w:rPr>
                <w:color w:val="000000"/>
                <w:sz w:val="20"/>
                <w:szCs w:val="20"/>
              </w:rPr>
            </w:pPr>
            <w:r>
              <w:rPr>
                <w:color w:val="0000EE"/>
                <w:sz w:val="20"/>
                <w:szCs w:val="20"/>
                <w:u w:val="single" w:color="0000EE"/>
              </w:rPr>
              <w:t>CAUTIONARY NOTE REGARDING FORWARD LOOKING STATEMENTS</w:t>
            </w:r>
          </w:p>
        </w:tc>
        <w:tc>
          <w:tcPr>
            <w:tcW w:w="194" w:type="pct"/>
            <w:gridSpan w:val="2"/>
            <w:shd w:val="clear" w:color="auto" w:fill="auto"/>
            <w:tcMar>
              <w:top w:w="0" w:type="dxa"/>
              <w:left w:w="0" w:type="dxa"/>
              <w:bottom w:w="0" w:type="dxa"/>
              <w:right w:w="0" w:type="dxa"/>
            </w:tcMar>
            <w:hideMark/>
          </w:tcPr>
          <w:p w14:paraId="14CD2E08" w14:textId="34D05ED9" w:rsidR="0087113F" w:rsidRDefault="0070530C">
            <w:pPr>
              <w:jc w:val="center"/>
              <w:rPr>
                <w:color w:val="000000"/>
                <w:sz w:val="20"/>
                <w:szCs w:val="20"/>
              </w:rPr>
            </w:pPr>
            <w:r>
              <w:rPr>
                <w:color w:val="000000"/>
                <w:sz w:val="20"/>
                <w:szCs w:val="20"/>
              </w:rPr>
              <w:t>1</w:t>
            </w:r>
            <w:r w:rsidR="00683544">
              <w:rPr>
                <w:color w:val="000000"/>
                <w:sz w:val="20"/>
                <w:szCs w:val="20"/>
              </w:rPr>
              <w:t>4</w:t>
            </w:r>
          </w:p>
        </w:tc>
      </w:tr>
      <w:tr w:rsidR="0087113F" w14:paraId="0C208964" w14:textId="77777777" w:rsidTr="0081617A">
        <w:trPr>
          <w:cantSplit/>
        </w:trPr>
        <w:tc>
          <w:tcPr>
            <w:tcW w:w="0" w:type="auto"/>
            <w:shd w:val="clear" w:color="auto" w:fill="auto"/>
            <w:tcMar>
              <w:top w:w="0" w:type="dxa"/>
              <w:left w:w="0" w:type="dxa"/>
              <w:bottom w:w="0" w:type="dxa"/>
              <w:right w:w="0" w:type="dxa"/>
            </w:tcMar>
            <w:hideMark/>
          </w:tcPr>
          <w:p w14:paraId="24E4A48A" w14:textId="77777777" w:rsidR="0087113F" w:rsidRDefault="004837DC">
            <w:pPr>
              <w:rPr>
                <w:color w:val="000000"/>
                <w:sz w:val="20"/>
                <w:szCs w:val="20"/>
              </w:rPr>
            </w:pPr>
            <w:r>
              <w:rPr>
                <w:color w:val="0000EE"/>
                <w:sz w:val="20"/>
                <w:szCs w:val="20"/>
                <w:u w:val="single" w:color="0000EE"/>
              </w:rPr>
              <w:t>USE OF PROCEEDS</w:t>
            </w:r>
          </w:p>
        </w:tc>
        <w:tc>
          <w:tcPr>
            <w:tcW w:w="194" w:type="pct"/>
            <w:gridSpan w:val="2"/>
            <w:shd w:val="clear" w:color="auto" w:fill="auto"/>
            <w:tcMar>
              <w:top w:w="0" w:type="dxa"/>
              <w:left w:w="0" w:type="dxa"/>
              <w:bottom w:w="0" w:type="dxa"/>
              <w:right w:w="0" w:type="dxa"/>
            </w:tcMar>
            <w:hideMark/>
          </w:tcPr>
          <w:p w14:paraId="7288FB60" w14:textId="38D38CFD" w:rsidR="0087113F" w:rsidRDefault="0070530C">
            <w:pPr>
              <w:jc w:val="center"/>
              <w:rPr>
                <w:color w:val="000000"/>
                <w:sz w:val="20"/>
                <w:szCs w:val="20"/>
              </w:rPr>
            </w:pPr>
            <w:r>
              <w:rPr>
                <w:color w:val="000000"/>
                <w:sz w:val="20"/>
                <w:szCs w:val="20"/>
              </w:rPr>
              <w:t>1</w:t>
            </w:r>
            <w:r w:rsidR="00683544">
              <w:rPr>
                <w:color w:val="000000"/>
                <w:sz w:val="20"/>
                <w:szCs w:val="20"/>
              </w:rPr>
              <w:t>5</w:t>
            </w:r>
          </w:p>
        </w:tc>
      </w:tr>
      <w:tr w:rsidR="0087113F" w14:paraId="4B1DC85C" w14:textId="77777777" w:rsidTr="0081617A">
        <w:trPr>
          <w:cantSplit/>
        </w:trPr>
        <w:tc>
          <w:tcPr>
            <w:tcW w:w="0" w:type="auto"/>
            <w:shd w:val="clear" w:color="auto" w:fill="auto"/>
            <w:tcMar>
              <w:top w:w="0" w:type="dxa"/>
              <w:left w:w="0" w:type="dxa"/>
              <w:bottom w:w="0" w:type="dxa"/>
              <w:right w:w="0" w:type="dxa"/>
            </w:tcMar>
            <w:hideMark/>
          </w:tcPr>
          <w:p w14:paraId="57436A03" w14:textId="77777777" w:rsidR="0087113F" w:rsidRDefault="004837DC">
            <w:pPr>
              <w:rPr>
                <w:color w:val="000000"/>
                <w:sz w:val="20"/>
                <w:szCs w:val="20"/>
              </w:rPr>
            </w:pPr>
            <w:r>
              <w:rPr>
                <w:color w:val="0000EE"/>
                <w:sz w:val="20"/>
                <w:szCs w:val="20"/>
                <w:u w:val="single" w:color="0000EE"/>
              </w:rPr>
              <w:t>DETERMINATION OF OFFERING PRICE</w:t>
            </w:r>
          </w:p>
        </w:tc>
        <w:tc>
          <w:tcPr>
            <w:tcW w:w="194" w:type="pct"/>
            <w:gridSpan w:val="2"/>
            <w:shd w:val="clear" w:color="auto" w:fill="auto"/>
            <w:tcMar>
              <w:top w:w="0" w:type="dxa"/>
              <w:left w:w="0" w:type="dxa"/>
              <w:bottom w:w="0" w:type="dxa"/>
              <w:right w:w="0" w:type="dxa"/>
            </w:tcMar>
            <w:hideMark/>
          </w:tcPr>
          <w:p w14:paraId="5046E721" w14:textId="26D49DCE" w:rsidR="0087113F" w:rsidRDefault="0070530C">
            <w:pPr>
              <w:jc w:val="center"/>
              <w:rPr>
                <w:color w:val="000000"/>
                <w:sz w:val="20"/>
                <w:szCs w:val="20"/>
              </w:rPr>
            </w:pPr>
            <w:r>
              <w:rPr>
                <w:color w:val="000000"/>
                <w:sz w:val="20"/>
                <w:szCs w:val="20"/>
              </w:rPr>
              <w:t>1</w:t>
            </w:r>
            <w:r w:rsidR="00683544">
              <w:rPr>
                <w:color w:val="000000"/>
                <w:sz w:val="20"/>
                <w:szCs w:val="20"/>
              </w:rPr>
              <w:t>5</w:t>
            </w:r>
          </w:p>
        </w:tc>
      </w:tr>
      <w:tr w:rsidR="006213FC" w:rsidRPr="00A84152" w14:paraId="2914BD31" w14:textId="77777777" w:rsidTr="0081617A">
        <w:trPr>
          <w:cantSplit/>
        </w:trPr>
        <w:tc>
          <w:tcPr>
            <w:tcW w:w="0" w:type="auto"/>
            <w:shd w:val="clear" w:color="auto" w:fill="auto"/>
            <w:tcMar>
              <w:top w:w="0" w:type="dxa"/>
              <w:left w:w="0" w:type="dxa"/>
              <w:bottom w:w="0" w:type="dxa"/>
              <w:right w:w="0" w:type="dxa"/>
            </w:tcMar>
            <w:hideMark/>
          </w:tcPr>
          <w:p w14:paraId="509C566D" w14:textId="77777777" w:rsidR="006213FC" w:rsidRPr="00A84152" w:rsidRDefault="00A84152" w:rsidP="006213FC">
            <w:pPr>
              <w:rPr>
                <w:color w:val="000000"/>
                <w:sz w:val="20"/>
                <w:szCs w:val="20"/>
              </w:rPr>
            </w:pPr>
            <w:r w:rsidRPr="00A84152">
              <w:rPr>
                <w:color w:val="0000EE"/>
                <w:sz w:val="20"/>
                <w:szCs w:val="20"/>
                <w:u w:val="single" w:color="0000EE"/>
              </w:rPr>
              <w:t>DIVIDEND POLICY</w:t>
            </w:r>
          </w:p>
        </w:tc>
        <w:tc>
          <w:tcPr>
            <w:tcW w:w="194" w:type="pct"/>
            <w:gridSpan w:val="2"/>
            <w:shd w:val="clear" w:color="auto" w:fill="auto"/>
            <w:tcMar>
              <w:top w:w="0" w:type="dxa"/>
              <w:left w:w="0" w:type="dxa"/>
              <w:bottom w:w="0" w:type="dxa"/>
              <w:right w:w="0" w:type="dxa"/>
            </w:tcMar>
            <w:hideMark/>
          </w:tcPr>
          <w:p w14:paraId="18AC67BF" w14:textId="45B69DC9" w:rsidR="006213FC" w:rsidRPr="00A84152" w:rsidRDefault="0070530C" w:rsidP="006213FC">
            <w:pPr>
              <w:jc w:val="center"/>
              <w:rPr>
                <w:color w:val="000000"/>
                <w:sz w:val="20"/>
                <w:szCs w:val="20"/>
              </w:rPr>
            </w:pPr>
            <w:r>
              <w:rPr>
                <w:color w:val="000000"/>
                <w:sz w:val="20"/>
                <w:szCs w:val="20"/>
              </w:rPr>
              <w:t>1</w:t>
            </w:r>
            <w:r w:rsidR="00683544">
              <w:rPr>
                <w:color w:val="000000"/>
                <w:sz w:val="20"/>
                <w:szCs w:val="20"/>
              </w:rPr>
              <w:t>5</w:t>
            </w:r>
          </w:p>
        </w:tc>
      </w:tr>
      <w:tr w:rsidR="006213FC" w:rsidRPr="00745DD1" w14:paraId="1361C718" w14:textId="77777777" w:rsidTr="0081617A">
        <w:trPr>
          <w:cantSplit/>
        </w:trPr>
        <w:tc>
          <w:tcPr>
            <w:tcW w:w="0" w:type="auto"/>
            <w:shd w:val="clear" w:color="auto" w:fill="auto"/>
            <w:tcMar>
              <w:top w:w="0" w:type="dxa"/>
              <w:left w:w="0" w:type="dxa"/>
              <w:bottom w:w="0" w:type="dxa"/>
              <w:right w:w="0" w:type="dxa"/>
            </w:tcMar>
          </w:tcPr>
          <w:p w14:paraId="1BAABA20" w14:textId="77777777" w:rsidR="006213FC" w:rsidRPr="00745DD1" w:rsidRDefault="006213FC">
            <w:pPr>
              <w:rPr>
                <w:color w:val="0000EE"/>
                <w:sz w:val="20"/>
                <w:szCs w:val="20"/>
                <w:u w:val="single" w:color="0000EE"/>
              </w:rPr>
            </w:pPr>
            <w:r w:rsidRPr="00745DD1">
              <w:rPr>
                <w:color w:val="0000EE"/>
                <w:sz w:val="20"/>
                <w:szCs w:val="20"/>
                <w:u w:val="single" w:color="0000EE"/>
              </w:rPr>
              <w:t>CAPITALIZATION</w:t>
            </w:r>
          </w:p>
        </w:tc>
        <w:tc>
          <w:tcPr>
            <w:tcW w:w="194" w:type="pct"/>
            <w:gridSpan w:val="2"/>
            <w:shd w:val="clear" w:color="auto" w:fill="auto"/>
            <w:tcMar>
              <w:top w:w="0" w:type="dxa"/>
              <w:left w:w="0" w:type="dxa"/>
              <w:bottom w:w="0" w:type="dxa"/>
              <w:right w:w="0" w:type="dxa"/>
            </w:tcMar>
          </w:tcPr>
          <w:p w14:paraId="7FB30F60" w14:textId="09CFF978" w:rsidR="006213FC" w:rsidRPr="00745DD1" w:rsidRDefault="0070530C">
            <w:pPr>
              <w:jc w:val="center"/>
              <w:rPr>
                <w:color w:val="000000"/>
                <w:sz w:val="20"/>
                <w:szCs w:val="20"/>
              </w:rPr>
            </w:pPr>
            <w:r>
              <w:rPr>
                <w:color w:val="000000"/>
                <w:sz w:val="20"/>
                <w:szCs w:val="20"/>
              </w:rPr>
              <w:t>1</w:t>
            </w:r>
            <w:r w:rsidR="00683544">
              <w:rPr>
                <w:color w:val="000000"/>
                <w:sz w:val="20"/>
                <w:szCs w:val="20"/>
              </w:rPr>
              <w:t>6</w:t>
            </w:r>
          </w:p>
        </w:tc>
      </w:tr>
      <w:tr w:rsidR="006213FC" w:rsidRPr="00212B8B" w14:paraId="6379CB54" w14:textId="77777777" w:rsidTr="0081617A">
        <w:trPr>
          <w:cantSplit/>
        </w:trPr>
        <w:tc>
          <w:tcPr>
            <w:tcW w:w="0" w:type="auto"/>
            <w:shd w:val="clear" w:color="auto" w:fill="auto"/>
            <w:tcMar>
              <w:top w:w="0" w:type="dxa"/>
              <w:left w:w="0" w:type="dxa"/>
              <w:bottom w:w="0" w:type="dxa"/>
              <w:right w:w="0" w:type="dxa"/>
            </w:tcMar>
          </w:tcPr>
          <w:p w14:paraId="291FA8E1" w14:textId="77777777" w:rsidR="006213FC" w:rsidRPr="00212B8B" w:rsidRDefault="006213FC" w:rsidP="006213FC">
            <w:pPr>
              <w:rPr>
                <w:color w:val="0000EE"/>
                <w:sz w:val="20"/>
                <w:szCs w:val="20"/>
                <w:u w:val="single" w:color="0000EE"/>
              </w:rPr>
            </w:pPr>
            <w:r w:rsidRPr="00212B8B">
              <w:rPr>
                <w:color w:val="0000EE"/>
                <w:sz w:val="20"/>
                <w:szCs w:val="20"/>
                <w:u w:val="single" w:color="0000EE"/>
              </w:rPr>
              <w:t>BUSINESS</w:t>
            </w:r>
          </w:p>
        </w:tc>
        <w:tc>
          <w:tcPr>
            <w:tcW w:w="194" w:type="pct"/>
            <w:gridSpan w:val="2"/>
            <w:shd w:val="clear" w:color="auto" w:fill="auto"/>
            <w:tcMar>
              <w:top w:w="0" w:type="dxa"/>
              <w:left w:w="0" w:type="dxa"/>
              <w:bottom w:w="0" w:type="dxa"/>
              <w:right w:w="0" w:type="dxa"/>
            </w:tcMar>
          </w:tcPr>
          <w:p w14:paraId="3E9E8C51" w14:textId="0AA23515" w:rsidR="006213FC" w:rsidRPr="00212B8B" w:rsidRDefault="0070530C" w:rsidP="006213FC">
            <w:pPr>
              <w:jc w:val="center"/>
              <w:rPr>
                <w:color w:val="000000"/>
                <w:sz w:val="20"/>
                <w:szCs w:val="20"/>
              </w:rPr>
            </w:pPr>
            <w:r>
              <w:rPr>
                <w:color w:val="000000"/>
                <w:sz w:val="20"/>
                <w:szCs w:val="20"/>
              </w:rPr>
              <w:t>1</w:t>
            </w:r>
            <w:r w:rsidR="00683544">
              <w:rPr>
                <w:color w:val="000000"/>
                <w:sz w:val="20"/>
                <w:szCs w:val="20"/>
              </w:rPr>
              <w:t>7</w:t>
            </w:r>
          </w:p>
        </w:tc>
      </w:tr>
      <w:tr w:rsidR="006213FC" w:rsidRPr="00212B8B" w14:paraId="56E55436" w14:textId="77777777" w:rsidTr="0081617A">
        <w:trPr>
          <w:cantSplit/>
        </w:trPr>
        <w:tc>
          <w:tcPr>
            <w:tcW w:w="0" w:type="auto"/>
            <w:shd w:val="clear" w:color="auto" w:fill="auto"/>
            <w:tcMar>
              <w:top w:w="0" w:type="dxa"/>
              <w:left w:w="0" w:type="dxa"/>
              <w:bottom w:w="0" w:type="dxa"/>
              <w:right w:w="0" w:type="dxa"/>
            </w:tcMar>
          </w:tcPr>
          <w:p w14:paraId="527A2F6E" w14:textId="77777777" w:rsidR="006213FC" w:rsidRPr="00212B8B" w:rsidRDefault="006213FC" w:rsidP="006213FC">
            <w:pPr>
              <w:rPr>
                <w:color w:val="0000EE"/>
                <w:sz w:val="20"/>
                <w:szCs w:val="20"/>
                <w:u w:val="single" w:color="0000EE"/>
              </w:rPr>
            </w:pPr>
            <w:r w:rsidRPr="00212B8B">
              <w:rPr>
                <w:color w:val="0000EE"/>
                <w:sz w:val="20"/>
                <w:szCs w:val="20"/>
                <w:u w:val="single" w:color="0000EE"/>
              </w:rPr>
              <w:t>MANAGEMENT’S DISCUSSION AND ANALYSIS OF FINANCIAL CONDITION AND RESULTS OF OPERATION</w:t>
            </w:r>
          </w:p>
        </w:tc>
        <w:tc>
          <w:tcPr>
            <w:tcW w:w="194" w:type="pct"/>
            <w:gridSpan w:val="2"/>
            <w:shd w:val="clear" w:color="auto" w:fill="auto"/>
            <w:tcMar>
              <w:top w:w="0" w:type="dxa"/>
              <w:left w:w="0" w:type="dxa"/>
              <w:bottom w:w="0" w:type="dxa"/>
              <w:right w:w="0" w:type="dxa"/>
            </w:tcMar>
          </w:tcPr>
          <w:p w14:paraId="347A679A" w14:textId="0BDB1ADC" w:rsidR="006213FC" w:rsidRPr="00212B8B" w:rsidRDefault="0070530C" w:rsidP="006213FC">
            <w:pPr>
              <w:jc w:val="center"/>
              <w:rPr>
                <w:color w:val="000000"/>
                <w:sz w:val="20"/>
                <w:szCs w:val="20"/>
              </w:rPr>
            </w:pPr>
            <w:r>
              <w:rPr>
                <w:color w:val="000000"/>
                <w:sz w:val="20"/>
                <w:szCs w:val="20"/>
              </w:rPr>
              <w:t>3</w:t>
            </w:r>
            <w:r w:rsidR="00683544">
              <w:rPr>
                <w:color w:val="000000"/>
                <w:sz w:val="20"/>
                <w:szCs w:val="20"/>
              </w:rPr>
              <w:t>4</w:t>
            </w:r>
          </w:p>
        </w:tc>
      </w:tr>
      <w:tr w:rsidR="00212B8B" w:rsidRPr="003E5A31" w14:paraId="0680E329" w14:textId="77777777" w:rsidTr="0081617A">
        <w:trPr>
          <w:cantSplit/>
        </w:trPr>
        <w:tc>
          <w:tcPr>
            <w:tcW w:w="0" w:type="auto"/>
            <w:shd w:val="clear" w:color="auto" w:fill="auto"/>
            <w:tcMar>
              <w:top w:w="0" w:type="dxa"/>
              <w:left w:w="0" w:type="dxa"/>
              <w:bottom w:w="0" w:type="dxa"/>
              <w:right w:w="0" w:type="dxa"/>
            </w:tcMar>
            <w:hideMark/>
          </w:tcPr>
          <w:p w14:paraId="36DC9095" w14:textId="77777777" w:rsidR="00212B8B" w:rsidRPr="003E5A31" w:rsidRDefault="00212B8B" w:rsidP="003E5A31">
            <w:pPr>
              <w:rPr>
                <w:color w:val="000000"/>
                <w:sz w:val="20"/>
                <w:szCs w:val="20"/>
              </w:rPr>
            </w:pPr>
            <w:r w:rsidRPr="003E5A31">
              <w:rPr>
                <w:color w:val="0000EE"/>
                <w:sz w:val="20"/>
                <w:szCs w:val="20"/>
                <w:u w:val="single" w:color="0000EE"/>
              </w:rPr>
              <w:t>MANAGEMENT</w:t>
            </w:r>
          </w:p>
        </w:tc>
        <w:tc>
          <w:tcPr>
            <w:tcW w:w="194" w:type="pct"/>
            <w:gridSpan w:val="2"/>
            <w:shd w:val="clear" w:color="auto" w:fill="auto"/>
            <w:tcMar>
              <w:top w:w="0" w:type="dxa"/>
              <w:left w:w="0" w:type="dxa"/>
              <w:bottom w:w="0" w:type="dxa"/>
              <w:right w:w="0" w:type="dxa"/>
            </w:tcMar>
            <w:hideMark/>
          </w:tcPr>
          <w:p w14:paraId="46A36C5C" w14:textId="6FA20E2F" w:rsidR="00212B8B" w:rsidRPr="003E5A31" w:rsidRDefault="0070530C" w:rsidP="003E5A31">
            <w:pPr>
              <w:jc w:val="center"/>
              <w:rPr>
                <w:color w:val="000000"/>
                <w:sz w:val="20"/>
                <w:szCs w:val="20"/>
              </w:rPr>
            </w:pPr>
            <w:r>
              <w:rPr>
                <w:color w:val="000000"/>
                <w:sz w:val="20"/>
                <w:szCs w:val="20"/>
              </w:rPr>
              <w:t>4</w:t>
            </w:r>
            <w:r w:rsidR="00683544">
              <w:rPr>
                <w:color w:val="000000"/>
                <w:sz w:val="20"/>
                <w:szCs w:val="20"/>
              </w:rPr>
              <w:t>2</w:t>
            </w:r>
          </w:p>
        </w:tc>
      </w:tr>
      <w:tr w:rsidR="00212B8B" w:rsidRPr="007756F2" w14:paraId="78D73A73" w14:textId="77777777" w:rsidTr="0081617A">
        <w:trPr>
          <w:cantSplit/>
        </w:trPr>
        <w:tc>
          <w:tcPr>
            <w:tcW w:w="0" w:type="auto"/>
            <w:shd w:val="clear" w:color="auto" w:fill="auto"/>
            <w:tcMar>
              <w:top w:w="0" w:type="dxa"/>
              <w:left w:w="0" w:type="dxa"/>
              <w:bottom w:w="0" w:type="dxa"/>
              <w:right w:w="0" w:type="dxa"/>
            </w:tcMar>
            <w:hideMark/>
          </w:tcPr>
          <w:p w14:paraId="1997584A" w14:textId="77777777" w:rsidR="00212B8B" w:rsidRPr="007756F2" w:rsidRDefault="00212B8B" w:rsidP="003E5A31">
            <w:pPr>
              <w:rPr>
                <w:color w:val="000000"/>
                <w:sz w:val="20"/>
                <w:szCs w:val="20"/>
              </w:rPr>
            </w:pPr>
            <w:r w:rsidRPr="007756F2">
              <w:rPr>
                <w:color w:val="0000EE"/>
                <w:sz w:val="20"/>
                <w:szCs w:val="20"/>
                <w:u w:val="single" w:color="0000EE"/>
              </w:rPr>
              <w:t>EXECUTIVE COMPENSATION</w:t>
            </w:r>
          </w:p>
        </w:tc>
        <w:tc>
          <w:tcPr>
            <w:tcW w:w="194" w:type="pct"/>
            <w:gridSpan w:val="2"/>
            <w:shd w:val="clear" w:color="auto" w:fill="auto"/>
            <w:tcMar>
              <w:top w:w="0" w:type="dxa"/>
              <w:left w:w="0" w:type="dxa"/>
              <w:bottom w:w="0" w:type="dxa"/>
              <w:right w:w="0" w:type="dxa"/>
            </w:tcMar>
            <w:hideMark/>
          </w:tcPr>
          <w:p w14:paraId="5E22D1CB" w14:textId="37071DFB" w:rsidR="00212B8B" w:rsidRPr="007756F2" w:rsidRDefault="0070530C" w:rsidP="003E5A31">
            <w:pPr>
              <w:jc w:val="center"/>
              <w:rPr>
                <w:color w:val="000000"/>
                <w:sz w:val="20"/>
                <w:szCs w:val="20"/>
              </w:rPr>
            </w:pPr>
            <w:r>
              <w:rPr>
                <w:color w:val="000000"/>
                <w:sz w:val="20"/>
                <w:szCs w:val="20"/>
              </w:rPr>
              <w:t>4</w:t>
            </w:r>
            <w:r w:rsidR="00683544">
              <w:rPr>
                <w:color w:val="000000"/>
                <w:sz w:val="20"/>
                <w:szCs w:val="20"/>
              </w:rPr>
              <w:t>5</w:t>
            </w:r>
          </w:p>
        </w:tc>
      </w:tr>
      <w:tr w:rsidR="00E329B2" w:rsidRPr="007756F2" w14:paraId="65D82DC4" w14:textId="77777777" w:rsidTr="0081617A">
        <w:trPr>
          <w:cantSplit/>
        </w:trPr>
        <w:tc>
          <w:tcPr>
            <w:tcW w:w="0" w:type="auto"/>
            <w:shd w:val="clear" w:color="auto" w:fill="auto"/>
            <w:tcMar>
              <w:top w:w="0" w:type="dxa"/>
              <w:left w:w="0" w:type="dxa"/>
              <w:bottom w:w="0" w:type="dxa"/>
              <w:right w:w="0" w:type="dxa"/>
            </w:tcMar>
            <w:hideMark/>
          </w:tcPr>
          <w:p w14:paraId="73EA4895" w14:textId="77777777" w:rsidR="00E329B2" w:rsidRPr="007756F2" w:rsidRDefault="00E329B2" w:rsidP="00DF1034">
            <w:pPr>
              <w:rPr>
                <w:color w:val="000000"/>
                <w:sz w:val="20"/>
                <w:szCs w:val="20"/>
              </w:rPr>
            </w:pPr>
            <w:r w:rsidRPr="007756F2">
              <w:rPr>
                <w:color w:val="0000EE"/>
                <w:sz w:val="20"/>
                <w:szCs w:val="20"/>
                <w:u w:val="single" w:color="0000EE"/>
              </w:rPr>
              <w:t>CERTAIN RELATIONSHIPS AND RELATED PERSON TRANSACTIONS</w:t>
            </w:r>
          </w:p>
        </w:tc>
        <w:tc>
          <w:tcPr>
            <w:tcW w:w="194" w:type="pct"/>
            <w:gridSpan w:val="2"/>
            <w:shd w:val="clear" w:color="auto" w:fill="auto"/>
            <w:tcMar>
              <w:top w:w="0" w:type="dxa"/>
              <w:left w:w="0" w:type="dxa"/>
              <w:bottom w:w="0" w:type="dxa"/>
              <w:right w:w="0" w:type="dxa"/>
            </w:tcMar>
            <w:hideMark/>
          </w:tcPr>
          <w:p w14:paraId="7DEF713D" w14:textId="2715F83B" w:rsidR="00E329B2" w:rsidRPr="007756F2" w:rsidRDefault="00683544" w:rsidP="00DF1034">
            <w:pPr>
              <w:jc w:val="center"/>
              <w:rPr>
                <w:color w:val="000000"/>
                <w:sz w:val="20"/>
                <w:szCs w:val="20"/>
              </w:rPr>
            </w:pPr>
            <w:r>
              <w:rPr>
                <w:color w:val="000000"/>
                <w:sz w:val="20"/>
                <w:szCs w:val="20"/>
              </w:rPr>
              <w:t>49</w:t>
            </w:r>
          </w:p>
        </w:tc>
      </w:tr>
      <w:tr w:rsidR="006213FC" w:rsidRPr="007756F2" w14:paraId="15953A94" w14:textId="77777777" w:rsidTr="0081617A">
        <w:trPr>
          <w:cantSplit/>
        </w:trPr>
        <w:tc>
          <w:tcPr>
            <w:tcW w:w="0" w:type="auto"/>
            <w:shd w:val="clear" w:color="auto" w:fill="auto"/>
            <w:tcMar>
              <w:top w:w="0" w:type="dxa"/>
              <w:left w:w="0" w:type="dxa"/>
              <w:bottom w:w="0" w:type="dxa"/>
              <w:right w:w="0" w:type="dxa"/>
            </w:tcMar>
            <w:hideMark/>
          </w:tcPr>
          <w:p w14:paraId="316094BE" w14:textId="77777777" w:rsidR="006213FC" w:rsidRPr="007756F2" w:rsidRDefault="006213FC" w:rsidP="006213FC">
            <w:pPr>
              <w:rPr>
                <w:color w:val="000000"/>
                <w:sz w:val="20"/>
                <w:szCs w:val="20"/>
              </w:rPr>
            </w:pPr>
            <w:r w:rsidRPr="007756F2">
              <w:rPr>
                <w:color w:val="0000EE"/>
                <w:sz w:val="20"/>
                <w:szCs w:val="20"/>
                <w:u w:val="single" w:color="0000EE"/>
              </w:rPr>
              <w:t>SECURITY OWNERSHIP OF PRINCIPAL STOCKHOLDERS, DIRECTORS AND OFFICERS</w:t>
            </w:r>
          </w:p>
        </w:tc>
        <w:tc>
          <w:tcPr>
            <w:tcW w:w="194" w:type="pct"/>
            <w:gridSpan w:val="2"/>
            <w:shd w:val="clear" w:color="auto" w:fill="auto"/>
            <w:tcMar>
              <w:top w:w="0" w:type="dxa"/>
              <w:left w:w="0" w:type="dxa"/>
              <w:bottom w:w="0" w:type="dxa"/>
              <w:right w:w="0" w:type="dxa"/>
            </w:tcMar>
            <w:hideMark/>
          </w:tcPr>
          <w:p w14:paraId="6136FD03" w14:textId="10E0C54E" w:rsidR="006213FC" w:rsidRPr="007756F2" w:rsidRDefault="0070530C" w:rsidP="006213FC">
            <w:pPr>
              <w:jc w:val="center"/>
              <w:rPr>
                <w:color w:val="000000"/>
                <w:sz w:val="20"/>
                <w:szCs w:val="20"/>
              </w:rPr>
            </w:pPr>
            <w:r>
              <w:rPr>
                <w:color w:val="000000"/>
                <w:sz w:val="20"/>
                <w:szCs w:val="20"/>
              </w:rPr>
              <w:t>5</w:t>
            </w:r>
            <w:r w:rsidR="00683544">
              <w:rPr>
                <w:color w:val="000000"/>
                <w:sz w:val="20"/>
                <w:szCs w:val="20"/>
              </w:rPr>
              <w:t>1</w:t>
            </w:r>
          </w:p>
        </w:tc>
      </w:tr>
      <w:tr w:rsidR="006213FC" w:rsidRPr="007756F2" w14:paraId="3BDEA5D2" w14:textId="77777777" w:rsidTr="0081617A">
        <w:trPr>
          <w:cantSplit/>
        </w:trPr>
        <w:tc>
          <w:tcPr>
            <w:tcW w:w="0" w:type="auto"/>
            <w:shd w:val="clear" w:color="auto" w:fill="auto"/>
            <w:tcMar>
              <w:top w:w="0" w:type="dxa"/>
              <w:left w:w="0" w:type="dxa"/>
              <w:bottom w:w="0" w:type="dxa"/>
              <w:right w:w="0" w:type="dxa"/>
            </w:tcMar>
            <w:hideMark/>
          </w:tcPr>
          <w:p w14:paraId="18F4F51E" w14:textId="6EB3D1DD" w:rsidR="006213FC" w:rsidRPr="007756F2" w:rsidRDefault="006213FC" w:rsidP="006213FC">
            <w:pPr>
              <w:rPr>
                <w:color w:val="000000"/>
                <w:sz w:val="20"/>
                <w:szCs w:val="20"/>
              </w:rPr>
            </w:pPr>
            <w:r w:rsidRPr="007756F2">
              <w:rPr>
                <w:color w:val="0000EE"/>
                <w:sz w:val="20"/>
                <w:szCs w:val="20"/>
                <w:u w:val="single" w:color="0000EE"/>
              </w:rPr>
              <w:t>SELLING STOCKHOLDER</w:t>
            </w:r>
            <w:r w:rsidR="00F07249">
              <w:rPr>
                <w:color w:val="0000EE"/>
                <w:sz w:val="20"/>
                <w:szCs w:val="20"/>
                <w:u w:val="single" w:color="0000EE"/>
              </w:rPr>
              <w:t>S</w:t>
            </w:r>
          </w:p>
        </w:tc>
        <w:tc>
          <w:tcPr>
            <w:tcW w:w="194" w:type="pct"/>
            <w:gridSpan w:val="2"/>
            <w:shd w:val="clear" w:color="auto" w:fill="auto"/>
            <w:tcMar>
              <w:top w:w="0" w:type="dxa"/>
              <w:left w:w="0" w:type="dxa"/>
              <w:bottom w:w="0" w:type="dxa"/>
              <w:right w:w="0" w:type="dxa"/>
            </w:tcMar>
            <w:hideMark/>
          </w:tcPr>
          <w:p w14:paraId="086C3FF7" w14:textId="19FDFAF5" w:rsidR="006213FC" w:rsidRPr="007756F2" w:rsidRDefault="0070530C" w:rsidP="006213FC">
            <w:pPr>
              <w:jc w:val="center"/>
              <w:rPr>
                <w:color w:val="000000"/>
                <w:sz w:val="20"/>
                <w:szCs w:val="20"/>
              </w:rPr>
            </w:pPr>
            <w:r>
              <w:rPr>
                <w:color w:val="000000"/>
                <w:sz w:val="20"/>
                <w:szCs w:val="20"/>
              </w:rPr>
              <w:t>5</w:t>
            </w:r>
            <w:r w:rsidR="00683544">
              <w:rPr>
                <w:color w:val="000000"/>
                <w:sz w:val="20"/>
                <w:szCs w:val="20"/>
              </w:rPr>
              <w:t>2</w:t>
            </w:r>
          </w:p>
        </w:tc>
      </w:tr>
      <w:tr w:rsidR="006213FC" w:rsidRPr="0081617A" w14:paraId="7EE33610" w14:textId="77777777" w:rsidTr="0081617A">
        <w:trPr>
          <w:cantSplit/>
        </w:trPr>
        <w:tc>
          <w:tcPr>
            <w:tcW w:w="0" w:type="auto"/>
            <w:shd w:val="clear" w:color="auto" w:fill="auto"/>
            <w:tcMar>
              <w:top w:w="0" w:type="dxa"/>
              <w:left w:w="0" w:type="dxa"/>
              <w:bottom w:w="0" w:type="dxa"/>
              <w:right w:w="0" w:type="dxa"/>
            </w:tcMar>
            <w:hideMark/>
          </w:tcPr>
          <w:p w14:paraId="678C40E1" w14:textId="77777777" w:rsidR="006213FC" w:rsidRPr="0081617A" w:rsidRDefault="006213FC" w:rsidP="00171CB0">
            <w:pPr>
              <w:rPr>
                <w:color w:val="000000"/>
                <w:sz w:val="20"/>
                <w:szCs w:val="20"/>
              </w:rPr>
            </w:pPr>
            <w:r w:rsidRPr="0081617A">
              <w:rPr>
                <w:color w:val="0000EE"/>
                <w:sz w:val="20"/>
                <w:szCs w:val="20"/>
                <w:u w:val="single" w:color="0000EE"/>
              </w:rPr>
              <w:t xml:space="preserve">DESCRIPTION OF </w:t>
            </w:r>
            <w:r w:rsidR="00171CB0" w:rsidRPr="0081617A">
              <w:rPr>
                <w:color w:val="0000EE"/>
                <w:sz w:val="20"/>
                <w:szCs w:val="20"/>
                <w:u w:val="single" w:color="0000EE"/>
              </w:rPr>
              <w:t>CAPITAL STOCK</w:t>
            </w:r>
          </w:p>
        </w:tc>
        <w:tc>
          <w:tcPr>
            <w:tcW w:w="194" w:type="pct"/>
            <w:gridSpan w:val="2"/>
            <w:shd w:val="clear" w:color="auto" w:fill="auto"/>
            <w:tcMar>
              <w:top w:w="0" w:type="dxa"/>
              <w:left w:w="0" w:type="dxa"/>
              <w:bottom w:w="0" w:type="dxa"/>
              <w:right w:w="0" w:type="dxa"/>
            </w:tcMar>
            <w:hideMark/>
          </w:tcPr>
          <w:p w14:paraId="0AA1DE8B" w14:textId="3F9156A1" w:rsidR="006213FC" w:rsidRPr="0081617A" w:rsidRDefault="0070530C" w:rsidP="006213FC">
            <w:pPr>
              <w:jc w:val="center"/>
              <w:rPr>
                <w:color w:val="000000"/>
                <w:sz w:val="20"/>
                <w:szCs w:val="20"/>
              </w:rPr>
            </w:pPr>
            <w:r>
              <w:rPr>
                <w:color w:val="000000"/>
                <w:sz w:val="20"/>
                <w:szCs w:val="20"/>
              </w:rPr>
              <w:t>5</w:t>
            </w:r>
            <w:r w:rsidR="00683544">
              <w:rPr>
                <w:color w:val="000000"/>
                <w:sz w:val="20"/>
                <w:szCs w:val="20"/>
              </w:rPr>
              <w:t>4</w:t>
            </w:r>
          </w:p>
        </w:tc>
      </w:tr>
      <w:tr w:rsidR="006213FC" w14:paraId="40FA3F2E" w14:textId="77777777" w:rsidTr="0081617A">
        <w:trPr>
          <w:cantSplit/>
        </w:trPr>
        <w:tc>
          <w:tcPr>
            <w:tcW w:w="0" w:type="auto"/>
            <w:shd w:val="clear" w:color="auto" w:fill="auto"/>
            <w:tcMar>
              <w:top w:w="0" w:type="dxa"/>
              <w:left w:w="0" w:type="dxa"/>
              <w:bottom w:w="0" w:type="dxa"/>
              <w:right w:w="0" w:type="dxa"/>
            </w:tcMar>
            <w:hideMark/>
          </w:tcPr>
          <w:p w14:paraId="6D9DED29" w14:textId="77777777" w:rsidR="006213FC" w:rsidRDefault="006213FC" w:rsidP="006213FC">
            <w:pPr>
              <w:rPr>
                <w:color w:val="000000"/>
                <w:sz w:val="20"/>
                <w:szCs w:val="20"/>
              </w:rPr>
            </w:pPr>
            <w:r>
              <w:rPr>
                <w:color w:val="0000EE"/>
                <w:sz w:val="20"/>
                <w:szCs w:val="20"/>
                <w:u w:val="single" w:color="0000EE"/>
              </w:rPr>
              <w:t>PLAN OF DISTRIBUTION</w:t>
            </w:r>
          </w:p>
        </w:tc>
        <w:tc>
          <w:tcPr>
            <w:tcW w:w="194" w:type="pct"/>
            <w:gridSpan w:val="2"/>
            <w:shd w:val="clear" w:color="auto" w:fill="auto"/>
            <w:tcMar>
              <w:top w:w="0" w:type="dxa"/>
              <w:left w:w="0" w:type="dxa"/>
              <w:bottom w:w="0" w:type="dxa"/>
              <w:right w:w="0" w:type="dxa"/>
            </w:tcMar>
            <w:hideMark/>
          </w:tcPr>
          <w:p w14:paraId="5EA026B8" w14:textId="45B53F38" w:rsidR="006213FC" w:rsidRDefault="0070530C" w:rsidP="006213FC">
            <w:pPr>
              <w:jc w:val="center"/>
              <w:rPr>
                <w:color w:val="000000"/>
                <w:sz w:val="20"/>
                <w:szCs w:val="20"/>
              </w:rPr>
            </w:pPr>
            <w:r>
              <w:rPr>
                <w:color w:val="000000"/>
                <w:sz w:val="20"/>
                <w:szCs w:val="20"/>
              </w:rPr>
              <w:t>5</w:t>
            </w:r>
            <w:r w:rsidR="00683544">
              <w:rPr>
                <w:color w:val="000000"/>
                <w:sz w:val="20"/>
                <w:szCs w:val="20"/>
              </w:rPr>
              <w:t>8</w:t>
            </w:r>
          </w:p>
        </w:tc>
      </w:tr>
      <w:tr w:rsidR="006213FC" w14:paraId="7108E52E" w14:textId="77777777" w:rsidTr="0081617A">
        <w:trPr>
          <w:cantSplit/>
        </w:trPr>
        <w:tc>
          <w:tcPr>
            <w:tcW w:w="0" w:type="auto"/>
            <w:shd w:val="clear" w:color="auto" w:fill="auto"/>
            <w:tcMar>
              <w:top w:w="0" w:type="dxa"/>
              <w:left w:w="0" w:type="dxa"/>
              <w:bottom w:w="0" w:type="dxa"/>
              <w:right w:w="0" w:type="dxa"/>
            </w:tcMar>
            <w:hideMark/>
          </w:tcPr>
          <w:p w14:paraId="5B56957C" w14:textId="77777777" w:rsidR="006213FC" w:rsidRDefault="006213FC" w:rsidP="006213FC">
            <w:pPr>
              <w:rPr>
                <w:color w:val="000000"/>
                <w:sz w:val="20"/>
                <w:szCs w:val="20"/>
              </w:rPr>
            </w:pPr>
            <w:r>
              <w:rPr>
                <w:color w:val="0000EE"/>
                <w:sz w:val="20"/>
                <w:szCs w:val="20"/>
                <w:u w:val="single" w:color="0000EE"/>
              </w:rPr>
              <w:t>LEGAL MATTERS</w:t>
            </w:r>
          </w:p>
        </w:tc>
        <w:tc>
          <w:tcPr>
            <w:tcW w:w="194" w:type="pct"/>
            <w:gridSpan w:val="2"/>
            <w:shd w:val="clear" w:color="auto" w:fill="auto"/>
            <w:tcMar>
              <w:top w:w="0" w:type="dxa"/>
              <w:left w:w="0" w:type="dxa"/>
              <w:bottom w:w="0" w:type="dxa"/>
              <w:right w:w="0" w:type="dxa"/>
            </w:tcMar>
            <w:hideMark/>
          </w:tcPr>
          <w:p w14:paraId="23B1A4B8" w14:textId="5547344A" w:rsidR="006213FC" w:rsidRDefault="0070530C" w:rsidP="006213FC">
            <w:pPr>
              <w:jc w:val="center"/>
              <w:rPr>
                <w:color w:val="000000"/>
                <w:sz w:val="20"/>
                <w:szCs w:val="20"/>
              </w:rPr>
            </w:pPr>
            <w:r>
              <w:rPr>
                <w:color w:val="000000"/>
                <w:sz w:val="20"/>
                <w:szCs w:val="20"/>
              </w:rPr>
              <w:t>6</w:t>
            </w:r>
            <w:r w:rsidR="00683544">
              <w:rPr>
                <w:color w:val="000000"/>
                <w:sz w:val="20"/>
                <w:szCs w:val="20"/>
              </w:rPr>
              <w:t>0</w:t>
            </w:r>
          </w:p>
        </w:tc>
      </w:tr>
      <w:tr w:rsidR="006213FC" w14:paraId="1DBBDC8D" w14:textId="77777777" w:rsidTr="0081617A">
        <w:trPr>
          <w:cantSplit/>
        </w:trPr>
        <w:tc>
          <w:tcPr>
            <w:tcW w:w="0" w:type="auto"/>
            <w:shd w:val="clear" w:color="auto" w:fill="auto"/>
            <w:tcMar>
              <w:top w:w="0" w:type="dxa"/>
              <w:left w:w="0" w:type="dxa"/>
              <w:bottom w:w="0" w:type="dxa"/>
              <w:right w:w="0" w:type="dxa"/>
            </w:tcMar>
            <w:hideMark/>
          </w:tcPr>
          <w:p w14:paraId="7D4D1AB5" w14:textId="77777777" w:rsidR="006213FC" w:rsidRDefault="006213FC" w:rsidP="006213FC">
            <w:pPr>
              <w:rPr>
                <w:color w:val="000000"/>
                <w:sz w:val="20"/>
                <w:szCs w:val="20"/>
              </w:rPr>
            </w:pPr>
            <w:r>
              <w:rPr>
                <w:color w:val="0000EE"/>
                <w:sz w:val="20"/>
                <w:szCs w:val="20"/>
                <w:u w:val="single" w:color="0000EE"/>
              </w:rPr>
              <w:t>EXPERTS</w:t>
            </w:r>
          </w:p>
        </w:tc>
        <w:tc>
          <w:tcPr>
            <w:tcW w:w="194" w:type="pct"/>
            <w:gridSpan w:val="2"/>
            <w:shd w:val="clear" w:color="auto" w:fill="auto"/>
            <w:tcMar>
              <w:top w:w="0" w:type="dxa"/>
              <w:left w:w="0" w:type="dxa"/>
              <w:bottom w:w="0" w:type="dxa"/>
              <w:right w:w="0" w:type="dxa"/>
            </w:tcMar>
            <w:hideMark/>
          </w:tcPr>
          <w:p w14:paraId="12067B7B" w14:textId="27ADD8C5" w:rsidR="006213FC" w:rsidRDefault="0070530C" w:rsidP="006213FC">
            <w:pPr>
              <w:jc w:val="center"/>
              <w:rPr>
                <w:color w:val="000000"/>
                <w:sz w:val="20"/>
                <w:szCs w:val="20"/>
              </w:rPr>
            </w:pPr>
            <w:r>
              <w:rPr>
                <w:color w:val="000000"/>
                <w:sz w:val="20"/>
                <w:szCs w:val="20"/>
              </w:rPr>
              <w:t>6</w:t>
            </w:r>
            <w:r w:rsidR="00683544">
              <w:rPr>
                <w:color w:val="000000"/>
                <w:sz w:val="20"/>
                <w:szCs w:val="20"/>
              </w:rPr>
              <w:t>0</w:t>
            </w:r>
          </w:p>
        </w:tc>
      </w:tr>
      <w:tr w:rsidR="006213FC" w14:paraId="6C5AF838" w14:textId="77777777" w:rsidTr="0081617A">
        <w:trPr>
          <w:cantSplit/>
        </w:trPr>
        <w:tc>
          <w:tcPr>
            <w:tcW w:w="0" w:type="auto"/>
            <w:shd w:val="clear" w:color="auto" w:fill="auto"/>
            <w:tcMar>
              <w:top w:w="0" w:type="dxa"/>
              <w:left w:w="0" w:type="dxa"/>
              <w:bottom w:w="0" w:type="dxa"/>
              <w:right w:w="0" w:type="dxa"/>
            </w:tcMar>
            <w:hideMark/>
          </w:tcPr>
          <w:p w14:paraId="4B08CFE9" w14:textId="77777777" w:rsidR="006213FC" w:rsidRDefault="006213FC" w:rsidP="006213FC">
            <w:pPr>
              <w:rPr>
                <w:color w:val="000000"/>
                <w:sz w:val="20"/>
                <w:szCs w:val="20"/>
              </w:rPr>
            </w:pPr>
            <w:r>
              <w:rPr>
                <w:color w:val="0000EE"/>
                <w:sz w:val="20"/>
                <w:szCs w:val="20"/>
                <w:u w:val="single" w:color="0000EE"/>
              </w:rPr>
              <w:t>WHERE YOU CAN FIND MORE INFORMATION</w:t>
            </w:r>
          </w:p>
        </w:tc>
        <w:tc>
          <w:tcPr>
            <w:tcW w:w="194" w:type="pct"/>
            <w:gridSpan w:val="2"/>
            <w:shd w:val="clear" w:color="auto" w:fill="auto"/>
            <w:tcMar>
              <w:top w:w="0" w:type="dxa"/>
              <w:left w:w="0" w:type="dxa"/>
              <w:bottom w:w="0" w:type="dxa"/>
              <w:right w:w="0" w:type="dxa"/>
            </w:tcMar>
            <w:hideMark/>
          </w:tcPr>
          <w:p w14:paraId="2C1CEA73" w14:textId="5361C7E5" w:rsidR="006213FC" w:rsidRDefault="0070530C" w:rsidP="006213FC">
            <w:pPr>
              <w:jc w:val="center"/>
              <w:rPr>
                <w:color w:val="000000"/>
                <w:sz w:val="20"/>
                <w:szCs w:val="20"/>
              </w:rPr>
            </w:pPr>
            <w:r>
              <w:rPr>
                <w:color w:val="000000"/>
                <w:sz w:val="20"/>
                <w:szCs w:val="20"/>
              </w:rPr>
              <w:t>6</w:t>
            </w:r>
            <w:r w:rsidR="00683544">
              <w:rPr>
                <w:color w:val="000000"/>
                <w:sz w:val="20"/>
                <w:szCs w:val="20"/>
              </w:rPr>
              <w:t>0</w:t>
            </w:r>
          </w:p>
        </w:tc>
      </w:tr>
      <w:tr w:rsidR="0081617A" w14:paraId="17BDBCAD" w14:textId="77777777" w:rsidTr="0081617A">
        <w:trPr>
          <w:cantSplit/>
        </w:trPr>
        <w:tc>
          <w:tcPr>
            <w:tcW w:w="0" w:type="auto"/>
            <w:shd w:val="clear" w:color="auto" w:fill="auto"/>
            <w:tcMar>
              <w:top w:w="0" w:type="dxa"/>
              <w:left w:w="0" w:type="dxa"/>
              <w:bottom w:w="0" w:type="dxa"/>
              <w:right w:w="0" w:type="dxa"/>
            </w:tcMar>
            <w:hideMark/>
          </w:tcPr>
          <w:p w14:paraId="78F17041" w14:textId="77777777" w:rsidR="0081617A" w:rsidRDefault="0081617A" w:rsidP="0081617A">
            <w:pPr>
              <w:rPr>
                <w:color w:val="000000"/>
                <w:sz w:val="20"/>
                <w:szCs w:val="20"/>
              </w:rPr>
            </w:pPr>
            <w:r>
              <w:rPr>
                <w:color w:val="0000EE"/>
                <w:sz w:val="20"/>
                <w:szCs w:val="20"/>
                <w:u w:val="single" w:color="0000EE"/>
              </w:rPr>
              <w:t>INDEX TO FINANCIAL STATEMENTS</w:t>
            </w:r>
          </w:p>
        </w:tc>
        <w:tc>
          <w:tcPr>
            <w:tcW w:w="194" w:type="pct"/>
            <w:gridSpan w:val="2"/>
            <w:shd w:val="clear" w:color="auto" w:fill="auto"/>
            <w:tcMar>
              <w:top w:w="0" w:type="dxa"/>
              <w:left w:w="0" w:type="dxa"/>
              <w:bottom w:w="0" w:type="dxa"/>
              <w:right w:w="0" w:type="dxa"/>
            </w:tcMar>
            <w:hideMark/>
          </w:tcPr>
          <w:p w14:paraId="616C6DD0" w14:textId="77777777" w:rsidR="0081617A" w:rsidRDefault="0081617A" w:rsidP="0081617A">
            <w:pPr>
              <w:jc w:val="center"/>
              <w:rPr>
                <w:color w:val="000000"/>
                <w:sz w:val="20"/>
                <w:szCs w:val="20"/>
              </w:rPr>
            </w:pPr>
            <w:r>
              <w:rPr>
                <w:color w:val="000000"/>
                <w:sz w:val="20"/>
                <w:szCs w:val="20"/>
              </w:rPr>
              <w:t>F-1</w:t>
            </w:r>
          </w:p>
        </w:tc>
      </w:tr>
      <w:tr w:rsidR="0081617A" w14:paraId="07F55D89" w14:textId="77777777" w:rsidTr="0081617A">
        <w:trPr>
          <w:gridAfter w:val="1"/>
          <w:wAfter w:w="48" w:type="pct"/>
          <w:cantSplit/>
        </w:trPr>
        <w:tc>
          <w:tcPr>
            <w:tcW w:w="0" w:type="auto"/>
            <w:shd w:val="clear" w:color="auto" w:fill="auto"/>
            <w:tcMar>
              <w:top w:w="0" w:type="dxa"/>
              <w:left w:w="0" w:type="dxa"/>
              <w:bottom w:w="0" w:type="dxa"/>
              <w:right w:w="0" w:type="dxa"/>
            </w:tcMar>
          </w:tcPr>
          <w:p w14:paraId="64FBF2D7" w14:textId="77777777" w:rsidR="0081617A" w:rsidRDefault="0081617A" w:rsidP="006213FC">
            <w:pPr>
              <w:rPr>
                <w:color w:val="0000EE"/>
                <w:sz w:val="20"/>
                <w:szCs w:val="20"/>
                <w:u w:val="single" w:color="0000EE"/>
              </w:rPr>
            </w:pPr>
          </w:p>
        </w:tc>
        <w:tc>
          <w:tcPr>
            <w:tcW w:w="0" w:type="auto"/>
            <w:shd w:val="clear" w:color="auto" w:fill="auto"/>
            <w:tcMar>
              <w:top w:w="0" w:type="dxa"/>
              <w:left w:w="0" w:type="dxa"/>
              <w:bottom w:w="0" w:type="dxa"/>
              <w:right w:w="0" w:type="dxa"/>
            </w:tcMar>
          </w:tcPr>
          <w:p w14:paraId="30A01293" w14:textId="77777777" w:rsidR="0081617A" w:rsidRDefault="0081617A" w:rsidP="006213FC">
            <w:pPr>
              <w:jc w:val="center"/>
              <w:rPr>
                <w:color w:val="000000"/>
                <w:sz w:val="20"/>
                <w:szCs w:val="20"/>
              </w:rPr>
            </w:pPr>
          </w:p>
        </w:tc>
      </w:tr>
    </w:tbl>
    <w:p w14:paraId="6B11F2DC" w14:textId="77777777" w:rsidR="00651FAD" w:rsidRDefault="00651FAD">
      <w:pPr>
        <w:rPr>
          <w:sz w:val="20"/>
          <w:szCs w:val="20"/>
        </w:rPr>
      </w:pPr>
    </w:p>
    <w:tbl>
      <w:tblPr>
        <w:tblW w:w="5000" w:type="pct"/>
        <w:tblBorders>
          <w:bottom w:val="single" w:sz="12" w:space="0" w:color="000000"/>
        </w:tblBorders>
        <w:tblCellMar>
          <w:left w:w="0" w:type="dxa"/>
          <w:right w:w="0" w:type="dxa"/>
        </w:tblCellMar>
        <w:tblLook w:val="04A0" w:firstRow="1" w:lastRow="0" w:firstColumn="1" w:lastColumn="0" w:noHBand="0" w:noVBand="1"/>
      </w:tblPr>
      <w:tblGrid>
        <w:gridCol w:w="9360"/>
      </w:tblGrid>
      <w:tr w:rsidR="0087113F" w14:paraId="2A4D6EDB" w14:textId="77777777">
        <w:trPr>
          <w:cantSplit/>
        </w:trPr>
        <w:tc>
          <w:tcPr>
            <w:tcW w:w="0" w:type="auto"/>
            <w:tcMar>
              <w:top w:w="0" w:type="dxa"/>
              <w:left w:w="0" w:type="dxa"/>
              <w:bottom w:w="0" w:type="dxa"/>
              <w:right w:w="0" w:type="dxa"/>
            </w:tcMar>
            <w:hideMark/>
          </w:tcPr>
          <w:p w14:paraId="2A9ED490" w14:textId="77777777" w:rsidR="0087113F" w:rsidRDefault="004837DC">
            <w:pPr>
              <w:rPr>
                <w:color w:val="000000"/>
                <w:sz w:val="20"/>
                <w:szCs w:val="20"/>
              </w:rPr>
            </w:pPr>
            <w:r>
              <w:rPr>
                <w:color w:val="000000"/>
                <w:sz w:val="20"/>
                <w:szCs w:val="20"/>
              </w:rPr>
              <w:t> </w:t>
            </w:r>
          </w:p>
        </w:tc>
      </w:tr>
    </w:tbl>
    <w:p w14:paraId="77A29987" w14:textId="77777777" w:rsidR="0087113F" w:rsidRDefault="0087113F">
      <w:pPr>
        <w:rPr>
          <w:vanish/>
        </w:rPr>
      </w:pPr>
    </w:p>
    <w:tbl>
      <w:tblPr>
        <w:tblW w:w="5000" w:type="pct"/>
        <w:tblCellMar>
          <w:left w:w="0" w:type="dxa"/>
          <w:right w:w="0" w:type="dxa"/>
        </w:tblCellMar>
        <w:tblLook w:val="04A0" w:firstRow="1" w:lastRow="0" w:firstColumn="1" w:lastColumn="0" w:noHBand="0" w:noVBand="1"/>
      </w:tblPr>
      <w:tblGrid>
        <w:gridCol w:w="9360"/>
      </w:tblGrid>
      <w:tr w:rsidR="0087113F" w14:paraId="03E62585" w14:textId="77777777">
        <w:trPr>
          <w:cantSplit/>
        </w:trPr>
        <w:tc>
          <w:tcPr>
            <w:tcW w:w="0" w:type="auto"/>
            <w:tcMar>
              <w:top w:w="0" w:type="dxa"/>
              <w:left w:w="0" w:type="dxa"/>
              <w:bottom w:w="0" w:type="dxa"/>
              <w:right w:w="0" w:type="dxa"/>
            </w:tcMar>
            <w:hideMark/>
          </w:tcPr>
          <w:p w14:paraId="33E8C54F" w14:textId="77777777" w:rsidR="0087113F" w:rsidRDefault="004837DC">
            <w:pPr>
              <w:jc w:val="center"/>
              <w:rPr>
                <w:color w:val="000000"/>
                <w:sz w:val="20"/>
                <w:szCs w:val="20"/>
              </w:rPr>
            </w:pPr>
            <w:r>
              <w:rPr>
                <w:color w:val="000000"/>
                <w:sz w:val="20"/>
                <w:szCs w:val="20"/>
              </w:rPr>
              <w:t> </w:t>
            </w:r>
          </w:p>
        </w:tc>
      </w:tr>
    </w:tbl>
    <w:p w14:paraId="2F3A0D2D" w14:textId="77777777" w:rsidR="0087113F" w:rsidRDefault="004837DC">
      <w:pPr>
        <w:rPr>
          <w:sz w:val="20"/>
          <w:szCs w:val="20"/>
        </w:rPr>
      </w:pPr>
      <w:r>
        <w:rPr>
          <w:sz w:val="20"/>
          <w:szCs w:val="20"/>
        </w:rPr>
        <w:t> </w:t>
      </w:r>
    </w:p>
    <w:p w14:paraId="6118311E" w14:textId="77777777" w:rsidR="0087113F" w:rsidRDefault="004837DC">
      <w:pPr>
        <w:jc w:val="center"/>
        <w:rPr>
          <w:sz w:val="20"/>
          <w:szCs w:val="20"/>
        </w:rPr>
      </w:pPr>
      <w:bookmarkStart w:id="0" w:name="cr_001"/>
      <w:bookmarkEnd w:id="0"/>
      <w:r>
        <w:rPr>
          <w:b/>
          <w:bCs/>
          <w:caps/>
          <w:sz w:val="20"/>
          <w:szCs w:val="20"/>
        </w:rPr>
        <w:t>About This Prospectus</w:t>
      </w:r>
    </w:p>
    <w:p w14:paraId="78212775" w14:textId="77777777" w:rsidR="0087113F" w:rsidRDefault="004837DC">
      <w:pPr>
        <w:jc w:val="center"/>
        <w:rPr>
          <w:sz w:val="20"/>
          <w:szCs w:val="20"/>
        </w:rPr>
      </w:pPr>
      <w:r>
        <w:rPr>
          <w:sz w:val="20"/>
          <w:szCs w:val="20"/>
        </w:rPr>
        <w:t> </w:t>
      </w:r>
    </w:p>
    <w:p w14:paraId="2AF3B25C" w14:textId="77777777" w:rsidR="0087113F" w:rsidRDefault="004837DC">
      <w:pPr>
        <w:ind w:firstLine="720"/>
        <w:jc w:val="both"/>
        <w:rPr>
          <w:sz w:val="20"/>
          <w:szCs w:val="20"/>
        </w:rPr>
      </w:pPr>
      <w:r>
        <w:rPr>
          <w:sz w:val="20"/>
          <w:szCs w:val="20"/>
        </w:rPr>
        <w:t>This prospectus is part of a registration statement that we filed with the SEC. As permitted by the rules and regulations of the SEC, the registration statement filed by us includes additional information not contained in this prospectus. You may read the registration statement and the other reports we file with the SEC at the SEC’s website described below under the heading “Where You Can Find More Information.”</w:t>
      </w:r>
    </w:p>
    <w:p w14:paraId="620E3AD4" w14:textId="77777777" w:rsidR="0087113F" w:rsidRDefault="004837DC">
      <w:pPr>
        <w:ind w:firstLine="720"/>
        <w:jc w:val="both"/>
        <w:rPr>
          <w:sz w:val="20"/>
          <w:szCs w:val="20"/>
        </w:rPr>
      </w:pPr>
      <w:r>
        <w:rPr>
          <w:sz w:val="20"/>
          <w:szCs w:val="20"/>
        </w:rPr>
        <w:t> </w:t>
      </w:r>
    </w:p>
    <w:p w14:paraId="56F3B4D3" w14:textId="352D2E56" w:rsidR="0087113F" w:rsidRDefault="00651FAD">
      <w:pPr>
        <w:ind w:firstLine="720"/>
        <w:jc w:val="both"/>
        <w:rPr>
          <w:sz w:val="20"/>
          <w:szCs w:val="20"/>
        </w:rPr>
      </w:pPr>
      <w:r w:rsidRPr="00651FAD">
        <w:rPr>
          <w:sz w:val="20"/>
          <w:szCs w:val="20"/>
        </w:rPr>
        <w:t xml:space="preserve">Neither we nor the </w:t>
      </w:r>
      <w:r w:rsidR="00F77489">
        <w:rPr>
          <w:sz w:val="20"/>
          <w:szCs w:val="20"/>
        </w:rPr>
        <w:t>S</w:t>
      </w:r>
      <w:r w:rsidRPr="00651FAD">
        <w:rPr>
          <w:sz w:val="20"/>
          <w:szCs w:val="20"/>
        </w:rPr>
        <w:t xml:space="preserve">elling </w:t>
      </w:r>
      <w:r w:rsidR="00F77489">
        <w:rPr>
          <w:sz w:val="20"/>
          <w:szCs w:val="20"/>
        </w:rPr>
        <w:t>S</w:t>
      </w:r>
      <w:r w:rsidRPr="00651FAD">
        <w:rPr>
          <w:sz w:val="20"/>
          <w:szCs w:val="20"/>
        </w:rPr>
        <w:t>tockholder</w:t>
      </w:r>
      <w:r w:rsidR="00F07249">
        <w:rPr>
          <w:sz w:val="20"/>
          <w:szCs w:val="20"/>
        </w:rPr>
        <w:t>s</w:t>
      </w:r>
      <w:r w:rsidRPr="00651FAD">
        <w:rPr>
          <w:sz w:val="20"/>
          <w:szCs w:val="20"/>
        </w:rPr>
        <w:t xml:space="preserve"> have authorized anyone to provide you with information different from that contained in this prospectus, any amendment or supplement to this prospectus or any free writing prospectus prepared by us or on our behalf. Neither we nor the </w:t>
      </w:r>
      <w:r w:rsidR="00F77489">
        <w:rPr>
          <w:sz w:val="20"/>
          <w:szCs w:val="20"/>
        </w:rPr>
        <w:t>S</w:t>
      </w:r>
      <w:r w:rsidRPr="00651FAD">
        <w:rPr>
          <w:sz w:val="20"/>
          <w:szCs w:val="20"/>
        </w:rPr>
        <w:t xml:space="preserve">elling </w:t>
      </w:r>
      <w:r w:rsidR="00F77489">
        <w:rPr>
          <w:sz w:val="20"/>
          <w:szCs w:val="20"/>
        </w:rPr>
        <w:t>S</w:t>
      </w:r>
      <w:r w:rsidRPr="00651FAD">
        <w:rPr>
          <w:sz w:val="20"/>
          <w:szCs w:val="20"/>
        </w:rPr>
        <w:t>tockholder</w:t>
      </w:r>
      <w:r w:rsidR="00F07249">
        <w:rPr>
          <w:sz w:val="20"/>
          <w:szCs w:val="20"/>
        </w:rPr>
        <w:t>s</w:t>
      </w:r>
      <w:r w:rsidRPr="00651FAD">
        <w:rPr>
          <w:sz w:val="20"/>
          <w:szCs w:val="20"/>
        </w:rPr>
        <w:t xml:space="preserve"> take any responsibility for, or can provide any assurance as to the reliability of, any information other than the information contained in this prospectus, any amendment or supplement to this prospectus or any free writing prospectus prepared by us or on our behalf. We and the </w:t>
      </w:r>
      <w:r w:rsidR="00F77489">
        <w:rPr>
          <w:sz w:val="20"/>
          <w:szCs w:val="20"/>
        </w:rPr>
        <w:t>S</w:t>
      </w:r>
      <w:r w:rsidRPr="00651FAD">
        <w:rPr>
          <w:sz w:val="20"/>
          <w:szCs w:val="20"/>
        </w:rPr>
        <w:t xml:space="preserve">elling </w:t>
      </w:r>
      <w:r w:rsidR="00F77489">
        <w:rPr>
          <w:sz w:val="20"/>
          <w:szCs w:val="20"/>
        </w:rPr>
        <w:t>S</w:t>
      </w:r>
      <w:r w:rsidRPr="00651FAD">
        <w:rPr>
          <w:sz w:val="20"/>
          <w:szCs w:val="20"/>
        </w:rPr>
        <w:t>tockholder</w:t>
      </w:r>
      <w:r w:rsidR="00F07249">
        <w:rPr>
          <w:sz w:val="20"/>
          <w:szCs w:val="20"/>
        </w:rPr>
        <w:t>s</w:t>
      </w:r>
      <w:r w:rsidRPr="00651FAD">
        <w:rPr>
          <w:sz w:val="20"/>
          <w:szCs w:val="20"/>
        </w:rPr>
        <w:t xml:space="preserve"> are offering to sell, and seeking offers to buy, shares of our common stock only in jurisdictions where offers and sales are permitted. You should assume that the information appearing in this prospectus or in any free writing prospectus prepared by us is accurate only as of their respective dates or on the date or dates which are specified in such documents. Our business, financial condition, results of operations and prospects may have changed since those dates.</w:t>
      </w:r>
    </w:p>
    <w:p w14:paraId="5E6CEC60" w14:textId="77777777" w:rsidR="0087113F" w:rsidRDefault="004837DC">
      <w:pPr>
        <w:ind w:firstLine="720"/>
        <w:jc w:val="both"/>
        <w:rPr>
          <w:sz w:val="20"/>
          <w:szCs w:val="20"/>
        </w:rPr>
      </w:pPr>
      <w:r>
        <w:rPr>
          <w:sz w:val="20"/>
          <w:szCs w:val="20"/>
        </w:rPr>
        <w:t> </w:t>
      </w:r>
    </w:p>
    <w:p w14:paraId="13B50408" w14:textId="3B38C21B" w:rsidR="0087113F" w:rsidRDefault="00651FAD">
      <w:pPr>
        <w:ind w:firstLine="720"/>
        <w:jc w:val="both"/>
        <w:rPr>
          <w:sz w:val="20"/>
          <w:szCs w:val="20"/>
        </w:rPr>
      </w:pPr>
      <w:r>
        <w:rPr>
          <w:sz w:val="20"/>
          <w:szCs w:val="20"/>
        </w:rPr>
        <w:t xml:space="preserve">Neither we nor the </w:t>
      </w:r>
      <w:r w:rsidR="00F77489">
        <w:rPr>
          <w:sz w:val="20"/>
          <w:szCs w:val="20"/>
        </w:rPr>
        <w:t>S</w:t>
      </w:r>
      <w:r>
        <w:rPr>
          <w:sz w:val="20"/>
          <w:szCs w:val="20"/>
        </w:rPr>
        <w:t xml:space="preserve">elling </w:t>
      </w:r>
      <w:r w:rsidR="00F77489">
        <w:rPr>
          <w:sz w:val="20"/>
          <w:szCs w:val="20"/>
        </w:rPr>
        <w:t>S</w:t>
      </w:r>
      <w:r>
        <w:rPr>
          <w:sz w:val="20"/>
          <w:szCs w:val="20"/>
        </w:rPr>
        <w:t>tockholder</w:t>
      </w:r>
      <w:r w:rsidR="00F07249">
        <w:rPr>
          <w:sz w:val="20"/>
          <w:szCs w:val="20"/>
        </w:rPr>
        <w:t>s</w:t>
      </w:r>
      <w:r w:rsidR="004837DC">
        <w:rPr>
          <w:sz w:val="20"/>
          <w:szCs w:val="20"/>
        </w:rPr>
        <w:t xml:space="preserve"> are offering to sell or seeking offers to purchase these securities in any jurisdiction where the offer or sale is not permitted. We have not done anything that would permit this offering or possession or distribution of this prospectus in any jurisdiction where action for that purpose is required, other than in the United States. Persons outside the United States who come into possession of this prospectus must inform </w:t>
      </w:r>
      <w:r w:rsidR="004837DC">
        <w:rPr>
          <w:sz w:val="20"/>
          <w:szCs w:val="20"/>
        </w:rPr>
        <w:lastRenderedPageBreak/>
        <w:t>themselves about, and observe any restrictions relating to, the offering of the securities as to distribution of the prospectus outside of the United States.</w:t>
      </w:r>
    </w:p>
    <w:p w14:paraId="226862A0" w14:textId="77777777" w:rsidR="0087113F" w:rsidRDefault="004837DC">
      <w:pPr>
        <w:ind w:firstLine="720"/>
        <w:jc w:val="both"/>
        <w:rPr>
          <w:sz w:val="20"/>
          <w:szCs w:val="20"/>
        </w:rPr>
      </w:pPr>
      <w:r>
        <w:rPr>
          <w:sz w:val="20"/>
          <w:szCs w:val="20"/>
        </w:rPr>
        <w:t> </w:t>
      </w:r>
    </w:p>
    <w:p w14:paraId="199C650D" w14:textId="77777777" w:rsidR="00336ABC" w:rsidRDefault="004837DC">
      <w:pPr>
        <w:ind w:firstLine="720"/>
        <w:jc w:val="both"/>
        <w:rPr>
          <w:sz w:val="20"/>
          <w:szCs w:val="20"/>
        </w:rPr>
        <w:sectPr w:rsidR="00336ABC" w:rsidSect="00336ABC">
          <w:footerReference w:type="default" r:id="rId14"/>
          <w:headerReference w:type="first" r:id="rId15"/>
          <w:footerReference w:type="first" r:id="rId16"/>
          <w:type w:val="continuous"/>
          <w:pgSz w:w="12240" w:h="15840"/>
          <w:pgMar w:top="1440" w:right="1440" w:bottom="1440" w:left="1440" w:header="720" w:footer="720" w:gutter="0"/>
          <w:pgNumType w:fmt="lowerRoman" w:start="1"/>
          <w:cols w:space="720"/>
          <w:titlePg/>
          <w:docGrid w:linePitch="326"/>
        </w:sectPr>
      </w:pPr>
      <w:r>
        <w:rPr>
          <w:sz w:val="20"/>
          <w:szCs w:val="20"/>
        </w:rPr>
        <w:t xml:space="preserve">Unless the context otherwise requires, references to </w:t>
      </w:r>
      <w:r w:rsidR="00E329B2">
        <w:rPr>
          <w:sz w:val="20"/>
          <w:szCs w:val="20"/>
        </w:rPr>
        <w:t>“</w:t>
      </w:r>
      <w:proofErr w:type="spellStart"/>
      <w:r w:rsidR="00E329B2">
        <w:rPr>
          <w:sz w:val="20"/>
          <w:szCs w:val="20"/>
        </w:rPr>
        <w:t>GeoVax</w:t>
      </w:r>
      <w:proofErr w:type="spellEnd"/>
      <w:r w:rsidR="00E329B2">
        <w:rPr>
          <w:sz w:val="20"/>
          <w:szCs w:val="20"/>
        </w:rPr>
        <w:t xml:space="preserve">,” </w:t>
      </w:r>
      <w:r>
        <w:rPr>
          <w:sz w:val="20"/>
          <w:szCs w:val="20"/>
        </w:rPr>
        <w:t xml:space="preserve">“we,” “our,” “us” or the “Company” in this prospectus mean </w:t>
      </w:r>
      <w:proofErr w:type="spellStart"/>
      <w:r w:rsidR="00651FAD">
        <w:rPr>
          <w:sz w:val="20"/>
          <w:szCs w:val="20"/>
        </w:rPr>
        <w:t>GeoVax</w:t>
      </w:r>
      <w:proofErr w:type="spellEnd"/>
      <w:r w:rsidR="00651FAD">
        <w:rPr>
          <w:sz w:val="20"/>
          <w:szCs w:val="20"/>
        </w:rPr>
        <w:t xml:space="preserve"> Labs</w:t>
      </w:r>
      <w:r>
        <w:rPr>
          <w:sz w:val="20"/>
          <w:szCs w:val="20"/>
        </w:rPr>
        <w:t xml:space="preserve">, Inc. </w:t>
      </w:r>
      <w:r w:rsidR="003221AE">
        <w:rPr>
          <w:sz w:val="20"/>
          <w:szCs w:val="20"/>
        </w:rPr>
        <w:t xml:space="preserve">and its consolidated subsidiaries. </w:t>
      </w:r>
      <w:r>
        <w:rPr>
          <w:sz w:val="20"/>
          <w:szCs w:val="20"/>
        </w:rPr>
        <w:t xml:space="preserve">Solely for convenience, trademarks and tradenames referred to in this prospectus may appear without the </w:t>
      </w:r>
      <w:r>
        <w:rPr>
          <w:sz w:val="25"/>
          <w:szCs w:val="25"/>
          <w:vertAlign w:val="superscript"/>
        </w:rPr>
        <w:t>®</w:t>
      </w:r>
      <w:r>
        <w:rPr>
          <w:sz w:val="20"/>
          <w:szCs w:val="20"/>
        </w:rPr>
        <w:t xml:space="preserve"> or </w:t>
      </w:r>
      <w:r>
        <w:rPr>
          <w:sz w:val="25"/>
          <w:szCs w:val="25"/>
          <w:vertAlign w:val="superscript"/>
        </w:rPr>
        <w:t>™</w:t>
      </w:r>
      <w:r>
        <w:rPr>
          <w:sz w:val="20"/>
          <w:szCs w:val="20"/>
        </w:rPr>
        <w:t xml:space="preserve"> symbols, but such references are not intended to indicate in any way that we will not assert, to the fullest extent under applicable law, our rights, or that the applicable owner will not assert its rights, to these trademarks and tradenames.</w:t>
      </w:r>
    </w:p>
    <w:p w14:paraId="1FDD5DCB" w14:textId="77777777" w:rsidR="0087113F" w:rsidRDefault="0087113F">
      <w:pPr>
        <w:ind w:firstLine="720"/>
        <w:jc w:val="both"/>
        <w:rPr>
          <w:sz w:val="20"/>
          <w:szCs w:val="20"/>
        </w:rPr>
      </w:pPr>
    </w:p>
    <w:p w14:paraId="0A6405D2" w14:textId="77777777" w:rsidR="0087113F" w:rsidRDefault="004837DC">
      <w:pPr>
        <w:ind w:firstLine="720"/>
        <w:jc w:val="both"/>
        <w:rPr>
          <w:sz w:val="20"/>
          <w:szCs w:val="20"/>
        </w:rPr>
      </w:pPr>
      <w:r>
        <w:rPr>
          <w:sz w:val="20"/>
          <w:szCs w:val="20"/>
        </w:rPr>
        <w:t> </w:t>
      </w:r>
    </w:p>
    <w:p w14:paraId="3A40114C" w14:textId="77777777" w:rsidR="0087113F" w:rsidRDefault="004837DC">
      <w:pPr>
        <w:spacing w:before="120"/>
      </w:pPr>
      <w:r>
        <w:t> </w:t>
      </w:r>
    </w:p>
    <w:p w14:paraId="46E45971" w14:textId="77777777" w:rsidR="0087113F" w:rsidRDefault="004837DC">
      <w:pPr>
        <w:ind w:firstLine="720"/>
        <w:jc w:val="both"/>
        <w:rPr>
          <w:sz w:val="20"/>
          <w:szCs w:val="20"/>
        </w:rPr>
      </w:pPr>
      <w:r>
        <w:rPr>
          <w:sz w:val="20"/>
          <w:szCs w:val="20"/>
        </w:rPr>
        <w:t> </w:t>
      </w:r>
    </w:p>
    <w:p w14:paraId="41480CCE" w14:textId="77777777" w:rsidR="00840105" w:rsidRDefault="00840105" w:rsidP="005F0C9D">
      <w:pPr>
        <w:ind w:left="174" w:right="174"/>
        <w:jc w:val="center"/>
        <w:rPr>
          <w:b/>
          <w:sz w:val="20"/>
          <w:szCs w:val="20"/>
        </w:rPr>
        <w:sectPr w:rsidR="00840105" w:rsidSect="005F0C9D">
          <w:footerReference w:type="default" r:id="rId17"/>
          <w:type w:val="continuous"/>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docGrid w:linePitch="326"/>
        </w:sectPr>
      </w:pPr>
    </w:p>
    <w:p w14:paraId="042022FE" w14:textId="77777777" w:rsidR="005F0C9D" w:rsidRPr="005F0C9D" w:rsidRDefault="005F0C9D" w:rsidP="005F0C9D">
      <w:pPr>
        <w:ind w:left="174" w:right="174"/>
        <w:jc w:val="center"/>
        <w:rPr>
          <w:b/>
          <w:sz w:val="20"/>
          <w:szCs w:val="20"/>
        </w:rPr>
      </w:pPr>
      <w:r w:rsidRPr="005F0C9D">
        <w:rPr>
          <w:b/>
          <w:sz w:val="20"/>
          <w:szCs w:val="20"/>
        </w:rPr>
        <w:lastRenderedPageBreak/>
        <w:t>PROSPECTUS SUMMARY</w:t>
      </w:r>
    </w:p>
    <w:p w14:paraId="5FEB09D1" w14:textId="77777777" w:rsidR="005F0C9D" w:rsidRPr="005F0C9D" w:rsidRDefault="005F0C9D" w:rsidP="005F0C9D">
      <w:pPr>
        <w:ind w:left="174" w:right="174"/>
        <w:rPr>
          <w:sz w:val="20"/>
          <w:szCs w:val="20"/>
        </w:rPr>
      </w:pPr>
      <w:r w:rsidRPr="005F0C9D">
        <w:rPr>
          <w:sz w:val="20"/>
          <w:szCs w:val="20"/>
        </w:rPr>
        <w:t xml:space="preserve"> </w:t>
      </w:r>
    </w:p>
    <w:p w14:paraId="56E482D2" w14:textId="77777777" w:rsidR="005F0C9D" w:rsidRPr="005F0C9D" w:rsidRDefault="005F0C9D" w:rsidP="000036AE">
      <w:pPr>
        <w:ind w:left="174" w:right="174" w:firstLine="546"/>
        <w:jc w:val="both"/>
        <w:rPr>
          <w:i/>
          <w:sz w:val="20"/>
          <w:szCs w:val="20"/>
        </w:rPr>
      </w:pPr>
      <w:r w:rsidRPr="005F0C9D">
        <w:rPr>
          <w:i/>
          <w:sz w:val="20"/>
          <w:szCs w:val="20"/>
        </w:rPr>
        <w:t>The following summary highlights certain information contained elsewhere in this prospectus. Because this is only a summary, however, it does not contain all the information you should consider before investing in our securities and it is qualified in its entirety by, and should be read in conjunction with, the more detailed information included elsewhere in this prospectus. Before you make an investment decision, you should read this entire prospectus carefully, including the risks of investing in our securities discussed under the section of this prospectus entitled “Risk Factors</w:t>
      </w:r>
      <w:r w:rsidR="00840105">
        <w:rPr>
          <w:i/>
          <w:sz w:val="20"/>
          <w:szCs w:val="20"/>
        </w:rPr>
        <w:t>.</w:t>
      </w:r>
      <w:r w:rsidRPr="005F0C9D">
        <w:rPr>
          <w:i/>
          <w:sz w:val="20"/>
          <w:szCs w:val="20"/>
        </w:rPr>
        <w:t>” You should also carefully read the exhibits to the registration statement of which this prospectus is a part.</w:t>
      </w:r>
    </w:p>
    <w:p w14:paraId="177BA1B6" w14:textId="77777777" w:rsidR="003E2503" w:rsidRDefault="003E2503" w:rsidP="000036AE">
      <w:pPr>
        <w:jc w:val="both"/>
        <w:rPr>
          <w:bCs/>
          <w:sz w:val="20"/>
          <w:szCs w:val="20"/>
        </w:rPr>
      </w:pPr>
    </w:p>
    <w:p w14:paraId="7CF77A69" w14:textId="77777777" w:rsidR="003E2503" w:rsidRPr="00F3795D" w:rsidRDefault="003E2503" w:rsidP="00B2423E">
      <w:pPr>
        <w:jc w:val="center"/>
        <w:rPr>
          <w:b/>
          <w:bCs/>
          <w:sz w:val="20"/>
          <w:szCs w:val="20"/>
        </w:rPr>
      </w:pPr>
      <w:r w:rsidRPr="00F3795D">
        <w:rPr>
          <w:b/>
          <w:bCs/>
          <w:sz w:val="20"/>
          <w:szCs w:val="20"/>
        </w:rPr>
        <w:t>Overview</w:t>
      </w:r>
    </w:p>
    <w:p w14:paraId="3D20104C" w14:textId="77777777" w:rsidR="003E2503" w:rsidRPr="00F3795D" w:rsidRDefault="003E2503" w:rsidP="000036AE">
      <w:pPr>
        <w:ind w:firstLine="720"/>
        <w:jc w:val="both"/>
        <w:rPr>
          <w:bCs/>
          <w:sz w:val="20"/>
          <w:szCs w:val="20"/>
        </w:rPr>
      </w:pPr>
    </w:p>
    <w:p w14:paraId="121DFAB8" w14:textId="48383F0D" w:rsidR="008F3E8B" w:rsidRPr="00F3795D" w:rsidRDefault="00E329B2" w:rsidP="008F3E8B">
      <w:pPr>
        <w:ind w:firstLine="720"/>
        <w:jc w:val="both"/>
        <w:rPr>
          <w:bCs/>
          <w:sz w:val="20"/>
          <w:szCs w:val="20"/>
        </w:rPr>
      </w:pPr>
      <w:proofErr w:type="spellStart"/>
      <w:r>
        <w:rPr>
          <w:bCs/>
          <w:sz w:val="20"/>
          <w:szCs w:val="20"/>
        </w:rPr>
        <w:t>GeoVax</w:t>
      </w:r>
      <w:proofErr w:type="spellEnd"/>
      <w:r>
        <w:rPr>
          <w:bCs/>
          <w:sz w:val="20"/>
          <w:szCs w:val="20"/>
        </w:rPr>
        <w:t xml:space="preserve"> is</w:t>
      </w:r>
      <w:r w:rsidR="003E2503" w:rsidRPr="00F3795D">
        <w:rPr>
          <w:bCs/>
          <w:sz w:val="20"/>
          <w:szCs w:val="20"/>
        </w:rPr>
        <w:t xml:space="preserve"> a clinical-stage biotechnology company developing human vaccines and immunotherapies against infectious diseases and cancer using novel proprietary platforms. </w:t>
      </w:r>
      <w:proofErr w:type="spellStart"/>
      <w:r>
        <w:rPr>
          <w:bCs/>
          <w:sz w:val="20"/>
          <w:szCs w:val="20"/>
        </w:rPr>
        <w:t>GeoVax’s</w:t>
      </w:r>
      <w:proofErr w:type="spellEnd"/>
      <w:r w:rsidR="003E2503" w:rsidRPr="00F3795D">
        <w:rPr>
          <w:bCs/>
          <w:sz w:val="20"/>
          <w:szCs w:val="20"/>
        </w:rPr>
        <w:t xml:space="preserve"> product pipeline includes ongoing human clinical trials in COVID-19</w:t>
      </w:r>
      <w:r w:rsidR="00FA4890">
        <w:rPr>
          <w:bCs/>
          <w:sz w:val="20"/>
          <w:szCs w:val="20"/>
        </w:rPr>
        <w:t xml:space="preserve"> and</w:t>
      </w:r>
      <w:r w:rsidR="003E2503" w:rsidRPr="00F3795D">
        <w:rPr>
          <w:bCs/>
          <w:sz w:val="20"/>
          <w:szCs w:val="20"/>
        </w:rPr>
        <w:t xml:space="preserve"> head and neck cancer. Additional research and development programs include preventive vaccines against Zika Virus, hemorrhagic fever viruses (Ebola, Sudan, Marburg, and Lassa) and malaria, as well as immunotherapies for multiple solid tumors. Our portfolio of wholly owned, co-owned, and in-licensed intellectual property, stands at over 70 granted or pending patent applications spread over 20 patent families.</w:t>
      </w:r>
    </w:p>
    <w:p w14:paraId="232826C8" w14:textId="77777777" w:rsidR="003E2503" w:rsidRPr="003E2503" w:rsidRDefault="003E2503" w:rsidP="000036AE">
      <w:pPr>
        <w:jc w:val="both"/>
        <w:rPr>
          <w:sz w:val="20"/>
          <w:szCs w:val="20"/>
          <w:highlight w:val="yellow"/>
        </w:rPr>
      </w:pPr>
    </w:p>
    <w:p w14:paraId="56649A80" w14:textId="77777777" w:rsidR="003E2503" w:rsidRPr="00F3795D" w:rsidRDefault="003E2503" w:rsidP="000036AE">
      <w:pPr>
        <w:jc w:val="both"/>
        <w:rPr>
          <w:sz w:val="20"/>
          <w:szCs w:val="20"/>
        </w:rPr>
      </w:pPr>
      <w:r w:rsidRPr="00F3795D">
        <w:rPr>
          <w:b/>
          <w:bCs/>
          <w:sz w:val="20"/>
          <w:szCs w:val="20"/>
        </w:rPr>
        <w:t>Our Product Development Pipeline</w:t>
      </w:r>
    </w:p>
    <w:p w14:paraId="6C880427" w14:textId="77777777" w:rsidR="003E2503" w:rsidRPr="00F3795D" w:rsidRDefault="003E2503" w:rsidP="000036AE">
      <w:pPr>
        <w:jc w:val="both"/>
        <w:rPr>
          <w:sz w:val="20"/>
          <w:szCs w:val="20"/>
        </w:rPr>
      </w:pPr>
    </w:p>
    <w:p w14:paraId="39143C56" w14:textId="77777777" w:rsidR="003E2503" w:rsidRPr="00F3795D" w:rsidRDefault="003E2503" w:rsidP="000036AE">
      <w:pPr>
        <w:ind w:firstLine="720"/>
        <w:jc w:val="both"/>
        <w:rPr>
          <w:sz w:val="20"/>
          <w:szCs w:val="20"/>
        </w:rPr>
      </w:pPr>
      <w:r w:rsidRPr="00F3795D">
        <w:rPr>
          <w:sz w:val="20"/>
          <w:szCs w:val="20"/>
        </w:rPr>
        <w:t>We are currently developing a number of vaccines and immunotherapies for prevention or treatment of infectious diseases and cancers. The table below summarizes the status of our product development programs</w:t>
      </w:r>
      <w:r w:rsidR="00B2423E">
        <w:rPr>
          <w:sz w:val="20"/>
          <w:szCs w:val="20"/>
        </w:rPr>
        <w:t xml:space="preserve">, </w:t>
      </w:r>
      <w:r w:rsidR="00F3795D" w:rsidRPr="00F3795D">
        <w:rPr>
          <w:sz w:val="20"/>
          <w:szCs w:val="20"/>
        </w:rPr>
        <w:t>which are discussed in greater detail under the heading “Business” below</w:t>
      </w:r>
      <w:r w:rsidRPr="00F3795D">
        <w:rPr>
          <w:sz w:val="20"/>
          <w:szCs w:val="20"/>
        </w:rPr>
        <w:t>.</w:t>
      </w:r>
    </w:p>
    <w:p w14:paraId="585B85EF" w14:textId="77777777" w:rsidR="003E2503" w:rsidRPr="00F3795D" w:rsidRDefault="003E2503" w:rsidP="000036AE">
      <w:pPr>
        <w:jc w:val="both"/>
        <w:rPr>
          <w:sz w:val="20"/>
          <w:szCs w:val="20"/>
        </w:rPr>
      </w:pPr>
    </w:p>
    <w:tbl>
      <w:tblPr>
        <w:tblW w:w="4824" w:type="pct"/>
        <w:tblInd w:w="149" w:type="dxa"/>
        <w:tblLayout w:type="fixed"/>
        <w:tblCellMar>
          <w:left w:w="0" w:type="dxa"/>
          <w:right w:w="0" w:type="dxa"/>
        </w:tblCellMar>
        <w:tblLook w:val="04A0" w:firstRow="1" w:lastRow="0" w:firstColumn="1" w:lastColumn="0" w:noHBand="0" w:noVBand="1"/>
      </w:tblPr>
      <w:tblGrid>
        <w:gridCol w:w="4531"/>
        <w:gridCol w:w="1980"/>
        <w:gridCol w:w="2520"/>
      </w:tblGrid>
      <w:tr w:rsidR="003E2503" w:rsidRPr="00F3795D" w14:paraId="25F35659" w14:textId="77777777" w:rsidTr="0049084F">
        <w:tc>
          <w:tcPr>
            <w:tcW w:w="2509" w:type="pct"/>
            <w:tcMar>
              <w:top w:w="5" w:type="dxa"/>
              <w:left w:w="5" w:type="dxa"/>
              <w:bottom w:w="5" w:type="dxa"/>
              <w:right w:w="5" w:type="dxa"/>
            </w:tcMar>
            <w:hideMark/>
          </w:tcPr>
          <w:p w14:paraId="4A2E01BB" w14:textId="77777777" w:rsidR="003E2503" w:rsidRPr="00F3795D" w:rsidRDefault="003E2503" w:rsidP="000036AE">
            <w:pPr>
              <w:jc w:val="both"/>
              <w:rPr>
                <w:sz w:val="20"/>
                <w:szCs w:val="20"/>
              </w:rPr>
            </w:pPr>
            <w:r w:rsidRPr="00F3795D">
              <w:rPr>
                <w:b/>
                <w:bCs/>
                <w:sz w:val="20"/>
                <w:szCs w:val="20"/>
                <w:u w:val="single"/>
              </w:rPr>
              <w:t>Indication</w:t>
            </w:r>
          </w:p>
        </w:tc>
        <w:tc>
          <w:tcPr>
            <w:tcW w:w="1096" w:type="pct"/>
            <w:tcMar>
              <w:top w:w="5" w:type="dxa"/>
              <w:left w:w="5" w:type="dxa"/>
              <w:bottom w:w="5" w:type="dxa"/>
              <w:right w:w="5" w:type="dxa"/>
            </w:tcMar>
            <w:hideMark/>
          </w:tcPr>
          <w:p w14:paraId="62054FF4" w14:textId="77777777" w:rsidR="003E2503" w:rsidRPr="00F3795D" w:rsidRDefault="003E2503" w:rsidP="000036AE">
            <w:pPr>
              <w:jc w:val="both"/>
              <w:rPr>
                <w:sz w:val="20"/>
                <w:szCs w:val="20"/>
              </w:rPr>
            </w:pPr>
            <w:r w:rsidRPr="00F3795D">
              <w:rPr>
                <w:b/>
                <w:bCs/>
                <w:sz w:val="20"/>
                <w:szCs w:val="20"/>
                <w:u w:val="single"/>
              </w:rPr>
              <w:t>Product Candidate</w:t>
            </w:r>
          </w:p>
        </w:tc>
        <w:tc>
          <w:tcPr>
            <w:tcW w:w="1395" w:type="pct"/>
            <w:tcMar>
              <w:top w:w="5" w:type="dxa"/>
              <w:left w:w="5" w:type="dxa"/>
              <w:bottom w:w="5" w:type="dxa"/>
              <w:right w:w="5" w:type="dxa"/>
            </w:tcMar>
            <w:hideMark/>
          </w:tcPr>
          <w:p w14:paraId="00D92880" w14:textId="77777777" w:rsidR="003E2503" w:rsidRPr="00F3795D" w:rsidRDefault="003E2503" w:rsidP="000036AE">
            <w:pPr>
              <w:jc w:val="both"/>
              <w:rPr>
                <w:sz w:val="20"/>
                <w:szCs w:val="20"/>
              </w:rPr>
            </w:pPr>
            <w:r w:rsidRPr="00F3795D">
              <w:rPr>
                <w:b/>
                <w:bCs/>
                <w:sz w:val="20"/>
                <w:szCs w:val="20"/>
                <w:u w:val="single"/>
              </w:rPr>
              <w:t>Current Status</w:t>
            </w:r>
          </w:p>
        </w:tc>
      </w:tr>
      <w:tr w:rsidR="003E2503" w:rsidRPr="00F3795D" w14:paraId="0E8D9475" w14:textId="77777777" w:rsidTr="0049084F">
        <w:tc>
          <w:tcPr>
            <w:tcW w:w="2509" w:type="pct"/>
            <w:tcMar>
              <w:top w:w="5" w:type="dxa"/>
              <w:left w:w="5" w:type="dxa"/>
              <w:bottom w:w="5" w:type="dxa"/>
              <w:right w:w="5" w:type="dxa"/>
            </w:tcMar>
            <w:hideMark/>
          </w:tcPr>
          <w:p w14:paraId="03444F61" w14:textId="77777777" w:rsidR="003E2503" w:rsidRPr="00F3795D" w:rsidRDefault="003E2503" w:rsidP="000036AE">
            <w:pPr>
              <w:jc w:val="both"/>
              <w:rPr>
                <w:b/>
                <w:bCs/>
                <w:sz w:val="20"/>
                <w:szCs w:val="20"/>
              </w:rPr>
            </w:pPr>
            <w:r w:rsidRPr="00F3795D">
              <w:rPr>
                <w:b/>
                <w:bCs/>
                <w:sz w:val="20"/>
                <w:szCs w:val="20"/>
                <w:u w:val="single"/>
              </w:rPr>
              <w:t>Coronavirus Vaccines</w:t>
            </w:r>
          </w:p>
        </w:tc>
        <w:tc>
          <w:tcPr>
            <w:tcW w:w="1096" w:type="pct"/>
            <w:tcMar>
              <w:top w:w="5" w:type="dxa"/>
              <w:left w:w="5" w:type="dxa"/>
              <w:bottom w:w="5" w:type="dxa"/>
              <w:right w:w="5" w:type="dxa"/>
            </w:tcMar>
            <w:hideMark/>
          </w:tcPr>
          <w:p w14:paraId="6EA6004F" w14:textId="77777777" w:rsidR="003E2503" w:rsidRPr="00F3795D" w:rsidRDefault="003E2503" w:rsidP="000036AE">
            <w:pPr>
              <w:jc w:val="both"/>
              <w:rPr>
                <w:sz w:val="20"/>
                <w:szCs w:val="20"/>
              </w:rPr>
            </w:pPr>
          </w:p>
        </w:tc>
        <w:tc>
          <w:tcPr>
            <w:tcW w:w="1395" w:type="pct"/>
            <w:tcMar>
              <w:top w:w="5" w:type="dxa"/>
              <w:left w:w="5" w:type="dxa"/>
              <w:bottom w:w="5" w:type="dxa"/>
              <w:right w:w="5" w:type="dxa"/>
            </w:tcMar>
            <w:hideMark/>
          </w:tcPr>
          <w:p w14:paraId="7166C482" w14:textId="77777777" w:rsidR="003E2503" w:rsidRPr="00F3795D" w:rsidRDefault="003E2503" w:rsidP="000036AE">
            <w:pPr>
              <w:jc w:val="both"/>
              <w:rPr>
                <w:sz w:val="20"/>
                <w:szCs w:val="20"/>
              </w:rPr>
            </w:pPr>
            <w:r w:rsidRPr="00F3795D">
              <w:rPr>
                <w:sz w:val="20"/>
                <w:szCs w:val="20"/>
              </w:rPr>
              <w:t xml:space="preserve"> </w:t>
            </w:r>
          </w:p>
        </w:tc>
      </w:tr>
      <w:tr w:rsidR="003E2503" w:rsidRPr="00F3795D" w14:paraId="29733CDE" w14:textId="77777777" w:rsidTr="0049084F">
        <w:tc>
          <w:tcPr>
            <w:tcW w:w="2509" w:type="pct"/>
            <w:tcMar>
              <w:top w:w="5" w:type="dxa"/>
              <w:left w:w="5" w:type="dxa"/>
              <w:bottom w:w="5" w:type="dxa"/>
              <w:right w:w="5" w:type="dxa"/>
            </w:tcMar>
            <w:hideMark/>
          </w:tcPr>
          <w:p w14:paraId="68850F43" w14:textId="77777777" w:rsidR="003E2503" w:rsidRPr="00F3795D" w:rsidRDefault="003E2503" w:rsidP="000036AE">
            <w:pPr>
              <w:jc w:val="both"/>
              <w:rPr>
                <w:sz w:val="20"/>
                <w:szCs w:val="20"/>
              </w:rPr>
            </w:pPr>
            <w:bookmarkStart w:id="1" w:name="_Hlk90555483"/>
            <w:r w:rsidRPr="00F3795D">
              <w:rPr>
                <w:sz w:val="20"/>
                <w:szCs w:val="20"/>
              </w:rPr>
              <w:t>COVID-19 (Booster to mRNA)</w:t>
            </w:r>
          </w:p>
        </w:tc>
        <w:tc>
          <w:tcPr>
            <w:tcW w:w="1096" w:type="pct"/>
            <w:tcMar>
              <w:top w:w="5" w:type="dxa"/>
              <w:left w:w="5" w:type="dxa"/>
              <w:bottom w:w="5" w:type="dxa"/>
              <w:right w:w="5" w:type="dxa"/>
            </w:tcMar>
            <w:hideMark/>
          </w:tcPr>
          <w:p w14:paraId="53A77779" w14:textId="77777777" w:rsidR="003E2503" w:rsidRPr="00F3795D" w:rsidRDefault="003E2503" w:rsidP="000036AE">
            <w:pPr>
              <w:jc w:val="both"/>
              <w:rPr>
                <w:sz w:val="20"/>
                <w:szCs w:val="20"/>
              </w:rPr>
            </w:pPr>
            <w:r w:rsidRPr="00F3795D">
              <w:rPr>
                <w:sz w:val="20"/>
                <w:szCs w:val="20"/>
              </w:rPr>
              <w:t>GEO-CM04S1</w:t>
            </w:r>
          </w:p>
        </w:tc>
        <w:tc>
          <w:tcPr>
            <w:tcW w:w="1395" w:type="pct"/>
            <w:tcMar>
              <w:top w:w="5" w:type="dxa"/>
              <w:left w:w="5" w:type="dxa"/>
              <w:bottom w:w="5" w:type="dxa"/>
              <w:right w:w="5" w:type="dxa"/>
            </w:tcMar>
            <w:hideMark/>
          </w:tcPr>
          <w:p w14:paraId="5A9F39A4" w14:textId="77777777" w:rsidR="003E2503" w:rsidRPr="00F3795D" w:rsidRDefault="003E2503" w:rsidP="000036AE">
            <w:pPr>
              <w:jc w:val="both"/>
              <w:rPr>
                <w:sz w:val="20"/>
                <w:szCs w:val="20"/>
              </w:rPr>
            </w:pPr>
            <w:r w:rsidRPr="00F3795D">
              <w:rPr>
                <w:sz w:val="20"/>
                <w:szCs w:val="20"/>
              </w:rPr>
              <w:t>Clinical - Phase 2</w:t>
            </w:r>
          </w:p>
        </w:tc>
      </w:tr>
      <w:tr w:rsidR="003E2503" w:rsidRPr="00F3795D" w14:paraId="78D56E4E" w14:textId="77777777" w:rsidTr="0049084F">
        <w:tc>
          <w:tcPr>
            <w:tcW w:w="2509" w:type="pct"/>
            <w:tcMar>
              <w:top w:w="5" w:type="dxa"/>
              <w:left w:w="5" w:type="dxa"/>
              <w:bottom w:w="5" w:type="dxa"/>
              <w:right w:w="5" w:type="dxa"/>
            </w:tcMar>
          </w:tcPr>
          <w:p w14:paraId="44F2E6E4" w14:textId="77777777" w:rsidR="003E2503" w:rsidRPr="00F3795D" w:rsidRDefault="003E2503" w:rsidP="000036AE">
            <w:pPr>
              <w:jc w:val="both"/>
              <w:rPr>
                <w:sz w:val="20"/>
                <w:szCs w:val="20"/>
              </w:rPr>
            </w:pPr>
            <w:r w:rsidRPr="00F3795D">
              <w:rPr>
                <w:sz w:val="20"/>
                <w:szCs w:val="20"/>
              </w:rPr>
              <w:t>COVID-19 (Primary vaccine for immunocompromised patients)</w:t>
            </w:r>
          </w:p>
        </w:tc>
        <w:tc>
          <w:tcPr>
            <w:tcW w:w="1096" w:type="pct"/>
            <w:tcMar>
              <w:top w:w="5" w:type="dxa"/>
              <w:left w:w="5" w:type="dxa"/>
              <w:bottom w:w="5" w:type="dxa"/>
              <w:right w:w="5" w:type="dxa"/>
            </w:tcMar>
          </w:tcPr>
          <w:p w14:paraId="3590954A" w14:textId="77777777" w:rsidR="003E2503" w:rsidRPr="00F3795D" w:rsidRDefault="003E2503" w:rsidP="000036AE">
            <w:pPr>
              <w:jc w:val="both"/>
              <w:rPr>
                <w:sz w:val="20"/>
                <w:szCs w:val="20"/>
              </w:rPr>
            </w:pPr>
            <w:r w:rsidRPr="00F3795D">
              <w:rPr>
                <w:sz w:val="20"/>
                <w:szCs w:val="20"/>
              </w:rPr>
              <w:t>GEO-CM04S1</w:t>
            </w:r>
          </w:p>
        </w:tc>
        <w:tc>
          <w:tcPr>
            <w:tcW w:w="1395" w:type="pct"/>
            <w:tcMar>
              <w:top w:w="5" w:type="dxa"/>
              <w:left w:w="5" w:type="dxa"/>
              <w:bottom w:w="5" w:type="dxa"/>
              <w:right w:w="5" w:type="dxa"/>
            </w:tcMar>
          </w:tcPr>
          <w:p w14:paraId="06BC1745" w14:textId="77777777" w:rsidR="003E2503" w:rsidRPr="00F3795D" w:rsidRDefault="003E2503" w:rsidP="000036AE">
            <w:pPr>
              <w:jc w:val="both"/>
              <w:rPr>
                <w:sz w:val="20"/>
                <w:szCs w:val="20"/>
              </w:rPr>
            </w:pPr>
            <w:r w:rsidRPr="00F3795D">
              <w:rPr>
                <w:sz w:val="20"/>
                <w:szCs w:val="20"/>
              </w:rPr>
              <w:t>Clinical - Phase 2</w:t>
            </w:r>
          </w:p>
        </w:tc>
      </w:tr>
      <w:tr w:rsidR="003E2503" w:rsidRPr="00F3795D" w14:paraId="170FFA3F" w14:textId="77777777" w:rsidTr="0049084F">
        <w:tc>
          <w:tcPr>
            <w:tcW w:w="2509" w:type="pct"/>
            <w:tcMar>
              <w:top w:w="5" w:type="dxa"/>
              <w:left w:w="5" w:type="dxa"/>
              <w:bottom w:w="5" w:type="dxa"/>
              <w:right w:w="5" w:type="dxa"/>
            </w:tcMar>
            <w:hideMark/>
          </w:tcPr>
          <w:p w14:paraId="2EF5A80A" w14:textId="77777777" w:rsidR="003E2503" w:rsidRPr="00F3795D" w:rsidRDefault="003E2503" w:rsidP="000036AE">
            <w:pPr>
              <w:jc w:val="both"/>
              <w:rPr>
                <w:sz w:val="20"/>
                <w:szCs w:val="20"/>
              </w:rPr>
            </w:pPr>
            <w:r w:rsidRPr="00F3795D">
              <w:rPr>
                <w:sz w:val="20"/>
                <w:szCs w:val="20"/>
              </w:rPr>
              <w:t>Pan Coronavirus</w:t>
            </w:r>
          </w:p>
        </w:tc>
        <w:tc>
          <w:tcPr>
            <w:tcW w:w="1096" w:type="pct"/>
            <w:tcMar>
              <w:top w:w="5" w:type="dxa"/>
              <w:left w:w="5" w:type="dxa"/>
              <w:bottom w:w="5" w:type="dxa"/>
              <w:right w:w="5" w:type="dxa"/>
            </w:tcMar>
            <w:hideMark/>
          </w:tcPr>
          <w:p w14:paraId="213C4B4C" w14:textId="77777777" w:rsidR="003E2503" w:rsidRPr="00F3795D" w:rsidRDefault="003E2503" w:rsidP="000036AE">
            <w:pPr>
              <w:jc w:val="both"/>
              <w:rPr>
                <w:sz w:val="20"/>
                <w:szCs w:val="20"/>
              </w:rPr>
            </w:pPr>
            <w:r w:rsidRPr="00F3795D">
              <w:rPr>
                <w:sz w:val="20"/>
                <w:szCs w:val="20"/>
              </w:rPr>
              <w:t>GEO-CM02</w:t>
            </w:r>
          </w:p>
        </w:tc>
        <w:tc>
          <w:tcPr>
            <w:tcW w:w="1395" w:type="pct"/>
            <w:tcMar>
              <w:top w:w="5" w:type="dxa"/>
              <w:left w:w="5" w:type="dxa"/>
              <w:bottom w:w="5" w:type="dxa"/>
              <w:right w:w="5" w:type="dxa"/>
            </w:tcMar>
            <w:hideMark/>
          </w:tcPr>
          <w:p w14:paraId="212156E9" w14:textId="77777777" w:rsidR="003E2503" w:rsidRPr="00F3795D" w:rsidRDefault="003E2503" w:rsidP="000036AE">
            <w:pPr>
              <w:jc w:val="both"/>
              <w:rPr>
                <w:sz w:val="20"/>
                <w:szCs w:val="20"/>
              </w:rPr>
            </w:pPr>
            <w:r w:rsidRPr="00F3795D">
              <w:rPr>
                <w:sz w:val="20"/>
                <w:szCs w:val="20"/>
              </w:rPr>
              <w:t>Preclinical/IND-Enabling</w:t>
            </w:r>
          </w:p>
        </w:tc>
      </w:tr>
      <w:tr w:rsidR="003E2503" w:rsidRPr="00F3795D" w14:paraId="39C9AF58" w14:textId="77777777" w:rsidTr="0049084F">
        <w:tc>
          <w:tcPr>
            <w:tcW w:w="2509" w:type="pct"/>
            <w:tcMar>
              <w:top w:w="5" w:type="dxa"/>
              <w:left w:w="5" w:type="dxa"/>
              <w:bottom w:w="5" w:type="dxa"/>
              <w:right w:w="5" w:type="dxa"/>
            </w:tcMar>
          </w:tcPr>
          <w:p w14:paraId="5AFFEEF1" w14:textId="77777777" w:rsidR="003E2503" w:rsidRPr="00F3795D" w:rsidRDefault="003E2503" w:rsidP="000036AE">
            <w:pPr>
              <w:jc w:val="both"/>
              <w:rPr>
                <w:b/>
                <w:bCs/>
                <w:sz w:val="20"/>
                <w:szCs w:val="20"/>
                <w:u w:val="single"/>
              </w:rPr>
            </w:pPr>
            <w:r w:rsidRPr="00F3795D">
              <w:rPr>
                <w:b/>
                <w:bCs/>
                <w:sz w:val="20"/>
                <w:szCs w:val="20"/>
                <w:u w:val="single"/>
              </w:rPr>
              <w:t>Cancer Immunotherapy</w:t>
            </w:r>
          </w:p>
        </w:tc>
        <w:tc>
          <w:tcPr>
            <w:tcW w:w="1096" w:type="pct"/>
            <w:tcMar>
              <w:top w:w="5" w:type="dxa"/>
              <w:left w:w="5" w:type="dxa"/>
              <w:bottom w:w="5" w:type="dxa"/>
              <w:right w:w="5" w:type="dxa"/>
            </w:tcMar>
          </w:tcPr>
          <w:p w14:paraId="277E8C43" w14:textId="77777777" w:rsidR="003E2503" w:rsidRPr="00F3795D" w:rsidRDefault="003E2503" w:rsidP="000036AE">
            <w:pPr>
              <w:jc w:val="both"/>
              <w:rPr>
                <w:sz w:val="20"/>
                <w:szCs w:val="20"/>
              </w:rPr>
            </w:pPr>
          </w:p>
        </w:tc>
        <w:tc>
          <w:tcPr>
            <w:tcW w:w="1395" w:type="pct"/>
            <w:tcMar>
              <w:top w:w="5" w:type="dxa"/>
              <w:left w:w="5" w:type="dxa"/>
              <w:bottom w:w="5" w:type="dxa"/>
              <w:right w:w="5" w:type="dxa"/>
            </w:tcMar>
          </w:tcPr>
          <w:p w14:paraId="3CD7B1B8" w14:textId="77777777" w:rsidR="003E2503" w:rsidRPr="00F3795D" w:rsidRDefault="003E2503" w:rsidP="000036AE">
            <w:pPr>
              <w:jc w:val="both"/>
              <w:rPr>
                <w:sz w:val="20"/>
                <w:szCs w:val="20"/>
              </w:rPr>
            </w:pPr>
          </w:p>
        </w:tc>
      </w:tr>
      <w:tr w:rsidR="003E2503" w:rsidRPr="00F3795D" w14:paraId="5A6636A5" w14:textId="77777777" w:rsidTr="0049084F">
        <w:tc>
          <w:tcPr>
            <w:tcW w:w="2509" w:type="pct"/>
            <w:tcMar>
              <w:top w:w="5" w:type="dxa"/>
              <w:left w:w="5" w:type="dxa"/>
              <w:bottom w:w="5" w:type="dxa"/>
              <w:right w:w="5" w:type="dxa"/>
            </w:tcMar>
          </w:tcPr>
          <w:p w14:paraId="09589219" w14:textId="77777777" w:rsidR="003E2503" w:rsidRPr="00F3795D" w:rsidRDefault="003E2503" w:rsidP="000036AE">
            <w:pPr>
              <w:jc w:val="both"/>
              <w:rPr>
                <w:sz w:val="20"/>
                <w:szCs w:val="20"/>
              </w:rPr>
            </w:pPr>
            <w:r w:rsidRPr="00F3795D">
              <w:rPr>
                <w:sz w:val="20"/>
                <w:szCs w:val="20"/>
              </w:rPr>
              <w:t>Solid Tumors (Advanced Head and Neck Cancer)*</w:t>
            </w:r>
          </w:p>
        </w:tc>
        <w:tc>
          <w:tcPr>
            <w:tcW w:w="1096" w:type="pct"/>
            <w:tcMar>
              <w:top w:w="5" w:type="dxa"/>
              <w:left w:w="5" w:type="dxa"/>
              <w:bottom w:w="5" w:type="dxa"/>
              <w:right w:w="5" w:type="dxa"/>
            </w:tcMar>
          </w:tcPr>
          <w:p w14:paraId="25E9755E" w14:textId="694D5CFC" w:rsidR="003E2503" w:rsidRPr="00F3795D" w:rsidRDefault="003E2503" w:rsidP="000036AE">
            <w:pPr>
              <w:jc w:val="both"/>
              <w:rPr>
                <w:sz w:val="20"/>
                <w:szCs w:val="20"/>
              </w:rPr>
            </w:pPr>
            <w:proofErr w:type="spellStart"/>
            <w:r w:rsidRPr="00F3795D">
              <w:rPr>
                <w:bCs/>
                <w:sz w:val="20"/>
                <w:szCs w:val="20"/>
              </w:rPr>
              <w:t>Gedeptin</w:t>
            </w:r>
            <w:proofErr w:type="spellEnd"/>
            <w:r w:rsidR="008251CD" w:rsidRPr="008251CD">
              <w:rPr>
                <w:bCs/>
                <w:sz w:val="20"/>
                <w:szCs w:val="20"/>
                <w:vertAlign w:val="superscript"/>
              </w:rPr>
              <w:t>®</w:t>
            </w:r>
          </w:p>
        </w:tc>
        <w:tc>
          <w:tcPr>
            <w:tcW w:w="1395" w:type="pct"/>
            <w:tcMar>
              <w:top w:w="5" w:type="dxa"/>
              <w:left w:w="5" w:type="dxa"/>
              <w:bottom w:w="5" w:type="dxa"/>
              <w:right w:w="5" w:type="dxa"/>
            </w:tcMar>
          </w:tcPr>
          <w:p w14:paraId="0848580A" w14:textId="77777777" w:rsidR="003E2503" w:rsidRPr="00F3795D" w:rsidRDefault="003E2503" w:rsidP="000036AE">
            <w:pPr>
              <w:jc w:val="both"/>
              <w:rPr>
                <w:sz w:val="20"/>
                <w:szCs w:val="20"/>
              </w:rPr>
            </w:pPr>
            <w:r w:rsidRPr="00F3795D">
              <w:rPr>
                <w:sz w:val="20"/>
                <w:szCs w:val="20"/>
              </w:rPr>
              <w:t>Clinical - Phase 1/2</w:t>
            </w:r>
          </w:p>
        </w:tc>
      </w:tr>
      <w:tr w:rsidR="003E2503" w:rsidRPr="00F3795D" w14:paraId="17575363" w14:textId="77777777" w:rsidTr="0049084F">
        <w:tc>
          <w:tcPr>
            <w:tcW w:w="2509" w:type="pct"/>
            <w:tcMar>
              <w:top w:w="5" w:type="dxa"/>
              <w:left w:w="5" w:type="dxa"/>
              <w:bottom w:w="5" w:type="dxa"/>
              <w:right w:w="5" w:type="dxa"/>
            </w:tcMar>
          </w:tcPr>
          <w:p w14:paraId="1E4B4EEE" w14:textId="77777777" w:rsidR="003E2503" w:rsidRPr="00F3795D" w:rsidRDefault="003E2503" w:rsidP="000036AE">
            <w:pPr>
              <w:jc w:val="both"/>
              <w:rPr>
                <w:sz w:val="20"/>
                <w:szCs w:val="20"/>
              </w:rPr>
            </w:pPr>
            <w:r w:rsidRPr="00F3795D">
              <w:rPr>
                <w:sz w:val="20"/>
                <w:szCs w:val="20"/>
              </w:rPr>
              <w:t>Solid Tumors (MUC1)</w:t>
            </w:r>
          </w:p>
        </w:tc>
        <w:tc>
          <w:tcPr>
            <w:tcW w:w="1096" w:type="pct"/>
            <w:tcMar>
              <w:top w:w="5" w:type="dxa"/>
              <w:left w:w="5" w:type="dxa"/>
              <w:bottom w:w="5" w:type="dxa"/>
              <w:right w:w="5" w:type="dxa"/>
            </w:tcMar>
          </w:tcPr>
          <w:p w14:paraId="4A1FC505" w14:textId="77777777" w:rsidR="003E2503" w:rsidRPr="00F3795D" w:rsidRDefault="003E2503" w:rsidP="000036AE">
            <w:pPr>
              <w:jc w:val="both"/>
              <w:rPr>
                <w:sz w:val="20"/>
                <w:szCs w:val="20"/>
              </w:rPr>
            </w:pPr>
            <w:r w:rsidRPr="00F3795D">
              <w:rPr>
                <w:sz w:val="20"/>
                <w:szCs w:val="20"/>
              </w:rPr>
              <w:t>MVA-VLP-MUC1</w:t>
            </w:r>
          </w:p>
        </w:tc>
        <w:tc>
          <w:tcPr>
            <w:tcW w:w="1395" w:type="pct"/>
            <w:tcMar>
              <w:top w:w="5" w:type="dxa"/>
              <w:left w:w="5" w:type="dxa"/>
              <w:bottom w:w="5" w:type="dxa"/>
              <w:right w:w="5" w:type="dxa"/>
            </w:tcMar>
          </w:tcPr>
          <w:p w14:paraId="3FD63260" w14:textId="77777777" w:rsidR="003E2503" w:rsidRPr="00F3795D" w:rsidRDefault="003E2503" w:rsidP="000036AE">
            <w:pPr>
              <w:jc w:val="both"/>
              <w:rPr>
                <w:sz w:val="20"/>
                <w:szCs w:val="20"/>
              </w:rPr>
            </w:pPr>
            <w:r w:rsidRPr="00F3795D">
              <w:rPr>
                <w:sz w:val="20"/>
                <w:szCs w:val="20"/>
              </w:rPr>
              <w:t>Preclinical/IND-Enabling</w:t>
            </w:r>
          </w:p>
        </w:tc>
      </w:tr>
      <w:tr w:rsidR="003E2503" w:rsidRPr="00F3795D" w14:paraId="0549BDE7" w14:textId="77777777" w:rsidTr="0049084F">
        <w:tc>
          <w:tcPr>
            <w:tcW w:w="2509" w:type="pct"/>
            <w:tcMar>
              <w:top w:w="5" w:type="dxa"/>
              <w:left w:w="5" w:type="dxa"/>
              <w:bottom w:w="5" w:type="dxa"/>
              <w:right w:w="5" w:type="dxa"/>
            </w:tcMar>
          </w:tcPr>
          <w:p w14:paraId="0C26AD86" w14:textId="77777777" w:rsidR="003E2503" w:rsidRPr="00F3795D" w:rsidRDefault="003E2503" w:rsidP="000036AE">
            <w:pPr>
              <w:jc w:val="both"/>
              <w:rPr>
                <w:b/>
                <w:bCs/>
                <w:sz w:val="20"/>
                <w:szCs w:val="20"/>
                <w:u w:val="single"/>
              </w:rPr>
            </w:pPr>
            <w:r w:rsidRPr="00F3795D">
              <w:rPr>
                <w:b/>
                <w:bCs/>
                <w:sz w:val="20"/>
                <w:szCs w:val="20"/>
                <w:u w:val="single"/>
              </w:rPr>
              <w:t>Other Infectious Disease Vaccines</w:t>
            </w:r>
          </w:p>
        </w:tc>
        <w:tc>
          <w:tcPr>
            <w:tcW w:w="1096" w:type="pct"/>
            <w:tcMar>
              <w:top w:w="5" w:type="dxa"/>
              <w:left w:w="5" w:type="dxa"/>
              <w:bottom w:w="5" w:type="dxa"/>
              <w:right w:w="5" w:type="dxa"/>
            </w:tcMar>
          </w:tcPr>
          <w:p w14:paraId="42DB95C4" w14:textId="77777777" w:rsidR="003E2503" w:rsidRPr="00F3795D" w:rsidRDefault="003E2503" w:rsidP="000036AE">
            <w:pPr>
              <w:jc w:val="both"/>
              <w:rPr>
                <w:sz w:val="20"/>
                <w:szCs w:val="20"/>
              </w:rPr>
            </w:pPr>
          </w:p>
        </w:tc>
        <w:tc>
          <w:tcPr>
            <w:tcW w:w="1395" w:type="pct"/>
            <w:tcMar>
              <w:top w:w="5" w:type="dxa"/>
              <w:left w:w="5" w:type="dxa"/>
              <w:bottom w:w="5" w:type="dxa"/>
              <w:right w:w="5" w:type="dxa"/>
            </w:tcMar>
          </w:tcPr>
          <w:p w14:paraId="7D0D60DB" w14:textId="77777777" w:rsidR="003E2503" w:rsidRPr="00F3795D" w:rsidRDefault="003E2503" w:rsidP="000036AE">
            <w:pPr>
              <w:jc w:val="both"/>
              <w:rPr>
                <w:sz w:val="20"/>
                <w:szCs w:val="20"/>
              </w:rPr>
            </w:pPr>
          </w:p>
        </w:tc>
      </w:tr>
      <w:bookmarkEnd w:id="1"/>
      <w:tr w:rsidR="003E2503" w:rsidRPr="00F3795D" w14:paraId="587B7B37" w14:textId="77777777" w:rsidTr="0049084F">
        <w:tc>
          <w:tcPr>
            <w:tcW w:w="2509" w:type="pct"/>
            <w:tcMar>
              <w:top w:w="5" w:type="dxa"/>
              <w:left w:w="5" w:type="dxa"/>
              <w:bottom w:w="5" w:type="dxa"/>
              <w:right w:w="5" w:type="dxa"/>
            </w:tcMar>
            <w:hideMark/>
          </w:tcPr>
          <w:p w14:paraId="2EBE1394" w14:textId="77777777" w:rsidR="003E2503" w:rsidRPr="00F3795D" w:rsidRDefault="003E2503" w:rsidP="000036AE">
            <w:pPr>
              <w:jc w:val="both"/>
              <w:rPr>
                <w:sz w:val="20"/>
                <w:szCs w:val="20"/>
              </w:rPr>
            </w:pPr>
            <w:r w:rsidRPr="00F3795D">
              <w:rPr>
                <w:sz w:val="20"/>
                <w:szCs w:val="20"/>
              </w:rPr>
              <w:t>Zika**</w:t>
            </w:r>
          </w:p>
        </w:tc>
        <w:tc>
          <w:tcPr>
            <w:tcW w:w="1096" w:type="pct"/>
            <w:tcMar>
              <w:top w:w="5" w:type="dxa"/>
              <w:left w:w="5" w:type="dxa"/>
              <w:bottom w:w="5" w:type="dxa"/>
              <w:right w:w="5" w:type="dxa"/>
            </w:tcMar>
            <w:hideMark/>
          </w:tcPr>
          <w:p w14:paraId="4D01D62D" w14:textId="77777777" w:rsidR="003E2503" w:rsidRPr="00F3795D" w:rsidRDefault="003E2503" w:rsidP="000036AE">
            <w:pPr>
              <w:jc w:val="both"/>
              <w:rPr>
                <w:sz w:val="20"/>
                <w:szCs w:val="20"/>
              </w:rPr>
            </w:pPr>
            <w:r w:rsidRPr="00F3795D">
              <w:rPr>
                <w:sz w:val="20"/>
                <w:szCs w:val="20"/>
              </w:rPr>
              <w:t>GEO-ZM02</w:t>
            </w:r>
          </w:p>
        </w:tc>
        <w:tc>
          <w:tcPr>
            <w:tcW w:w="1395" w:type="pct"/>
            <w:tcMar>
              <w:top w:w="5" w:type="dxa"/>
              <w:left w:w="5" w:type="dxa"/>
              <w:bottom w:w="5" w:type="dxa"/>
              <w:right w:w="5" w:type="dxa"/>
            </w:tcMar>
            <w:hideMark/>
          </w:tcPr>
          <w:p w14:paraId="5A826C24" w14:textId="77777777" w:rsidR="003E2503" w:rsidRPr="00F3795D" w:rsidRDefault="003E2503" w:rsidP="000036AE">
            <w:pPr>
              <w:jc w:val="both"/>
              <w:rPr>
                <w:sz w:val="20"/>
                <w:szCs w:val="20"/>
              </w:rPr>
            </w:pPr>
            <w:r w:rsidRPr="00F3795D">
              <w:rPr>
                <w:sz w:val="20"/>
                <w:szCs w:val="20"/>
              </w:rPr>
              <w:t>Preclinical/IND-Enabling</w:t>
            </w:r>
          </w:p>
        </w:tc>
      </w:tr>
      <w:tr w:rsidR="003E2503" w:rsidRPr="00F3795D" w14:paraId="00FB9309" w14:textId="77777777" w:rsidTr="0049084F">
        <w:tc>
          <w:tcPr>
            <w:tcW w:w="2509" w:type="pct"/>
            <w:tcMar>
              <w:top w:w="5" w:type="dxa"/>
              <w:left w:w="5" w:type="dxa"/>
              <w:bottom w:w="5" w:type="dxa"/>
              <w:right w:w="5" w:type="dxa"/>
            </w:tcMar>
            <w:hideMark/>
          </w:tcPr>
          <w:p w14:paraId="1432DA87" w14:textId="77777777" w:rsidR="003E2503" w:rsidRPr="00F3795D" w:rsidRDefault="003E2503" w:rsidP="000036AE">
            <w:pPr>
              <w:jc w:val="both"/>
              <w:rPr>
                <w:sz w:val="20"/>
                <w:szCs w:val="20"/>
              </w:rPr>
            </w:pPr>
            <w:r w:rsidRPr="00F3795D">
              <w:rPr>
                <w:sz w:val="20"/>
                <w:szCs w:val="20"/>
              </w:rPr>
              <w:t>Ebola, Marburg, Sudan**</w:t>
            </w:r>
          </w:p>
        </w:tc>
        <w:tc>
          <w:tcPr>
            <w:tcW w:w="1096" w:type="pct"/>
            <w:tcMar>
              <w:top w:w="5" w:type="dxa"/>
              <w:left w:w="5" w:type="dxa"/>
              <w:bottom w:w="5" w:type="dxa"/>
              <w:right w:w="5" w:type="dxa"/>
            </w:tcMar>
            <w:hideMark/>
          </w:tcPr>
          <w:p w14:paraId="7DF635F2" w14:textId="77777777" w:rsidR="003E2503" w:rsidRPr="00F3795D" w:rsidRDefault="003E2503" w:rsidP="000036AE">
            <w:pPr>
              <w:jc w:val="both"/>
              <w:rPr>
                <w:sz w:val="20"/>
                <w:szCs w:val="20"/>
              </w:rPr>
            </w:pPr>
            <w:r w:rsidRPr="00F3795D">
              <w:rPr>
                <w:sz w:val="20"/>
                <w:szCs w:val="20"/>
              </w:rPr>
              <w:t>GEO-EM01</w:t>
            </w:r>
          </w:p>
        </w:tc>
        <w:tc>
          <w:tcPr>
            <w:tcW w:w="1395" w:type="pct"/>
            <w:tcMar>
              <w:top w:w="5" w:type="dxa"/>
              <w:left w:w="5" w:type="dxa"/>
              <w:bottom w:w="5" w:type="dxa"/>
              <w:right w:w="5" w:type="dxa"/>
            </w:tcMar>
            <w:hideMark/>
          </w:tcPr>
          <w:p w14:paraId="69807B00" w14:textId="77777777" w:rsidR="003E2503" w:rsidRPr="00F3795D" w:rsidRDefault="003E2503" w:rsidP="000036AE">
            <w:pPr>
              <w:jc w:val="both"/>
              <w:rPr>
                <w:sz w:val="20"/>
                <w:szCs w:val="20"/>
              </w:rPr>
            </w:pPr>
            <w:r w:rsidRPr="00F3795D">
              <w:rPr>
                <w:sz w:val="20"/>
                <w:szCs w:val="20"/>
              </w:rPr>
              <w:t>Preclinical/IND-Enabling</w:t>
            </w:r>
          </w:p>
        </w:tc>
      </w:tr>
      <w:tr w:rsidR="003E2503" w:rsidRPr="00F3795D" w14:paraId="5747BD9F" w14:textId="77777777" w:rsidTr="0049084F">
        <w:tc>
          <w:tcPr>
            <w:tcW w:w="2509" w:type="pct"/>
            <w:tcMar>
              <w:top w:w="5" w:type="dxa"/>
              <w:left w:w="5" w:type="dxa"/>
              <w:bottom w:w="5" w:type="dxa"/>
              <w:right w:w="5" w:type="dxa"/>
            </w:tcMar>
            <w:hideMark/>
          </w:tcPr>
          <w:p w14:paraId="4E446030" w14:textId="77777777" w:rsidR="003E2503" w:rsidRPr="00F3795D" w:rsidRDefault="003E2503" w:rsidP="000036AE">
            <w:pPr>
              <w:jc w:val="both"/>
              <w:rPr>
                <w:sz w:val="20"/>
                <w:szCs w:val="20"/>
              </w:rPr>
            </w:pPr>
            <w:r w:rsidRPr="00F3795D">
              <w:rPr>
                <w:sz w:val="20"/>
                <w:szCs w:val="20"/>
              </w:rPr>
              <w:t>Lassa Fever**</w:t>
            </w:r>
          </w:p>
        </w:tc>
        <w:tc>
          <w:tcPr>
            <w:tcW w:w="1096" w:type="pct"/>
            <w:tcMar>
              <w:top w:w="5" w:type="dxa"/>
              <w:left w:w="5" w:type="dxa"/>
              <w:bottom w:w="5" w:type="dxa"/>
              <w:right w:w="5" w:type="dxa"/>
            </w:tcMar>
            <w:hideMark/>
          </w:tcPr>
          <w:p w14:paraId="302AF9D1" w14:textId="77777777" w:rsidR="003E2503" w:rsidRPr="00F3795D" w:rsidRDefault="003E2503" w:rsidP="000036AE">
            <w:pPr>
              <w:jc w:val="both"/>
              <w:rPr>
                <w:sz w:val="20"/>
                <w:szCs w:val="20"/>
              </w:rPr>
            </w:pPr>
            <w:r w:rsidRPr="00F3795D">
              <w:rPr>
                <w:sz w:val="20"/>
                <w:szCs w:val="20"/>
              </w:rPr>
              <w:t>GEO-LM01</w:t>
            </w:r>
          </w:p>
        </w:tc>
        <w:tc>
          <w:tcPr>
            <w:tcW w:w="1395" w:type="pct"/>
            <w:tcMar>
              <w:top w:w="5" w:type="dxa"/>
              <w:left w:w="5" w:type="dxa"/>
              <w:bottom w:w="5" w:type="dxa"/>
              <w:right w:w="5" w:type="dxa"/>
            </w:tcMar>
            <w:hideMark/>
          </w:tcPr>
          <w:p w14:paraId="7BBE86D6" w14:textId="77777777" w:rsidR="003E2503" w:rsidRPr="00F3795D" w:rsidRDefault="003E2503" w:rsidP="000036AE">
            <w:pPr>
              <w:jc w:val="both"/>
              <w:rPr>
                <w:sz w:val="20"/>
                <w:szCs w:val="20"/>
              </w:rPr>
            </w:pPr>
            <w:r w:rsidRPr="00F3795D">
              <w:rPr>
                <w:sz w:val="20"/>
                <w:szCs w:val="20"/>
              </w:rPr>
              <w:t>Exploratory</w:t>
            </w:r>
          </w:p>
        </w:tc>
      </w:tr>
      <w:tr w:rsidR="003E2503" w:rsidRPr="00F3795D" w14:paraId="19EE0CA6" w14:textId="77777777" w:rsidTr="0049084F">
        <w:tc>
          <w:tcPr>
            <w:tcW w:w="2509" w:type="pct"/>
            <w:tcMar>
              <w:top w:w="5" w:type="dxa"/>
              <w:left w:w="5" w:type="dxa"/>
              <w:bottom w:w="5" w:type="dxa"/>
              <w:right w:w="5" w:type="dxa"/>
            </w:tcMar>
            <w:hideMark/>
          </w:tcPr>
          <w:p w14:paraId="76425C98" w14:textId="77777777" w:rsidR="003E2503" w:rsidRPr="00F3795D" w:rsidRDefault="003E2503" w:rsidP="000036AE">
            <w:pPr>
              <w:jc w:val="both"/>
              <w:rPr>
                <w:sz w:val="20"/>
                <w:szCs w:val="20"/>
              </w:rPr>
            </w:pPr>
            <w:r w:rsidRPr="00F3795D">
              <w:rPr>
                <w:sz w:val="20"/>
                <w:szCs w:val="20"/>
              </w:rPr>
              <w:t>Malaria**</w:t>
            </w:r>
          </w:p>
        </w:tc>
        <w:tc>
          <w:tcPr>
            <w:tcW w:w="1096" w:type="pct"/>
            <w:tcMar>
              <w:top w:w="5" w:type="dxa"/>
              <w:left w:w="5" w:type="dxa"/>
              <w:bottom w:w="5" w:type="dxa"/>
              <w:right w:w="5" w:type="dxa"/>
            </w:tcMar>
            <w:hideMark/>
          </w:tcPr>
          <w:p w14:paraId="6AE71945" w14:textId="77777777" w:rsidR="003E2503" w:rsidRPr="00F3795D" w:rsidRDefault="003E2503" w:rsidP="000036AE">
            <w:pPr>
              <w:jc w:val="both"/>
              <w:rPr>
                <w:sz w:val="20"/>
                <w:szCs w:val="20"/>
              </w:rPr>
            </w:pPr>
            <w:r w:rsidRPr="00F3795D">
              <w:rPr>
                <w:sz w:val="20"/>
                <w:szCs w:val="20"/>
              </w:rPr>
              <w:t>GEO-MM02</w:t>
            </w:r>
          </w:p>
        </w:tc>
        <w:tc>
          <w:tcPr>
            <w:tcW w:w="1395" w:type="pct"/>
            <w:tcMar>
              <w:top w:w="5" w:type="dxa"/>
              <w:left w:w="5" w:type="dxa"/>
              <w:bottom w:w="5" w:type="dxa"/>
              <w:right w:w="5" w:type="dxa"/>
            </w:tcMar>
            <w:hideMark/>
          </w:tcPr>
          <w:p w14:paraId="3EC15531" w14:textId="77777777" w:rsidR="003E2503" w:rsidRPr="00F3795D" w:rsidRDefault="003E2503" w:rsidP="000036AE">
            <w:pPr>
              <w:jc w:val="both"/>
              <w:rPr>
                <w:sz w:val="20"/>
                <w:szCs w:val="20"/>
              </w:rPr>
            </w:pPr>
            <w:r w:rsidRPr="00F3795D">
              <w:rPr>
                <w:sz w:val="20"/>
                <w:szCs w:val="20"/>
              </w:rPr>
              <w:t>Exploratory</w:t>
            </w:r>
          </w:p>
        </w:tc>
      </w:tr>
    </w:tbl>
    <w:p w14:paraId="5C67F998" w14:textId="77777777" w:rsidR="003E2503" w:rsidRPr="00F3795D" w:rsidRDefault="003E2503" w:rsidP="000036AE">
      <w:pPr>
        <w:jc w:val="both"/>
        <w:rPr>
          <w:i/>
          <w:iCs/>
          <w:sz w:val="20"/>
          <w:szCs w:val="20"/>
        </w:rPr>
      </w:pPr>
      <w:r w:rsidRPr="00F3795D">
        <w:rPr>
          <w:i/>
          <w:iCs/>
          <w:sz w:val="20"/>
          <w:szCs w:val="20"/>
        </w:rPr>
        <w:t>---------------</w:t>
      </w:r>
    </w:p>
    <w:p w14:paraId="1BDF2C64" w14:textId="77777777" w:rsidR="003E2503" w:rsidRPr="00F3795D" w:rsidRDefault="003E2503" w:rsidP="000036AE">
      <w:pPr>
        <w:jc w:val="both"/>
        <w:rPr>
          <w:i/>
          <w:iCs/>
          <w:sz w:val="20"/>
          <w:szCs w:val="20"/>
        </w:rPr>
      </w:pPr>
      <w:r w:rsidRPr="00F3795D">
        <w:rPr>
          <w:i/>
          <w:iCs/>
          <w:sz w:val="20"/>
          <w:szCs w:val="20"/>
        </w:rPr>
        <w:t>* Orphan Drug status granted</w:t>
      </w:r>
    </w:p>
    <w:p w14:paraId="5BB6A895" w14:textId="77777777" w:rsidR="008F3E8B" w:rsidRPr="008F3E8B" w:rsidRDefault="003E2503" w:rsidP="008F3E8B">
      <w:pPr>
        <w:jc w:val="both"/>
        <w:rPr>
          <w:i/>
          <w:iCs/>
          <w:sz w:val="20"/>
          <w:szCs w:val="20"/>
        </w:rPr>
      </w:pPr>
      <w:r w:rsidRPr="00F3795D">
        <w:rPr>
          <w:i/>
          <w:iCs/>
          <w:sz w:val="20"/>
          <w:szCs w:val="20"/>
        </w:rPr>
        <w:t>** Indication within FDA Priority Review Voucher program</w:t>
      </w:r>
    </w:p>
    <w:p w14:paraId="096E3513" w14:textId="15D3D417" w:rsidR="008F3E8B" w:rsidRDefault="008F3E8B" w:rsidP="008F3E8B">
      <w:pPr>
        <w:ind w:right="174"/>
        <w:jc w:val="both"/>
        <w:rPr>
          <w:sz w:val="20"/>
          <w:szCs w:val="20"/>
        </w:rPr>
      </w:pPr>
    </w:p>
    <w:p w14:paraId="24069DCE" w14:textId="77777777" w:rsidR="009C6940" w:rsidRPr="007C1EE1" w:rsidRDefault="009C6940" w:rsidP="009C6940">
      <w:pPr>
        <w:rPr>
          <w:sz w:val="20"/>
          <w:szCs w:val="20"/>
        </w:rPr>
      </w:pPr>
      <w:r w:rsidRPr="007C1EE1">
        <w:rPr>
          <w:sz w:val="20"/>
          <w:szCs w:val="20"/>
        </w:rPr>
        <w:t>Our programs are in various stages of development, the most significant of which are summarized below:</w:t>
      </w:r>
    </w:p>
    <w:p w14:paraId="2CE0AC79" w14:textId="77777777" w:rsidR="009C6940" w:rsidRPr="007C1EE1" w:rsidRDefault="009C6940" w:rsidP="009C6940">
      <w:pPr>
        <w:numPr>
          <w:ilvl w:val="0"/>
          <w:numId w:val="25"/>
        </w:numPr>
        <w:ind w:left="360"/>
        <w:contextualSpacing/>
        <w:rPr>
          <w:bCs/>
          <w:sz w:val="20"/>
          <w:szCs w:val="20"/>
        </w:rPr>
      </w:pPr>
      <w:r w:rsidRPr="007C1EE1">
        <w:rPr>
          <w:bCs/>
          <w:sz w:val="20"/>
          <w:szCs w:val="20"/>
        </w:rPr>
        <w:t xml:space="preserve">GEO-CM04S1 is currently undergoing a Phase 2 clinical trial (NCT04977024), evaluating its safety and efficacy as a preventive COVID-19 vaccine, compared to the Pfizer/BioNTech mRNA-based vaccine, in blood cancer patients who have received a bone marrow transplant or chimeric antigen receptor therapy (CAR T). </w:t>
      </w:r>
    </w:p>
    <w:p w14:paraId="4245601E" w14:textId="77777777" w:rsidR="009C6940" w:rsidRPr="007C1EE1" w:rsidRDefault="009C6940" w:rsidP="009C6940">
      <w:pPr>
        <w:numPr>
          <w:ilvl w:val="0"/>
          <w:numId w:val="25"/>
        </w:numPr>
        <w:ind w:left="360"/>
        <w:contextualSpacing/>
        <w:rPr>
          <w:bCs/>
          <w:sz w:val="20"/>
          <w:szCs w:val="20"/>
        </w:rPr>
      </w:pPr>
      <w:r w:rsidRPr="007C1EE1">
        <w:rPr>
          <w:bCs/>
          <w:sz w:val="20"/>
          <w:szCs w:val="20"/>
        </w:rPr>
        <w:t>In December 2021, patient enrollment began for the Phase 2 portion of a Phase 1/2 trial (NCT04639466) of GEO-CM04S1, evaluating its use as a universal booster vaccine to current FDA-approved two-shot mRNA vaccines from Pfizer/BioNTech and Moderna.</w:t>
      </w:r>
    </w:p>
    <w:p w14:paraId="7A8547A5" w14:textId="77777777" w:rsidR="009C6940" w:rsidRPr="007C1EE1" w:rsidRDefault="009C6940" w:rsidP="009C6940">
      <w:pPr>
        <w:numPr>
          <w:ilvl w:val="0"/>
          <w:numId w:val="25"/>
        </w:numPr>
        <w:ind w:left="360"/>
        <w:contextualSpacing/>
        <w:rPr>
          <w:bCs/>
          <w:sz w:val="20"/>
          <w:szCs w:val="20"/>
        </w:rPr>
      </w:pPr>
      <w:proofErr w:type="spellStart"/>
      <w:r w:rsidRPr="007C1EE1">
        <w:rPr>
          <w:bCs/>
          <w:sz w:val="20"/>
          <w:szCs w:val="20"/>
        </w:rPr>
        <w:t>Gedeptin</w:t>
      </w:r>
      <w:proofErr w:type="spellEnd"/>
      <w:r w:rsidRPr="007C1EE1">
        <w:rPr>
          <w:bCs/>
          <w:sz w:val="20"/>
          <w:szCs w:val="20"/>
          <w:vertAlign w:val="superscript"/>
        </w:rPr>
        <w:t>®</w:t>
      </w:r>
      <w:r w:rsidRPr="007C1EE1">
        <w:rPr>
          <w:bCs/>
          <w:sz w:val="20"/>
          <w:szCs w:val="20"/>
        </w:rPr>
        <w:t xml:space="preserve"> is currently undergoing a Phase 1/2 clinical trial (NCT03754933) for treatment of patients with advanced head and neck cancer, which is being conducted with funding support from the U.S. Food &amp; Drug Administration (FDA) pursuant to its Orphan Products Grants Program.  </w:t>
      </w:r>
    </w:p>
    <w:p w14:paraId="661A8298" w14:textId="77777777" w:rsidR="009C6940" w:rsidRPr="007C1EE1" w:rsidRDefault="009C6940" w:rsidP="009C6940">
      <w:pPr>
        <w:numPr>
          <w:ilvl w:val="0"/>
          <w:numId w:val="25"/>
        </w:numPr>
        <w:ind w:left="360"/>
        <w:contextualSpacing/>
        <w:rPr>
          <w:sz w:val="20"/>
          <w:szCs w:val="20"/>
        </w:rPr>
      </w:pPr>
      <w:r w:rsidRPr="007C1EE1">
        <w:rPr>
          <w:sz w:val="20"/>
          <w:szCs w:val="20"/>
        </w:rPr>
        <w:lastRenderedPageBreak/>
        <w:t>Our pan coronavirus vaccine (GEO-CM02) has shown promising results in preclinical studies to date and with additional studies planned for 2022 to prepare for IND (Investigational New Drug) filing and subsequent human clinical trials.</w:t>
      </w:r>
    </w:p>
    <w:p w14:paraId="2210F296" w14:textId="77777777" w:rsidR="009C6940" w:rsidRPr="007C1EE1" w:rsidRDefault="009C6940" w:rsidP="009C6940">
      <w:pPr>
        <w:numPr>
          <w:ilvl w:val="0"/>
          <w:numId w:val="25"/>
        </w:numPr>
        <w:ind w:left="360"/>
        <w:contextualSpacing/>
        <w:rPr>
          <w:sz w:val="20"/>
          <w:szCs w:val="20"/>
        </w:rPr>
      </w:pPr>
      <w:r w:rsidRPr="007C1EE1">
        <w:rPr>
          <w:sz w:val="20"/>
          <w:szCs w:val="20"/>
        </w:rPr>
        <w:t>Our additional research programs for treatment of solid tumors, and vaccines against Zika virus, malaria and hemorrhagic fever viruses are at various stages of preclinical development.</w:t>
      </w:r>
    </w:p>
    <w:p w14:paraId="48445004" w14:textId="77777777" w:rsidR="009C6940" w:rsidRDefault="009C6940" w:rsidP="008F3E8B">
      <w:pPr>
        <w:ind w:right="174"/>
        <w:jc w:val="both"/>
        <w:rPr>
          <w:sz w:val="20"/>
          <w:szCs w:val="20"/>
        </w:rPr>
      </w:pPr>
    </w:p>
    <w:p w14:paraId="63F6BE51" w14:textId="77777777" w:rsidR="008F3E8B" w:rsidRPr="008F3E8B" w:rsidRDefault="008F3E8B" w:rsidP="00464C6C">
      <w:pPr>
        <w:ind w:firstLine="720"/>
        <w:jc w:val="both"/>
        <w:rPr>
          <w:sz w:val="20"/>
          <w:szCs w:val="20"/>
        </w:rPr>
      </w:pPr>
      <w:r w:rsidRPr="008F3E8B">
        <w:rPr>
          <w:sz w:val="20"/>
          <w:szCs w:val="20"/>
        </w:rPr>
        <w:t>Our corporate strategy is to advance, protect and exploit our differentiated vaccine/immunotherapy technologies leading to the successful development of preventive and therapeutic vaccines and immunotherapies against infectious diseases and various cancers.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p w14:paraId="0BF00DE8" w14:textId="77777777" w:rsidR="008F3E8B" w:rsidRPr="008F3E8B" w:rsidRDefault="008F3E8B" w:rsidP="008F3E8B">
      <w:pPr>
        <w:rPr>
          <w:sz w:val="20"/>
          <w:szCs w:val="20"/>
        </w:rPr>
      </w:pPr>
    </w:p>
    <w:p w14:paraId="13524704" w14:textId="77777777" w:rsidR="008F3E8B" w:rsidRDefault="008F3E8B" w:rsidP="00464C6C">
      <w:pPr>
        <w:ind w:firstLine="720"/>
        <w:jc w:val="both"/>
        <w:rPr>
          <w:sz w:val="20"/>
          <w:szCs w:val="20"/>
        </w:rPr>
      </w:pPr>
      <w:r w:rsidRPr="008F3E8B">
        <w:rPr>
          <w:sz w:val="20"/>
          <w:szCs w:val="20"/>
        </w:rPr>
        <w:t>We have not generated any revenues from the sale of the products we are developing,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require significant costs for commercialization. We may not be successful in our research and development efforts, and we may never generate sufficient product revenue to be profitable.</w:t>
      </w:r>
    </w:p>
    <w:p w14:paraId="33FE9ECD" w14:textId="77777777" w:rsidR="008F3E8B" w:rsidRDefault="008F3E8B" w:rsidP="001C2BBC">
      <w:pPr>
        <w:ind w:right="174"/>
        <w:jc w:val="both"/>
        <w:rPr>
          <w:b/>
          <w:sz w:val="20"/>
          <w:szCs w:val="20"/>
        </w:rPr>
      </w:pPr>
    </w:p>
    <w:p w14:paraId="3D3161C1" w14:textId="77777777" w:rsidR="009C6940" w:rsidRDefault="005F0C9D" w:rsidP="009C6940">
      <w:pPr>
        <w:ind w:right="174"/>
        <w:jc w:val="both"/>
        <w:rPr>
          <w:i/>
          <w:sz w:val="20"/>
          <w:szCs w:val="20"/>
        </w:rPr>
      </w:pPr>
      <w:r w:rsidRPr="008F3E8B">
        <w:rPr>
          <w:i/>
          <w:sz w:val="20"/>
          <w:szCs w:val="20"/>
        </w:rPr>
        <w:t>Private Placement</w:t>
      </w:r>
    </w:p>
    <w:p w14:paraId="1CB699F3" w14:textId="0046F4FE" w:rsidR="005F0C9D" w:rsidRPr="009C6940" w:rsidRDefault="005F0C9D" w:rsidP="009C6940">
      <w:pPr>
        <w:ind w:right="174"/>
        <w:jc w:val="both"/>
        <w:rPr>
          <w:i/>
          <w:sz w:val="20"/>
          <w:szCs w:val="20"/>
        </w:rPr>
      </w:pPr>
      <w:r w:rsidRPr="005F0C9D">
        <w:rPr>
          <w:sz w:val="20"/>
          <w:szCs w:val="20"/>
        </w:rPr>
        <w:t xml:space="preserve"> </w:t>
      </w:r>
    </w:p>
    <w:p w14:paraId="10098259" w14:textId="244266FE" w:rsidR="009C6940" w:rsidRPr="007C1EE1" w:rsidRDefault="009C6940" w:rsidP="009C6940">
      <w:pPr>
        <w:ind w:firstLine="720"/>
        <w:rPr>
          <w:bCs/>
          <w:sz w:val="20"/>
          <w:szCs w:val="20"/>
        </w:rPr>
      </w:pPr>
      <w:r w:rsidRPr="007C1EE1">
        <w:rPr>
          <w:bCs/>
          <w:sz w:val="20"/>
          <w:szCs w:val="20"/>
        </w:rPr>
        <w:t xml:space="preserve">On May 25, 2022, we entered into a Securities Purchase Agreement (the “PIPE Securities Purchase Agreement”) with </w:t>
      </w:r>
      <w:r w:rsidR="00F07249">
        <w:rPr>
          <w:bCs/>
          <w:sz w:val="20"/>
          <w:szCs w:val="20"/>
        </w:rPr>
        <w:t xml:space="preserve">Armistice </w:t>
      </w:r>
      <w:r w:rsidRPr="007C1EE1">
        <w:rPr>
          <w:bCs/>
          <w:sz w:val="20"/>
          <w:szCs w:val="20"/>
        </w:rPr>
        <w:t xml:space="preserve">providing for the issuance and sale to </w:t>
      </w:r>
      <w:r w:rsidR="00F07249">
        <w:rPr>
          <w:bCs/>
          <w:sz w:val="20"/>
          <w:szCs w:val="20"/>
        </w:rPr>
        <w:t xml:space="preserve">Armistice </w:t>
      </w:r>
      <w:r w:rsidRPr="007C1EE1">
        <w:rPr>
          <w:bCs/>
          <w:sz w:val="20"/>
          <w:szCs w:val="20"/>
        </w:rPr>
        <w:t xml:space="preserve">in a private placement offering of 9,090,910 shares of our common stock </w:t>
      </w:r>
      <w:r>
        <w:rPr>
          <w:bCs/>
          <w:sz w:val="20"/>
          <w:szCs w:val="20"/>
        </w:rPr>
        <w:t>issuable upon exercise of a p</w:t>
      </w:r>
      <w:r w:rsidRPr="007C1EE1">
        <w:rPr>
          <w:bCs/>
          <w:sz w:val="20"/>
          <w:szCs w:val="20"/>
        </w:rPr>
        <w:t>re-</w:t>
      </w:r>
      <w:r>
        <w:rPr>
          <w:bCs/>
          <w:sz w:val="20"/>
          <w:szCs w:val="20"/>
        </w:rPr>
        <w:t>f</w:t>
      </w:r>
      <w:r w:rsidRPr="007C1EE1">
        <w:rPr>
          <w:bCs/>
          <w:sz w:val="20"/>
          <w:szCs w:val="20"/>
        </w:rPr>
        <w:t xml:space="preserve">unded </w:t>
      </w:r>
      <w:r>
        <w:rPr>
          <w:bCs/>
          <w:sz w:val="20"/>
          <w:szCs w:val="20"/>
        </w:rPr>
        <w:t>w</w:t>
      </w:r>
      <w:r w:rsidRPr="007C1EE1">
        <w:rPr>
          <w:bCs/>
          <w:sz w:val="20"/>
          <w:szCs w:val="20"/>
        </w:rPr>
        <w:t>arrant and a preferred investment option to purchase up to 9,090,910 shares of common stock</w:t>
      </w:r>
      <w:r>
        <w:rPr>
          <w:bCs/>
          <w:sz w:val="20"/>
          <w:szCs w:val="20"/>
        </w:rPr>
        <w:t xml:space="preserve">. </w:t>
      </w:r>
      <w:r w:rsidRPr="007C1EE1">
        <w:rPr>
          <w:bCs/>
          <w:sz w:val="20"/>
          <w:szCs w:val="20"/>
        </w:rPr>
        <w:t xml:space="preserve">Concurrently with the entrance into the PIPE Securities Purchase Agreement, we entered into another Securities Purchase Agreement (the “RD Securities Purchase Agreement”) with the </w:t>
      </w:r>
      <w:r w:rsidR="00F07249">
        <w:rPr>
          <w:bCs/>
          <w:sz w:val="20"/>
          <w:szCs w:val="20"/>
        </w:rPr>
        <w:t xml:space="preserve">Armistice </w:t>
      </w:r>
      <w:r w:rsidRPr="007C1EE1">
        <w:rPr>
          <w:bCs/>
          <w:sz w:val="20"/>
          <w:szCs w:val="20"/>
        </w:rPr>
        <w:t xml:space="preserve">providing for the issuance and sale to </w:t>
      </w:r>
      <w:r w:rsidR="00F07249">
        <w:rPr>
          <w:bCs/>
          <w:sz w:val="20"/>
          <w:szCs w:val="20"/>
        </w:rPr>
        <w:t xml:space="preserve">Armistice </w:t>
      </w:r>
      <w:r w:rsidRPr="007C1EE1">
        <w:rPr>
          <w:bCs/>
          <w:sz w:val="20"/>
          <w:szCs w:val="20"/>
        </w:rPr>
        <w:t>in a registered direct offering of 1,050,000 shares of our common stock</w:t>
      </w:r>
      <w:r>
        <w:rPr>
          <w:bCs/>
          <w:sz w:val="20"/>
          <w:szCs w:val="20"/>
        </w:rPr>
        <w:t xml:space="preserve">, </w:t>
      </w:r>
      <w:r w:rsidRPr="007C1EE1">
        <w:rPr>
          <w:bCs/>
          <w:sz w:val="20"/>
          <w:szCs w:val="20"/>
        </w:rPr>
        <w:t>a pre-funded warrant to purchase up to 1,980,304 shares of our common stock and a preferred investment option to purchase up to 3,030,304 shares of common stock</w:t>
      </w:r>
      <w:r>
        <w:rPr>
          <w:bCs/>
          <w:sz w:val="20"/>
          <w:szCs w:val="20"/>
        </w:rPr>
        <w:t>.  A</w:t>
      </w:r>
      <w:r w:rsidRPr="007C1EE1">
        <w:rPr>
          <w:bCs/>
          <w:sz w:val="20"/>
          <w:szCs w:val="20"/>
        </w:rPr>
        <w:t xml:space="preserve">ggregate gross proceeds from the private placement and registered direct offerings to the Company </w:t>
      </w:r>
      <w:r>
        <w:rPr>
          <w:bCs/>
          <w:sz w:val="20"/>
          <w:szCs w:val="20"/>
        </w:rPr>
        <w:t>were</w:t>
      </w:r>
      <w:r w:rsidRPr="007C1EE1">
        <w:rPr>
          <w:bCs/>
          <w:sz w:val="20"/>
          <w:szCs w:val="20"/>
        </w:rPr>
        <w:t xml:space="preserve"> approximately $20.0 million.  </w:t>
      </w:r>
    </w:p>
    <w:p w14:paraId="5293181E" w14:textId="77777777" w:rsidR="008F3E8B" w:rsidRDefault="008F3E8B" w:rsidP="008F3E8B">
      <w:pPr>
        <w:ind w:right="174"/>
        <w:jc w:val="both"/>
        <w:rPr>
          <w:sz w:val="20"/>
          <w:szCs w:val="20"/>
        </w:rPr>
      </w:pPr>
    </w:p>
    <w:p w14:paraId="70110AE4" w14:textId="77777777" w:rsidR="008F3E8B" w:rsidRPr="00B2423E" w:rsidRDefault="008F3E8B" w:rsidP="008F3E8B">
      <w:pPr>
        <w:pStyle w:val="NormalWeb"/>
        <w:spacing w:before="0" w:beforeAutospacing="0" w:after="0" w:afterAutospacing="0"/>
        <w:rPr>
          <w:b/>
          <w:bCs/>
          <w:iCs/>
          <w:sz w:val="20"/>
          <w:szCs w:val="20"/>
        </w:rPr>
      </w:pPr>
      <w:r w:rsidRPr="00B2423E">
        <w:rPr>
          <w:b/>
          <w:bCs/>
          <w:iCs/>
          <w:sz w:val="20"/>
          <w:szCs w:val="20"/>
        </w:rPr>
        <w:t>Summary of Risk Factors</w:t>
      </w:r>
    </w:p>
    <w:p w14:paraId="58DBBE6B" w14:textId="77777777" w:rsidR="008F3E8B" w:rsidRPr="00B2423E" w:rsidRDefault="008F3E8B" w:rsidP="008F3E8B">
      <w:pPr>
        <w:pStyle w:val="NormalWeb"/>
        <w:spacing w:before="0" w:beforeAutospacing="0" w:after="0" w:afterAutospacing="0"/>
        <w:rPr>
          <w:iCs/>
          <w:sz w:val="20"/>
          <w:szCs w:val="20"/>
        </w:rPr>
      </w:pPr>
    </w:p>
    <w:p w14:paraId="0124F6CD" w14:textId="77777777" w:rsidR="008F3E8B" w:rsidRPr="00B2423E" w:rsidRDefault="008F3E8B" w:rsidP="008F3E8B">
      <w:pPr>
        <w:pStyle w:val="NormalWeb"/>
        <w:spacing w:before="0" w:beforeAutospacing="0" w:after="0" w:afterAutospacing="0"/>
        <w:ind w:firstLine="720"/>
        <w:rPr>
          <w:iCs/>
          <w:sz w:val="20"/>
          <w:szCs w:val="20"/>
        </w:rPr>
      </w:pPr>
      <w:r w:rsidRPr="00B2423E">
        <w:rPr>
          <w:iCs/>
          <w:sz w:val="20"/>
          <w:szCs w:val="20"/>
        </w:rPr>
        <w:t>Our business is subject to numerous risks and uncertainties, discussed in more detail in the following section. These risks include, among others, the following key risks:</w:t>
      </w:r>
    </w:p>
    <w:p w14:paraId="021CC77B" w14:textId="77777777" w:rsidR="008F3E8B" w:rsidRPr="00B2423E" w:rsidRDefault="008F3E8B" w:rsidP="008F3E8B">
      <w:pPr>
        <w:rPr>
          <w:i/>
          <w:iCs/>
          <w:sz w:val="20"/>
          <w:szCs w:val="20"/>
        </w:rPr>
      </w:pPr>
    </w:p>
    <w:p w14:paraId="251D6538" w14:textId="77777777" w:rsidR="008F3E8B" w:rsidRDefault="008F3E8B" w:rsidP="008F3E8B">
      <w:pPr>
        <w:rPr>
          <w:i/>
          <w:iCs/>
          <w:sz w:val="20"/>
          <w:szCs w:val="20"/>
        </w:rPr>
      </w:pPr>
      <w:r w:rsidRPr="00B2423E">
        <w:rPr>
          <w:i/>
          <w:iCs/>
          <w:sz w:val="20"/>
          <w:szCs w:val="20"/>
        </w:rPr>
        <w:t>Risks Related to Our Business and Capital Requirements</w:t>
      </w:r>
    </w:p>
    <w:p w14:paraId="73C0E8C5" w14:textId="77777777" w:rsidR="008F3E8B" w:rsidRPr="00B2423E" w:rsidRDefault="008F3E8B" w:rsidP="008F3E8B">
      <w:pPr>
        <w:rPr>
          <w:i/>
          <w:iCs/>
          <w:sz w:val="20"/>
          <w:szCs w:val="20"/>
        </w:rPr>
      </w:pPr>
    </w:p>
    <w:p w14:paraId="4AAED3CD" w14:textId="77777777" w:rsidR="008F3E8B" w:rsidRDefault="008F3E8B" w:rsidP="00C73E0F">
      <w:pPr>
        <w:pStyle w:val="ListParagraph"/>
        <w:numPr>
          <w:ilvl w:val="0"/>
          <w:numId w:val="5"/>
        </w:numPr>
        <w:rPr>
          <w:sz w:val="20"/>
          <w:szCs w:val="20"/>
        </w:rPr>
      </w:pPr>
      <w:r w:rsidRPr="00B2423E">
        <w:rPr>
          <w:sz w:val="20"/>
          <w:szCs w:val="20"/>
        </w:rPr>
        <w:t>We have a history of operating losses, and we expect losses to continue for the foreseeable future.</w:t>
      </w:r>
    </w:p>
    <w:p w14:paraId="131F49B0" w14:textId="77777777" w:rsidR="008F3E8B" w:rsidRDefault="008F3E8B" w:rsidP="00C73E0F">
      <w:pPr>
        <w:pStyle w:val="ListParagraph"/>
        <w:numPr>
          <w:ilvl w:val="0"/>
          <w:numId w:val="5"/>
        </w:numPr>
        <w:rPr>
          <w:sz w:val="20"/>
          <w:szCs w:val="20"/>
        </w:rPr>
      </w:pPr>
      <w:r w:rsidRPr="00B2423E">
        <w:rPr>
          <w:sz w:val="20"/>
          <w:szCs w:val="20"/>
        </w:rPr>
        <w:t>Our business will require continued funding.  If we do not receive adequate funding, we may not be able to continue our operations.</w:t>
      </w:r>
    </w:p>
    <w:p w14:paraId="582E70D6" w14:textId="77777777" w:rsidR="008F3E8B" w:rsidRDefault="008F3E8B" w:rsidP="00C73E0F">
      <w:pPr>
        <w:pStyle w:val="ListParagraph"/>
        <w:numPr>
          <w:ilvl w:val="0"/>
          <w:numId w:val="5"/>
        </w:numPr>
        <w:rPr>
          <w:sz w:val="20"/>
          <w:szCs w:val="20"/>
        </w:rPr>
      </w:pPr>
      <w:r w:rsidRPr="00B2423E">
        <w:rPr>
          <w:sz w:val="20"/>
          <w:szCs w:val="20"/>
        </w:rPr>
        <w:t xml:space="preserve">Significant disruptions of information technology systems or breaches of information security systems could adversely affect our business. </w:t>
      </w:r>
    </w:p>
    <w:p w14:paraId="39A7BE5F" w14:textId="77777777" w:rsidR="008F3E8B" w:rsidRDefault="008F3E8B" w:rsidP="00C73E0F">
      <w:pPr>
        <w:pStyle w:val="ListParagraph"/>
        <w:numPr>
          <w:ilvl w:val="0"/>
          <w:numId w:val="5"/>
        </w:numPr>
        <w:rPr>
          <w:sz w:val="20"/>
          <w:szCs w:val="20"/>
        </w:rPr>
      </w:pPr>
      <w:r w:rsidRPr="00B2423E">
        <w:rPr>
          <w:sz w:val="20"/>
          <w:szCs w:val="20"/>
        </w:rPr>
        <w:t>Our business could be adversely affected by widespread public health epidemics or other catastrophic events beyond our control.</w:t>
      </w:r>
    </w:p>
    <w:p w14:paraId="733F19F3" w14:textId="77777777" w:rsidR="008F3E8B" w:rsidRPr="00B2423E" w:rsidRDefault="008F3E8B" w:rsidP="008F3E8B">
      <w:pPr>
        <w:rPr>
          <w:sz w:val="20"/>
          <w:szCs w:val="20"/>
        </w:rPr>
      </w:pPr>
    </w:p>
    <w:p w14:paraId="56D37E81" w14:textId="77777777" w:rsidR="008F3E8B" w:rsidRDefault="008F3E8B" w:rsidP="008F3E8B">
      <w:pPr>
        <w:rPr>
          <w:i/>
          <w:iCs/>
          <w:sz w:val="20"/>
          <w:szCs w:val="20"/>
        </w:rPr>
      </w:pPr>
      <w:r w:rsidRPr="00B2423E">
        <w:rPr>
          <w:i/>
          <w:iCs/>
          <w:sz w:val="20"/>
          <w:szCs w:val="20"/>
        </w:rPr>
        <w:t>Risks Related to Development and Commercialization of Product Candidates and Dependence on Third Parties</w:t>
      </w:r>
    </w:p>
    <w:p w14:paraId="0AA90531" w14:textId="77777777" w:rsidR="008F3E8B" w:rsidRPr="00B2423E" w:rsidRDefault="008F3E8B" w:rsidP="008F3E8B">
      <w:pPr>
        <w:rPr>
          <w:i/>
          <w:iCs/>
          <w:sz w:val="20"/>
          <w:szCs w:val="20"/>
        </w:rPr>
      </w:pPr>
    </w:p>
    <w:p w14:paraId="1138D29D" w14:textId="77777777" w:rsidR="008F3E8B" w:rsidRDefault="008F3E8B" w:rsidP="00C73E0F">
      <w:pPr>
        <w:pStyle w:val="ListParagraph"/>
        <w:numPr>
          <w:ilvl w:val="0"/>
          <w:numId w:val="6"/>
        </w:numPr>
        <w:rPr>
          <w:sz w:val="20"/>
          <w:szCs w:val="20"/>
        </w:rPr>
      </w:pPr>
      <w:r w:rsidRPr="00B2423E">
        <w:rPr>
          <w:sz w:val="20"/>
          <w:szCs w:val="20"/>
        </w:rPr>
        <w:t>Our products are still being developed and are unproven. These products may not be successful.</w:t>
      </w:r>
    </w:p>
    <w:p w14:paraId="00978FBB" w14:textId="77777777" w:rsidR="008F3E8B" w:rsidRDefault="008F3E8B" w:rsidP="00C73E0F">
      <w:pPr>
        <w:pStyle w:val="ListParagraph"/>
        <w:numPr>
          <w:ilvl w:val="0"/>
          <w:numId w:val="6"/>
        </w:numPr>
        <w:rPr>
          <w:sz w:val="20"/>
          <w:szCs w:val="20"/>
        </w:rPr>
      </w:pPr>
      <w:r w:rsidRPr="00B2423E">
        <w:rPr>
          <w:sz w:val="20"/>
          <w:szCs w:val="20"/>
        </w:rPr>
        <w:t>We depend upon key personnel who may terminate their employment with us at any time. If we were to lose the services of any of these individuals, our business and operations may be adversely affected.</w:t>
      </w:r>
    </w:p>
    <w:p w14:paraId="0DB42F11" w14:textId="77777777" w:rsidR="008F3E8B" w:rsidRDefault="008F3E8B" w:rsidP="00C73E0F">
      <w:pPr>
        <w:pStyle w:val="ListParagraph"/>
        <w:numPr>
          <w:ilvl w:val="0"/>
          <w:numId w:val="6"/>
        </w:numPr>
        <w:rPr>
          <w:sz w:val="20"/>
          <w:szCs w:val="20"/>
        </w:rPr>
      </w:pPr>
      <w:r w:rsidRPr="00B2423E">
        <w:rPr>
          <w:sz w:val="20"/>
          <w:szCs w:val="20"/>
        </w:rPr>
        <w:t>Regulatory and legal uncertainties could result in significant costs or otherwise harm our business.</w:t>
      </w:r>
    </w:p>
    <w:p w14:paraId="0E803378" w14:textId="77777777" w:rsidR="008F3E8B" w:rsidRDefault="008F3E8B" w:rsidP="00C73E0F">
      <w:pPr>
        <w:pStyle w:val="ListParagraph"/>
        <w:numPr>
          <w:ilvl w:val="0"/>
          <w:numId w:val="6"/>
        </w:numPr>
        <w:rPr>
          <w:sz w:val="20"/>
          <w:szCs w:val="20"/>
        </w:rPr>
      </w:pPr>
      <w:r w:rsidRPr="00B2423E">
        <w:rPr>
          <w:sz w:val="20"/>
          <w:szCs w:val="20"/>
        </w:rPr>
        <w:lastRenderedPageBreak/>
        <w:t>We face intense competition and rapid technological change that could result in products that are superior to the products we will be commercializing or developing.</w:t>
      </w:r>
    </w:p>
    <w:p w14:paraId="1C24582F" w14:textId="77777777" w:rsidR="008F3E8B" w:rsidRDefault="008F3E8B" w:rsidP="00C73E0F">
      <w:pPr>
        <w:pStyle w:val="ListParagraph"/>
        <w:numPr>
          <w:ilvl w:val="0"/>
          <w:numId w:val="6"/>
        </w:numPr>
        <w:rPr>
          <w:sz w:val="20"/>
          <w:szCs w:val="20"/>
        </w:rPr>
      </w:pPr>
      <w:r w:rsidRPr="00B2423E">
        <w:rPr>
          <w:sz w:val="20"/>
          <w:szCs w:val="20"/>
        </w:rPr>
        <w:t>Our product candidates are based on new medical technology and, consequently, are inherently risky.  Concerns about the safety and efficacy of our products could limit our future success.</w:t>
      </w:r>
    </w:p>
    <w:p w14:paraId="75732BD9" w14:textId="77777777" w:rsidR="008F3E8B" w:rsidRDefault="008F3E8B" w:rsidP="00C73E0F">
      <w:pPr>
        <w:pStyle w:val="ListParagraph"/>
        <w:numPr>
          <w:ilvl w:val="0"/>
          <w:numId w:val="6"/>
        </w:numPr>
        <w:rPr>
          <w:sz w:val="20"/>
          <w:szCs w:val="20"/>
        </w:rPr>
      </w:pPr>
      <w:r w:rsidRPr="00B2423E">
        <w:rPr>
          <w:sz w:val="20"/>
          <w:szCs w:val="20"/>
        </w:rPr>
        <w:t>We may experience delays in our clinical trials that could adversely affect our financial results and our commercial prospects.</w:t>
      </w:r>
    </w:p>
    <w:p w14:paraId="0E592C44" w14:textId="77777777" w:rsidR="008F3E8B" w:rsidRDefault="008F3E8B" w:rsidP="00C73E0F">
      <w:pPr>
        <w:pStyle w:val="ListParagraph"/>
        <w:numPr>
          <w:ilvl w:val="0"/>
          <w:numId w:val="6"/>
        </w:numPr>
        <w:rPr>
          <w:sz w:val="20"/>
          <w:szCs w:val="20"/>
        </w:rPr>
      </w:pPr>
      <w:r w:rsidRPr="00B2423E">
        <w:rPr>
          <w:sz w:val="20"/>
          <w:szCs w:val="20"/>
        </w:rPr>
        <w:t>Failure to obtain timely regulatory approvals required to exploit the commercial potential of our products could increase our future development costs or impair our future sales.</w:t>
      </w:r>
    </w:p>
    <w:p w14:paraId="4609B2E4" w14:textId="77777777" w:rsidR="008F3E8B" w:rsidRDefault="008F3E8B" w:rsidP="00C73E0F">
      <w:pPr>
        <w:pStyle w:val="ListParagraph"/>
        <w:numPr>
          <w:ilvl w:val="0"/>
          <w:numId w:val="6"/>
        </w:numPr>
        <w:rPr>
          <w:sz w:val="20"/>
          <w:szCs w:val="20"/>
        </w:rPr>
      </w:pPr>
      <w:r w:rsidRPr="00B2423E">
        <w:rPr>
          <w:sz w:val="20"/>
          <w:szCs w:val="20"/>
        </w:rPr>
        <w:t>State pharmaceutical marketing compliance and reporting requirements may expose us to regulatory and legal action by state governments or other government authorities.</w:t>
      </w:r>
    </w:p>
    <w:p w14:paraId="6A5B01F9" w14:textId="77777777" w:rsidR="008F3E8B" w:rsidRDefault="008F3E8B" w:rsidP="00C73E0F">
      <w:pPr>
        <w:pStyle w:val="ListParagraph"/>
        <w:numPr>
          <w:ilvl w:val="0"/>
          <w:numId w:val="6"/>
        </w:numPr>
        <w:rPr>
          <w:sz w:val="20"/>
          <w:szCs w:val="20"/>
        </w:rPr>
      </w:pPr>
      <w:r w:rsidRPr="00B2423E">
        <w:rPr>
          <w:sz w:val="20"/>
          <w:szCs w:val="20"/>
        </w:rPr>
        <w:t xml:space="preserve">Changes in healthcare law and implementing regulations, as well as changes in healthcare policy, may impact our business in ways that we cannot currently predict, and may have a significant adverse effect on our business and results of operations. </w:t>
      </w:r>
    </w:p>
    <w:p w14:paraId="5FA435EF" w14:textId="77777777" w:rsidR="008F3E8B" w:rsidRDefault="008F3E8B" w:rsidP="00C73E0F">
      <w:pPr>
        <w:pStyle w:val="ListParagraph"/>
        <w:numPr>
          <w:ilvl w:val="0"/>
          <w:numId w:val="6"/>
        </w:numPr>
        <w:rPr>
          <w:sz w:val="20"/>
          <w:szCs w:val="20"/>
        </w:rPr>
      </w:pPr>
      <w:r w:rsidRPr="00B2423E">
        <w:rPr>
          <w:sz w:val="20"/>
          <w:szCs w:val="20"/>
        </w:rPr>
        <w:t>We may not be successful in establishing collaborations for product candidates we seek to commercialize, which could adversely affect our ability to discover, develop, and commercialize products.</w:t>
      </w:r>
    </w:p>
    <w:p w14:paraId="1563504F" w14:textId="77777777" w:rsidR="008F3E8B" w:rsidRDefault="008F3E8B" w:rsidP="00C73E0F">
      <w:pPr>
        <w:pStyle w:val="ListParagraph"/>
        <w:numPr>
          <w:ilvl w:val="0"/>
          <w:numId w:val="6"/>
        </w:numPr>
        <w:rPr>
          <w:sz w:val="20"/>
          <w:szCs w:val="20"/>
        </w:rPr>
      </w:pPr>
      <w:r w:rsidRPr="00B2423E">
        <w:rPr>
          <w:sz w:val="20"/>
          <w:szCs w:val="20"/>
        </w:rPr>
        <w:t>We do not have manufacturing, sales or marketing experience.</w:t>
      </w:r>
    </w:p>
    <w:p w14:paraId="662CEEE1" w14:textId="77777777" w:rsidR="008F3E8B" w:rsidRDefault="008F3E8B" w:rsidP="00C73E0F">
      <w:pPr>
        <w:pStyle w:val="ListParagraph"/>
        <w:numPr>
          <w:ilvl w:val="0"/>
          <w:numId w:val="6"/>
        </w:numPr>
        <w:rPr>
          <w:sz w:val="20"/>
          <w:szCs w:val="20"/>
        </w:rPr>
      </w:pPr>
      <w:r w:rsidRPr="00B2423E">
        <w:rPr>
          <w:sz w:val="20"/>
          <w:szCs w:val="20"/>
        </w:rPr>
        <w:t>Our products under development may not gain market acceptance.</w:t>
      </w:r>
    </w:p>
    <w:p w14:paraId="5C14C47D" w14:textId="77777777" w:rsidR="008F3E8B" w:rsidRDefault="008F3E8B" w:rsidP="00C73E0F">
      <w:pPr>
        <w:pStyle w:val="ListParagraph"/>
        <w:numPr>
          <w:ilvl w:val="0"/>
          <w:numId w:val="6"/>
        </w:numPr>
        <w:rPr>
          <w:sz w:val="20"/>
          <w:szCs w:val="20"/>
        </w:rPr>
      </w:pPr>
      <w:r w:rsidRPr="00B2423E">
        <w:rPr>
          <w:sz w:val="20"/>
          <w:szCs w:val="20"/>
        </w:rPr>
        <w:t>We may be required to defend lawsuits or pay damages for product liability claims.</w:t>
      </w:r>
    </w:p>
    <w:p w14:paraId="02F46AD2" w14:textId="77777777" w:rsidR="008F3E8B" w:rsidRDefault="008F3E8B" w:rsidP="00C73E0F">
      <w:pPr>
        <w:pStyle w:val="ListParagraph"/>
        <w:numPr>
          <w:ilvl w:val="0"/>
          <w:numId w:val="6"/>
        </w:numPr>
        <w:rPr>
          <w:sz w:val="20"/>
          <w:szCs w:val="20"/>
        </w:rPr>
      </w:pPr>
      <w:r w:rsidRPr="00B2423E">
        <w:rPr>
          <w:sz w:val="20"/>
          <w:szCs w:val="20"/>
        </w:rPr>
        <w:t>Reimbursement decisions by third-party payors may have an adverse effect on pricing and market acceptance.  If there is not sufficient reimbursement for our products, it is less likely that they will be widely used.</w:t>
      </w:r>
    </w:p>
    <w:p w14:paraId="75B2BD7F" w14:textId="77777777" w:rsidR="008F3E8B" w:rsidRPr="00B2423E" w:rsidRDefault="008F3E8B" w:rsidP="008F3E8B">
      <w:pPr>
        <w:rPr>
          <w:sz w:val="20"/>
          <w:szCs w:val="20"/>
        </w:rPr>
      </w:pPr>
    </w:p>
    <w:p w14:paraId="651CAEB8" w14:textId="77777777" w:rsidR="008F3E8B" w:rsidRDefault="008F3E8B" w:rsidP="008F3E8B">
      <w:pPr>
        <w:rPr>
          <w:i/>
          <w:iCs/>
          <w:sz w:val="20"/>
          <w:szCs w:val="20"/>
        </w:rPr>
      </w:pPr>
      <w:r w:rsidRPr="00B2423E">
        <w:rPr>
          <w:i/>
          <w:iCs/>
          <w:sz w:val="20"/>
          <w:szCs w:val="20"/>
        </w:rPr>
        <w:t>Risks Related to Our Intellectual Property</w:t>
      </w:r>
    </w:p>
    <w:p w14:paraId="1867A3E2" w14:textId="77777777" w:rsidR="008F3E8B" w:rsidRPr="00B2423E" w:rsidRDefault="008F3E8B" w:rsidP="008F3E8B">
      <w:pPr>
        <w:rPr>
          <w:i/>
          <w:iCs/>
          <w:sz w:val="20"/>
          <w:szCs w:val="20"/>
        </w:rPr>
      </w:pPr>
    </w:p>
    <w:p w14:paraId="5B06E32D" w14:textId="77777777" w:rsidR="008F3E8B" w:rsidRDefault="008F3E8B" w:rsidP="00C73E0F">
      <w:pPr>
        <w:pStyle w:val="ListParagraph"/>
        <w:numPr>
          <w:ilvl w:val="0"/>
          <w:numId w:val="7"/>
        </w:numPr>
        <w:rPr>
          <w:sz w:val="20"/>
          <w:szCs w:val="20"/>
        </w:rPr>
      </w:pPr>
      <w:r w:rsidRPr="00B2423E">
        <w:rPr>
          <w:sz w:val="20"/>
          <w:szCs w:val="20"/>
        </w:rPr>
        <w:t>We could lose our license rights to our important intellectual property if we do not fulfill our contractual obligations to our licensors.</w:t>
      </w:r>
    </w:p>
    <w:p w14:paraId="464E2443" w14:textId="77777777" w:rsidR="008F3E8B" w:rsidRDefault="008F3E8B" w:rsidP="00C73E0F">
      <w:pPr>
        <w:pStyle w:val="ListParagraph"/>
        <w:numPr>
          <w:ilvl w:val="0"/>
          <w:numId w:val="7"/>
        </w:numPr>
        <w:rPr>
          <w:sz w:val="20"/>
          <w:szCs w:val="20"/>
        </w:rPr>
      </w:pPr>
      <w:r w:rsidRPr="00B2423E">
        <w:rPr>
          <w:sz w:val="20"/>
          <w:szCs w:val="20"/>
        </w:rPr>
        <w:t>Other parties may claim that we infringe their intellectual property or proprietary rights, which could cause us to incur significant expenses or prevent us from selling products.</w:t>
      </w:r>
    </w:p>
    <w:p w14:paraId="191C4386" w14:textId="77777777" w:rsidR="008F3E8B" w:rsidRDefault="008F3E8B" w:rsidP="00C73E0F">
      <w:pPr>
        <w:pStyle w:val="ListParagraph"/>
        <w:numPr>
          <w:ilvl w:val="0"/>
          <w:numId w:val="7"/>
        </w:numPr>
        <w:rPr>
          <w:sz w:val="20"/>
          <w:szCs w:val="20"/>
        </w:rPr>
      </w:pPr>
      <w:r w:rsidRPr="00B2423E">
        <w:rPr>
          <w:sz w:val="20"/>
          <w:szCs w:val="20"/>
        </w:rPr>
        <w:t>Any inability to protect intellectual property rights in the United States and foreign countries could limit our ability to manufacture or sell products.</w:t>
      </w:r>
    </w:p>
    <w:p w14:paraId="6C571DCE" w14:textId="77777777" w:rsidR="008F3E8B" w:rsidRPr="00B2423E" w:rsidRDefault="008F3E8B" w:rsidP="008F3E8B">
      <w:pPr>
        <w:rPr>
          <w:sz w:val="20"/>
          <w:szCs w:val="20"/>
        </w:rPr>
      </w:pPr>
    </w:p>
    <w:p w14:paraId="651F5587" w14:textId="77777777" w:rsidR="008F3E8B" w:rsidRDefault="008F3E8B" w:rsidP="008F3E8B">
      <w:pPr>
        <w:rPr>
          <w:i/>
          <w:iCs/>
          <w:sz w:val="20"/>
          <w:szCs w:val="20"/>
        </w:rPr>
      </w:pPr>
      <w:r w:rsidRPr="00B2423E">
        <w:rPr>
          <w:i/>
          <w:iCs/>
          <w:sz w:val="20"/>
          <w:szCs w:val="20"/>
        </w:rPr>
        <w:t>Risks Related to Our Common Stock</w:t>
      </w:r>
    </w:p>
    <w:p w14:paraId="7E21193F" w14:textId="77777777" w:rsidR="008F3E8B" w:rsidRPr="00B2423E" w:rsidRDefault="008F3E8B" w:rsidP="008F3E8B">
      <w:pPr>
        <w:rPr>
          <w:i/>
          <w:iCs/>
          <w:sz w:val="20"/>
          <w:szCs w:val="20"/>
        </w:rPr>
      </w:pPr>
    </w:p>
    <w:p w14:paraId="56D273BB" w14:textId="77777777" w:rsidR="008F3E8B" w:rsidRDefault="008F3E8B" w:rsidP="00C73E0F">
      <w:pPr>
        <w:pStyle w:val="ListParagraph"/>
        <w:numPr>
          <w:ilvl w:val="0"/>
          <w:numId w:val="8"/>
        </w:numPr>
        <w:rPr>
          <w:sz w:val="20"/>
          <w:szCs w:val="20"/>
        </w:rPr>
      </w:pPr>
      <w:r w:rsidRPr="00B2423E">
        <w:rPr>
          <w:sz w:val="20"/>
          <w:szCs w:val="20"/>
        </w:rPr>
        <w:t>The market price of our common stock is highly volatile.</w:t>
      </w:r>
    </w:p>
    <w:p w14:paraId="62EA3876" w14:textId="77777777" w:rsidR="008F3E8B" w:rsidRDefault="008F3E8B" w:rsidP="00C73E0F">
      <w:pPr>
        <w:pStyle w:val="ListParagraph"/>
        <w:numPr>
          <w:ilvl w:val="0"/>
          <w:numId w:val="8"/>
        </w:numPr>
        <w:rPr>
          <w:sz w:val="20"/>
          <w:szCs w:val="20"/>
        </w:rPr>
      </w:pPr>
      <w:r w:rsidRPr="00B2423E">
        <w:rPr>
          <w:sz w:val="20"/>
          <w:szCs w:val="20"/>
        </w:rPr>
        <w:t>The sale or issuance of additional shares of our common stock or other equity securities could result in additional dilution to our stockholders.</w:t>
      </w:r>
    </w:p>
    <w:p w14:paraId="5B318B7A" w14:textId="77777777" w:rsidR="008F3E8B" w:rsidRDefault="008F3E8B" w:rsidP="00C73E0F">
      <w:pPr>
        <w:pStyle w:val="ListParagraph"/>
        <w:numPr>
          <w:ilvl w:val="0"/>
          <w:numId w:val="8"/>
        </w:numPr>
        <w:rPr>
          <w:sz w:val="20"/>
          <w:szCs w:val="20"/>
        </w:rPr>
      </w:pPr>
      <w:r w:rsidRPr="00B2423E">
        <w:rPr>
          <w:sz w:val="20"/>
          <w:szCs w:val="20"/>
        </w:rPr>
        <w:t>Certain provisions of our certificate of incorporation which authorize the issuance of shares of preferred stock may make it more difficult for a third party to effect a change in control.</w:t>
      </w:r>
    </w:p>
    <w:p w14:paraId="77387076" w14:textId="77777777" w:rsidR="008F3E8B" w:rsidRDefault="008F3E8B" w:rsidP="00C73E0F">
      <w:pPr>
        <w:pStyle w:val="ListParagraph"/>
        <w:numPr>
          <w:ilvl w:val="0"/>
          <w:numId w:val="8"/>
        </w:numPr>
        <w:rPr>
          <w:sz w:val="20"/>
          <w:szCs w:val="20"/>
        </w:rPr>
      </w:pPr>
      <w:r w:rsidRPr="00B2423E">
        <w:rPr>
          <w:sz w:val="20"/>
          <w:szCs w:val="20"/>
        </w:rPr>
        <w:t>We have never paid dividends and have no plans to do so. </w:t>
      </w:r>
    </w:p>
    <w:p w14:paraId="55CAEE57" w14:textId="77777777" w:rsidR="008F3E8B" w:rsidRDefault="008F3E8B" w:rsidP="00C73E0F">
      <w:pPr>
        <w:pStyle w:val="ListParagraph"/>
        <w:numPr>
          <w:ilvl w:val="0"/>
          <w:numId w:val="8"/>
        </w:numPr>
        <w:rPr>
          <w:sz w:val="20"/>
          <w:szCs w:val="20"/>
        </w:rPr>
      </w:pPr>
      <w:r w:rsidRPr="00B2423E">
        <w:rPr>
          <w:sz w:val="20"/>
          <w:szCs w:val="20"/>
        </w:rPr>
        <w:t>Public company compliance may make it more difficult for us to attract and retain officers and directors.</w:t>
      </w:r>
    </w:p>
    <w:p w14:paraId="0EC5F39C" w14:textId="77777777" w:rsidR="008F3E8B" w:rsidRDefault="008F3E8B" w:rsidP="00C73E0F">
      <w:pPr>
        <w:pStyle w:val="ListParagraph"/>
        <w:numPr>
          <w:ilvl w:val="0"/>
          <w:numId w:val="8"/>
        </w:numPr>
        <w:rPr>
          <w:sz w:val="20"/>
          <w:szCs w:val="20"/>
        </w:rPr>
      </w:pPr>
      <w:r w:rsidRPr="00B2423E">
        <w:rPr>
          <w:sz w:val="20"/>
          <w:szCs w:val="20"/>
        </w:rPr>
        <w:t xml:space="preserve">Our Certificate of Incorporation and Bylaws may be amended by the affirmative vote of a majority of our stockholders. </w:t>
      </w:r>
    </w:p>
    <w:p w14:paraId="5F121A4B" w14:textId="77777777" w:rsidR="008F3E8B" w:rsidRPr="008F3E8B" w:rsidRDefault="008F3E8B" w:rsidP="00C73E0F">
      <w:pPr>
        <w:pStyle w:val="ListParagraph"/>
        <w:numPr>
          <w:ilvl w:val="0"/>
          <w:numId w:val="8"/>
        </w:numPr>
        <w:rPr>
          <w:sz w:val="20"/>
          <w:szCs w:val="20"/>
        </w:rPr>
      </w:pPr>
      <w:r w:rsidRPr="00B2423E">
        <w:rPr>
          <w:sz w:val="20"/>
          <w:szCs w:val="20"/>
        </w:rPr>
        <w:t xml:space="preserve">Broker-dealers may be discouraged from effecting transactions in shares of our common stock if we are considered to be a penny stock and thus subject to the penny stock rules. </w:t>
      </w:r>
    </w:p>
    <w:p w14:paraId="54878543" w14:textId="77777777" w:rsidR="005F0C9D" w:rsidRPr="005F0C9D" w:rsidRDefault="005F0C9D" w:rsidP="000036AE">
      <w:pPr>
        <w:ind w:left="174" w:right="174"/>
        <w:jc w:val="both"/>
        <w:rPr>
          <w:sz w:val="20"/>
          <w:szCs w:val="20"/>
        </w:rPr>
      </w:pPr>
      <w:r w:rsidRPr="005F0C9D">
        <w:rPr>
          <w:sz w:val="20"/>
          <w:szCs w:val="20"/>
        </w:rPr>
        <w:t xml:space="preserve"> </w:t>
      </w:r>
    </w:p>
    <w:p w14:paraId="6E104942" w14:textId="77777777" w:rsidR="005F0C9D" w:rsidRPr="005F0C9D" w:rsidRDefault="005F0C9D" w:rsidP="000036AE">
      <w:pPr>
        <w:ind w:left="174" w:right="174"/>
        <w:jc w:val="both"/>
        <w:rPr>
          <w:b/>
          <w:sz w:val="20"/>
          <w:szCs w:val="20"/>
        </w:rPr>
      </w:pPr>
      <w:r w:rsidRPr="005F0C9D">
        <w:rPr>
          <w:b/>
          <w:sz w:val="20"/>
          <w:szCs w:val="20"/>
        </w:rPr>
        <w:t>Corporate Information</w:t>
      </w:r>
    </w:p>
    <w:p w14:paraId="01D754BA" w14:textId="77777777" w:rsidR="005F0C9D" w:rsidRPr="005F0C9D" w:rsidRDefault="005F0C9D" w:rsidP="000036AE">
      <w:pPr>
        <w:ind w:left="174" w:right="174"/>
        <w:jc w:val="both"/>
        <w:rPr>
          <w:sz w:val="20"/>
          <w:szCs w:val="20"/>
        </w:rPr>
      </w:pPr>
    </w:p>
    <w:p w14:paraId="3CDA1ED7" w14:textId="77777777" w:rsidR="008A37E7" w:rsidRDefault="005F0C9D" w:rsidP="000036AE">
      <w:pPr>
        <w:ind w:left="174" w:right="174" w:firstLine="546"/>
        <w:jc w:val="both"/>
        <w:rPr>
          <w:b/>
          <w:bCs/>
          <w:sz w:val="20"/>
          <w:szCs w:val="20"/>
        </w:rPr>
      </w:pPr>
      <w:r w:rsidRPr="005F0C9D">
        <w:rPr>
          <w:sz w:val="20"/>
          <w:szCs w:val="20"/>
        </w:rPr>
        <w:t>We are incorporated under the laws of the State of Delaware. Our principal corporate offices are located at 1900 Lake Park Drive, Suite 380, Smyrna, Georgia 30080 (metropolitan Atlanta). Our telephone number is (678) 384-7220. The address of our website is www.geovax.com. Information contained on our website does not form a part of this prospectus.</w:t>
      </w:r>
    </w:p>
    <w:p w14:paraId="16DDEB96" w14:textId="77777777" w:rsidR="005F0C9D" w:rsidRDefault="005F0C9D" w:rsidP="000036AE">
      <w:pPr>
        <w:jc w:val="both"/>
        <w:rPr>
          <w:b/>
          <w:bCs/>
          <w:sz w:val="20"/>
          <w:szCs w:val="20"/>
        </w:rPr>
      </w:pPr>
      <w:r>
        <w:rPr>
          <w:b/>
          <w:bCs/>
          <w:sz w:val="20"/>
          <w:szCs w:val="20"/>
        </w:rPr>
        <w:br w:type="page"/>
      </w:r>
    </w:p>
    <w:p w14:paraId="5AA39CED" w14:textId="77777777" w:rsidR="0087113F" w:rsidRDefault="00B2423E" w:rsidP="00B2423E">
      <w:pPr>
        <w:ind w:right="174"/>
        <w:jc w:val="center"/>
        <w:rPr>
          <w:b/>
          <w:sz w:val="20"/>
          <w:szCs w:val="20"/>
        </w:rPr>
      </w:pPr>
      <w:r>
        <w:rPr>
          <w:b/>
          <w:sz w:val="20"/>
          <w:szCs w:val="20"/>
        </w:rPr>
        <w:lastRenderedPageBreak/>
        <w:t>The Offering</w:t>
      </w:r>
    </w:p>
    <w:p w14:paraId="51C81C38" w14:textId="77777777" w:rsidR="005F0C9D" w:rsidRDefault="005F0C9D" w:rsidP="000036AE">
      <w:pPr>
        <w:ind w:right="174"/>
        <w:jc w:val="both"/>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5F0C9D" w14:paraId="67F141AB" w14:textId="77777777" w:rsidTr="00736016">
        <w:tc>
          <w:tcPr>
            <w:tcW w:w="1975" w:type="dxa"/>
          </w:tcPr>
          <w:p w14:paraId="04EF6E4F" w14:textId="77777777" w:rsidR="005F0C9D" w:rsidRPr="005F0C9D" w:rsidRDefault="005F0C9D" w:rsidP="001C2BBC">
            <w:pPr>
              <w:ind w:left="-107" w:right="174"/>
              <w:rPr>
                <w:b/>
                <w:sz w:val="20"/>
                <w:szCs w:val="20"/>
              </w:rPr>
            </w:pPr>
            <w:r w:rsidRPr="005F0C9D">
              <w:rPr>
                <w:b/>
                <w:sz w:val="20"/>
                <w:szCs w:val="20"/>
              </w:rPr>
              <w:t xml:space="preserve">Shares </w:t>
            </w:r>
            <w:r>
              <w:rPr>
                <w:b/>
                <w:sz w:val="20"/>
                <w:szCs w:val="20"/>
              </w:rPr>
              <w:t>o</w:t>
            </w:r>
            <w:r w:rsidRPr="005F0C9D">
              <w:rPr>
                <w:b/>
                <w:sz w:val="20"/>
                <w:szCs w:val="20"/>
              </w:rPr>
              <w:t>ffered</w:t>
            </w:r>
          </w:p>
        </w:tc>
        <w:tc>
          <w:tcPr>
            <w:tcW w:w="7375" w:type="dxa"/>
          </w:tcPr>
          <w:p w14:paraId="706777A1" w14:textId="26FE0D91" w:rsidR="005F0C9D" w:rsidRDefault="0091389D" w:rsidP="000036AE">
            <w:pPr>
              <w:ind w:right="174"/>
              <w:jc w:val="both"/>
              <w:rPr>
                <w:sz w:val="20"/>
                <w:szCs w:val="20"/>
              </w:rPr>
            </w:pPr>
            <w:r>
              <w:rPr>
                <w:sz w:val="20"/>
                <w:szCs w:val="20"/>
              </w:rPr>
              <w:t>21,4</w:t>
            </w:r>
            <w:r w:rsidR="009D2851">
              <w:rPr>
                <w:sz w:val="20"/>
                <w:szCs w:val="20"/>
              </w:rPr>
              <w:t xml:space="preserve">12,124 </w:t>
            </w:r>
            <w:r w:rsidR="00EE4ADC" w:rsidRPr="00EE4ADC">
              <w:rPr>
                <w:sz w:val="20"/>
                <w:szCs w:val="20"/>
              </w:rPr>
              <w:t xml:space="preserve">shares of </w:t>
            </w:r>
            <w:r w:rsidR="009D2851">
              <w:rPr>
                <w:sz w:val="20"/>
                <w:szCs w:val="20"/>
              </w:rPr>
              <w:t>C</w:t>
            </w:r>
            <w:r w:rsidR="00EE4ADC" w:rsidRPr="00EE4ADC">
              <w:rPr>
                <w:sz w:val="20"/>
                <w:szCs w:val="20"/>
              </w:rPr>
              <w:t xml:space="preserve">ommon </w:t>
            </w:r>
            <w:r w:rsidR="009D2851">
              <w:rPr>
                <w:sz w:val="20"/>
                <w:szCs w:val="20"/>
              </w:rPr>
              <w:t>S</w:t>
            </w:r>
            <w:r w:rsidR="00EE4ADC" w:rsidRPr="00EE4ADC">
              <w:rPr>
                <w:sz w:val="20"/>
                <w:szCs w:val="20"/>
              </w:rPr>
              <w:t>tock</w:t>
            </w:r>
            <w:r w:rsidR="00747B46">
              <w:rPr>
                <w:sz w:val="20"/>
                <w:szCs w:val="20"/>
              </w:rPr>
              <w:t xml:space="preserve"> by the Selling Stockholder</w:t>
            </w:r>
            <w:r w:rsidR="00F07249">
              <w:rPr>
                <w:sz w:val="20"/>
                <w:szCs w:val="20"/>
              </w:rPr>
              <w:t>s</w:t>
            </w:r>
            <w:r w:rsidR="00EE4ADC" w:rsidRPr="00EE4ADC">
              <w:rPr>
                <w:sz w:val="20"/>
                <w:szCs w:val="20"/>
              </w:rPr>
              <w:t>, consisting of</w:t>
            </w:r>
            <w:r w:rsidR="00EE4ADC">
              <w:rPr>
                <w:sz w:val="20"/>
                <w:szCs w:val="20"/>
              </w:rPr>
              <w:t xml:space="preserve"> </w:t>
            </w:r>
            <w:r w:rsidR="009D2851">
              <w:rPr>
                <w:sz w:val="20"/>
                <w:szCs w:val="20"/>
              </w:rPr>
              <w:t>9,090,910</w:t>
            </w:r>
            <w:r w:rsidR="00EE4ADC" w:rsidRPr="00EE4ADC">
              <w:rPr>
                <w:sz w:val="20"/>
                <w:szCs w:val="20"/>
              </w:rPr>
              <w:t xml:space="preserve"> </w:t>
            </w:r>
            <w:r w:rsidR="00EE4ADC">
              <w:rPr>
                <w:sz w:val="20"/>
                <w:szCs w:val="20"/>
              </w:rPr>
              <w:t xml:space="preserve">shares of </w:t>
            </w:r>
            <w:r w:rsidR="009D2851">
              <w:rPr>
                <w:sz w:val="20"/>
                <w:szCs w:val="20"/>
              </w:rPr>
              <w:t>C</w:t>
            </w:r>
            <w:r w:rsidR="00EE4ADC">
              <w:rPr>
                <w:sz w:val="20"/>
                <w:szCs w:val="20"/>
              </w:rPr>
              <w:t xml:space="preserve">ommon </w:t>
            </w:r>
            <w:r w:rsidR="009D2851">
              <w:rPr>
                <w:sz w:val="20"/>
                <w:szCs w:val="20"/>
              </w:rPr>
              <w:t>S</w:t>
            </w:r>
            <w:r w:rsidR="00EE4ADC">
              <w:rPr>
                <w:sz w:val="20"/>
                <w:szCs w:val="20"/>
              </w:rPr>
              <w:t>tock</w:t>
            </w:r>
            <w:r w:rsidR="00EE4ADC" w:rsidRPr="00EE4ADC">
              <w:rPr>
                <w:sz w:val="20"/>
                <w:szCs w:val="20"/>
              </w:rPr>
              <w:t xml:space="preserve"> issuable upon the exercise of the Pre-Funded Warrant</w:t>
            </w:r>
            <w:r w:rsidR="00BD7579">
              <w:rPr>
                <w:sz w:val="20"/>
                <w:szCs w:val="20"/>
              </w:rPr>
              <w:t>,</w:t>
            </w:r>
            <w:r w:rsidR="00EE4ADC" w:rsidRPr="00EE4ADC">
              <w:rPr>
                <w:sz w:val="20"/>
                <w:szCs w:val="20"/>
              </w:rPr>
              <w:t xml:space="preserve"> </w:t>
            </w:r>
            <w:r w:rsidR="009D2851">
              <w:rPr>
                <w:sz w:val="20"/>
                <w:szCs w:val="20"/>
              </w:rPr>
              <w:t>12,121,214</w:t>
            </w:r>
            <w:r w:rsidR="00EE4ADC" w:rsidRPr="00EE4ADC">
              <w:rPr>
                <w:sz w:val="20"/>
                <w:szCs w:val="20"/>
              </w:rPr>
              <w:t xml:space="preserve"> shares of </w:t>
            </w:r>
            <w:r w:rsidR="009D2851">
              <w:rPr>
                <w:sz w:val="20"/>
                <w:szCs w:val="20"/>
              </w:rPr>
              <w:t>C</w:t>
            </w:r>
            <w:r w:rsidR="00EE4ADC" w:rsidRPr="00EE4ADC">
              <w:rPr>
                <w:sz w:val="20"/>
                <w:szCs w:val="20"/>
              </w:rPr>
              <w:t xml:space="preserve">ommon </w:t>
            </w:r>
            <w:r w:rsidR="009D2851">
              <w:rPr>
                <w:sz w:val="20"/>
                <w:szCs w:val="20"/>
              </w:rPr>
              <w:t>S</w:t>
            </w:r>
            <w:r w:rsidR="00EE4ADC" w:rsidRPr="00EE4ADC">
              <w:rPr>
                <w:sz w:val="20"/>
                <w:szCs w:val="20"/>
              </w:rPr>
              <w:t xml:space="preserve">tock issuable upon the exercise of the </w:t>
            </w:r>
            <w:r w:rsidR="000E45DF">
              <w:rPr>
                <w:sz w:val="20"/>
                <w:szCs w:val="20"/>
              </w:rPr>
              <w:t>Preferred Investment Option</w:t>
            </w:r>
            <w:r w:rsidR="00BD7579">
              <w:rPr>
                <w:sz w:val="20"/>
                <w:szCs w:val="20"/>
              </w:rPr>
              <w:t>, 128,000 shares of Common Stock issuable upon the exercise of the 2020 Common Warrant and 72,000 shares of Common Stock issuable upon the exercise of the 2021 Common Warrant.</w:t>
            </w:r>
          </w:p>
          <w:p w14:paraId="4C655EC3" w14:textId="77777777" w:rsidR="00736016" w:rsidRDefault="00736016" w:rsidP="000036AE">
            <w:pPr>
              <w:ind w:right="174"/>
              <w:jc w:val="both"/>
              <w:rPr>
                <w:sz w:val="20"/>
                <w:szCs w:val="20"/>
              </w:rPr>
            </w:pPr>
          </w:p>
        </w:tc>
      </w:tr>
      <w:tr w:rsidR="005F0C9D" w14:paraId="62368B08" w14:textId="77777777" w:rsidTr="00736016">
        <w:tc>
          <w:tcPr>
            <w:tcW w:w="1975" w:type="dxa"/>
          </w:tcPr>
          <w:p w14:paraId="2D712D5D" w14:textId="77777777" w:rsidR="005F0C9D" w:rsidRDefault="005F0C9D" w:rsidP="001C2BBC">
            <w:pPr>
              <w:ind w:left="-107" w:right="174"/>
              <w:rPr>
                <w:b/>
                <w:sz w:val="20"/>
                <w:szCs w:val="20"/>
              </w:rPr>
            </w:pPr>
            <w:r w:rsidRPr="005F0C9D">
              <w:rPr>
                <w:b/>
                <w:sz w:val="20"/>
                <w:szCs w:val="20"/>
              </w:rPr>
              <w:t xml:space="preserve">Shares of </w:t>
            </w:r>
            <w:r>
              <w:rPr>
                <w:b/>
                <w:sz w:val="20"/>
                <w:szCs w:val="20"/>
              </w:rPr>
              <w:t>c</w:t>
            </w:r>
            <w:r w:rsidRPr="005F0C9D">
              <w:rPr>
                <w:b/>
                <w:sz w:val="20"/>
                <w:szCs w:val="20"/>
              </w:rPr>
              <w:t xml:space="preserve">ommon </w:t>
            </w:r>
            <w:r>
              <w:rPr>
                <w:b/>
                <w:sz w:val="20"/>
                <w:szCs w:val="20"/>
              </w:rPr>
              <w:t>s</w:t>
            </w:r>
            <w:r w:rsidRPr="005F0C9D">
              <w:rPr>
                <w:b/>
                <w:sz w:val="20"/>
                <w:szCs w:val="20"/>
              </w:rPr>
              <w:t xml:space="preserve">tock </w:t>
            </w:r>
            <w:r>
              <w:rPr>
                <w:b/>
                <w:sz w:val="20"/>
                <w:szCs w:val="20"/>
              </w:rPr>
              <w:t>o</w:t>
            </w:r>
            <w:r w:rsidRPr="005F0C9D">
              <w:rPr>
                <w:b/>
                <w:sz w:val="20"/>
                <w:szCs w:val="20"/>
              </w:rPr>
              <w:t xml:space="preserve">utstanding prior to this </w:t>
            </w:r>
            <w:r>
              <w:rPr>
                <w:b/>
                <w:sz w:val="20"/>
                <w:szCs w:val="20"/>
              </w:rPr>
              <w:t>o</w:t>
            </w:r>
            <w:r w:rsidRPr="005F0C9D">
              <w:rPr>
                <w:b/>
                <w:sz w:val="20"/>
                <w:szCs w:val="20"/>
              </w:rPr>
              <w:t>ffering</w:t>
            </w:r>
          </w:p>
          <w:p w14:paraId="69E6265E" w14:textId="77777777" w:rsidR="00736016" w:rsidRPr="005F0C9D" w:rsidRDefault="00736016" w:rsidP="001C2BBC">
            <w:pPr>
              <w:ind w:left="-107" w:right="174"/>
              <w:rPr>
                <w:b/>
                <w:sz w:val="20"/>
                <w:szCs w:val="20"/>
              </w:rPr>
            </w:pPr>
          </w:p>
        </w:tc>
        <w:tc>
          <w:tcPr>
            <w:tcW w:w="7375" w:type="dxa"/>
          </w:tcPr>
          <w:p w14:paraId="3D5ADF55" w14:textId="72B15BBA" w:rsidR="005F0C9D" w:rsidRDefault="00CA51F1" w:rsidP="00CB14FA">
            <w:pPr>
              <w:ind w:right="174"/>
              <w:jc w:val="both"/>
              <w:rPr>
                <w:sz w:val="20"/>
                <w:szCs w:val="20"/>
              </w:rPr>
            </w:pPr>
            <w:r>
              <w:rPr>
                <w:sz w:val="20"/>
                <w:szCs w:val="20"/>
              </w:rPr>
              <w:t xml:space="preserve">12,547,829 </w:t>
            </w:r>
            <w:r w:rsidR="00BD7579">
              <w:rPr>
                <w:sz w:val="20"/>
                <w:szCs w:val="20"/>
              </w:rPr>
              <w:t>shares of Common S</w:t>
            </w:r>
            <w:r w:rsidR="005F0C9D">
              <w:rPr>
                <w:sz w:val="20"/>
                <w:szCs w:val="20"/>
              </w:rPr>
              <w:t>tock.</w:t>
            </w:r>
          </w:p>
        </w:tc>
      </w:tr>
      <w:tr w:rsidR="005F0C9D" w14:paraId="069BF199" w14:textId="77777777" w:rsidTr="00736016">
        <w:tc>
          <w:tcPr>
            <w:tcW w:w="1975" w:type="dxa"/>
          </w:tcPr>
          <w:p w14:paraId="618092DD" w14:textId="77777777" w:rsidR="005F0C9D" w:rsidRPr="005F0C9D" w:rsidRDefault="005F0C9D" w:rsidP="001C2BBC">
            <w:pPr>
              <w:ind w:left="-107" w:right="174"/>
              <w:rPr>
                <w:b/>
                <w:sz w:val="20"/>
                <w:szCs w:val="20"/>
              </w:rPr>
            </w:pPr>
            <w:r w:rsidRPr="005F0C9D">
              <w:rPr>
                <w:b/>
                <w:sz w:val="20"/>
                <w:szCs w:val="20"/>
              </w:rPr>
              <w:t xml:space="preserve">Use of </w:t>
            </w:r>
            <w:r>
              <w:rPr>
                <w:b/>
                <w:sz w:val="20"/>
                <w:szCs w:val="20"/>
              </w:rPr>
              <w:t>p</w:t>
            </w:r>
            <w:r w:rsidRPr="005F0C9D">
              <w:rPr>
                <w:b/>
                <w:sz w:val="20"/>
                <w:szCs w:val="20"/>
              </w:rPr>
              <w:t>roceeds</w:t>
            </w:r>
          </w:p>
        </w:tc>
        <w:tc>
          <w:tcPr>
            <w:tcW w:w="7375" w:type="dxa"/>
          </w:tcPr>
          <w:p w14:paraId="1C8F03C6" w14:textId="2AF758A4" w:rsidR="005F0C9D" w:rsidRDefault="005F0C9D" w:rsidP="000036AE">
            <w:pPr>
              <w:ind w:right="174"/>
              <w:jc w:val="both"/>
              <w:rPr>
                <w:sz w:val="20"/>
                <w:szCs w:val="20"/>
              </w:rPr>
            </w:pPr>
            <w:r w:rsidRPr="005F0C9D">
              <w:rPr>
                <w:sz w:val="20"/>
                <w:szCs w:val="20"/>
              </w:rPr>
              <w:t xml:space="preserve">We will not receive any proceeds from the sale of the shares of </w:t>
            </w:r>
            <w:r>
              <w:rPr>
                <w:sz w:val="20"/>
                <w:szCs w:val="20"/>
              </w:rPr>
              <w:t>c</w:t>
            </w:r>
            <w:r w:rsidRPr="005F0C9D">
              <w:rPr>
                <w:sz w:val="20"/>
                <w:szCs w:val="20"/>
              </w:rPr>
              <w:t xml:space="preserve">ommon </w:t>
            </w:r>
            <w:r>
              <w:rPr>
                <w:sz w:val="20"/>
                <w:szCs w:val="20"/>
              </w:rPr>
              <w:t>s</w:t>
            </w:r>
            <w:r w:rsidRPr="005F0C9D">
              <w:rPr>
                <w:sz w:val="20"/>
                <w:szCs w:val="20"/>
              </w:rPr>
              <w:t xml:space="preserve">tock by the </w:t>
            </w:r>
            <w:r>
              <w:rPr>
                <w:sz w:val="20"/>
                <w:szCs w:val="20"/>
              </w:rPr>
              <w:t>S</w:t>
            </w:r>
            <w:r w:rsidRPr="005F0C9D">
              <w:rPr>
                <w:sz w:val="20"/>
                <w:szCs w:val="20"/>
              </w:rPr>
              <w:t xml:space="preserve">elling </w:t>
            </w:r>
            <w:r>
              <w:rPr>
                <w:sz w:val="20"/>
                <w:szCs w:val="20"/>
              </w:rPr>
              <w:t>Stockholder</w:t>
            </w:r>
            <w:r w:rsidR="00F07249">
              <w:rPr>
                <w:sz w:val="20"/>
                <w:szCs w:val="20"/>
              </w:rPr>
              <w:t>s</w:t>
            </w:r>
            <w:r w:rsidRPr="005F0C9D">
              <w:rPr>
                <w:sz w:val="20"/>
                <w:szCs w:val="20"/>
              </w:rPr>
              <w:t xml:space="preserve">. All net proceeds from the sale of the shares of </w:t>
            </w:r>
            <w:r>
              <w:rPr>
                <w:sz w:val="20"/>
                <w:szCs w:val="20"/>
              </w:rPr>
              <w:t>c</w:t>
            </w:r>
            <w:r w:rsidRPr="005F0C9D">
              <w:rPr>
                <w:sz w:val="20"/>
                <w:szCs w:val="20"/>
              </w:rPr>
              <w:t xml:space="preserve">ommon </w:t>
            </w:r>
            <w:r>
              <w:rPr>
                <w:sz w:val="20"/>
                <w:szCs w:val="20"/>
              </w:rPr>
              <w:t>s</w:t>
            </w:r>
            <w:r w:rsidRPr="005F0C9D">
              <w:rPr>
                <w:sz w:val="20"/>
                <w:szCs w:val="20"/>
              </w:rPr>
              <w:t xml:space="preserve">tock covered by this prospectus will go to the </w:t>
            </w:r>
            <w:r>
              <w:rPr>
                <w:sz w:val="20"/>
                <w:szCs w:val="20"/>
              </w:rPr>
              <w:t>S</w:t>
            </w:r>
            <w:r w:rsidRPr="005F0C9D">
              <w:rPr>
                <w:sz w:val="20"/>
                <w:szCs w:val="20"/>
              </w:rPr>
              <w:t xml:space="preserve">elling </w:t>
            </w:r>
            <w:r>
              <w:rPr>
                <w:sz w:val="20"/>
                <w:szCs w:val="20"/>
              </w:rPr>
              <w:t>Stockholder</w:t>
            </w:r>
            <w:r w:rsidR="00F07249">
              <w:rPr>
                <w:sz w:val="20"/>
                <w:szCs w:val="20"/>
              </w:rPr>
              <w:t>s</w:t>
            </w:r>
            <w:r w:rsidRPr="005F0C9D">
              <w:rPr>
                <w:sz w:val="20"/>
                <w:szCs w:val="20"/>
              </w:rPr>
              <w:t xml:space="preserve">. However, we may receive the proceeds from any exercise of </w:t>
            </w:r>
            <w:r w:rsidR="00F07249">
              <w:rPr>
                <w:sz w:val="20"/>
                <w:szCs w:val="20"/>
              </w:rPr>
              <w:t xml:space="preserve">each of </w:t>
            </w:r>
            <w:r w:rsidRPr="005F0C9D">
              <w:rPr>
                <w:sz w:val="20"/>
                <w:szCs w:val="20"/>
              </w:rPr>
              <w:t xml:space="preserve">the </w:t>
            </w:r>
            <w:r w:rsidR="00747B46">
              <w:rPr>
                <w:sz w:val="20"/>
                <w:szCs w:val="20"/>
              </w:rPr>
              <w:t>Preferred Investment Option</w:t>
            </w:r>
            <w:r w:rsidR="00F07249">
              <w:rPr>
                <w:sz w:val="20"/>
                <w:szCs w:val="20"/>
              </w:rPr>
              <w:t>, the 2020 Common Warrant and the 2021 Common Warrant</w:t>
            </w:r>
            <w:r w:rsidRPr="005F0C9D">
              <w:rPr>
                <w:sz w:val="20"/>
                <w:szCs w:val="20"/>
              </w:rPr>
              <w:t>. See “Use of Proceeds.”</w:t>
            </w:r>
          </w:p>
          <w:p w14:paraId="35909474" w14:textId="77777777" w:rsidR="00736016" w:rsidRDefault="00736016" w:rsidP="000036AE">
            <w:pPr>
              <w:ind w:right="174"/>
              <w:jc w:val="both"/>
              <w:rPr>
                <w:sz w:val="20"/>
                <w:szCs w:val="20"/>
              </w:rPr>
            </w:pPr>
          </w:p>
        </w:tc>
      </w:tr>
      <w:tr w:rsidR="005F0C9D" w14:paraId="76AC1656" w14:textId="77777777" w:rsidTr="00736016">
        <w:tc>
          <w:tcPr>
            <w:tcW w:w="1975" w:type="dxa"/>
          </w:tcPr>
          <w:p w14:paraId="27902AB0" w14:textId="77777777" w:rsidR="005F0C9D" w:rsidRDefault="005F0C9D" w:rsidP="001C2BBC">
            <w:pPr>
              <w:ind w:left="-107" w:right="174"/>
              <w:rPr>
                <w:b/>
                <w:sz w:val="20"/>
                <w:szCs w:val="20"/>
              </w:rPr>
            </w:pPr>
            <w:r w:rsidRPr="005F0C9D">
              <w:rPr>
                <w:b/>
                <w:sz w:val="20"/>
                <w:szCs w:val="20"/>
              </w:rPr>
              <w:t xml:space="preserve">Nasdaq </w:t>
            </w:r>
            <w:r w:rsidR="00B2423E">
              <w:rPr>
                <w:b/>
                <w:sz w:val="20"/>
                <w:szCs w:val="20"/>
              </w:rPr>
              <w:t>Capital Markets</w:t>
            </w:r>
            <w:r w:rsidRPr="005F0C9D">
              <w:rPr>
                <w:b/>
                <w:sz w:val="20"/>
                <w:szCs w:val="20"/>
              </w:rPr>
              <w:t xml:space="preserve"> </w:t>
            </w:r>
            <w:r w:rsidR="00B2423E">
              <w:rPr>
                <w:b/>
                <w:sz w:val="20"/>
                <w:szCs w:val="20"/>
              </w:rPr>
              <w:t>s</w:t>
            </w:r>
            <w:r w:rsidRPr="005F0C9D">
              <w:rPr>
                <w:b/>
                <w:sz w:val="20"/>
                <w:szCs w:val="20"/>
              </w:rPr>
              <w:t>ymbol</w:t>
            </w:r>
            <w:r w:rsidR="001C2BBC">
              <w:rPr>
                <w:b/>
                <w:sz w:val="20"/>
                <w:szCs w:val="20"/>
              </w:rPr>
              <w:t>s</w:t>
            </w:r>
          </w:p>
          <w:p w14:paraId="60C26CF0" w14:textId="77777777" w:rsidR="00736016" w:rsidRPr="005F0C9D" w:rsidRDefault="00736016" w:rsidP="001C2BBC">
            <w:pPr>
              <w:ind w:left="-107" w:right="174"/>
              <w:rPr>
                <w:b/>
                <w:sz w:val="20"/>
                <w:szCs w:val="20"/>
              </w:rPr>
            </w:pPr>
          </w:p>
        </w:tc>
        <w:tc>
          <w:tcPr>
            <w:tcW w:w="7375" w:type="dxa"/>
          </w:tcPr>
          <w:p w14:paraId="1DDA2C93" w14:textId="77777777" w:rsidR="005F0C9D" w:rsidRDefault="00736016" w:rsidP="001C2BBC">
            <w:pPr>
              <w:ind w:right="174"/>
              <w:jc w:val="both"/>
              <w:rPr>
                <w:sz w:val="20"/>
                <w:szCs w:val="20"/>
              </w:rPr>
            </w:pPr>
            <w:r w:rsidRPr="00736016">
              <w:rPr>
                <w:sz w:val="20"/>
                <w:szCs w:val="20"/>
              </w:rPr>
              <w:t xml:space="preserve">Our common stock and the </w:t>
            </w:r>
            <w:r w:rsidR="00A72724">
              <w:rPr>
                <w:sz w:val="20"/>
                <w:szCs w:val="20"/>
              </w:rPr>
              <w:t>warrants we issued to investors in a September 2020 public offering (the “September 2020 Warrants”)</w:t>
            </w:r>
            <w:r w:rsidRPr="00736016">
              <w:rPr>
                <w:sz w:val="20"/>
                <w:szCs w:val="20"/>
              </w:rPr>
              <w:t xml:space="preserve"> are listed on the </w:t>
            </w:r>
            <w:r w:rsidR="001C2BBC">
              <w:rPr>
                <w:sz w:val="20"/>
                <w:szCs w:val="20"/>
              </w:rPr>
              <w:t>Nasdaq</w:t>
            </w:r>
            <w:r w:rsidRPr="00736016">
              <w:rPr>
                <w:sz w:val="20"/>
                <w:szCs w:val="20"/>
              </w:rPr>
              <w:t xml:space="preserve"> Capital Market under the symbols “GOVX” and “GOVXW,” respectively.</w:t>
            </w:r>
          </w:p>
          <w:p w14:paraId="55ECC0C5" w14:textId="77777777" w:rsidR="001C2BBC" w:rsidRDefault="001C2BBC" w:rsidP="001C2BBC">
            <w:pPr>
              <w:ind w:right="174"/>
              <w:jc w:val="both"/>
              <w:rPr>
                <w:sz w:val="20"/>
                <w:szCs w:val="20"/>
              </w:rPr>
            </w:pPr>
          </w:p>
        </w:tc>
      </w:tr>
      <w:tr w:rsidR="005F0C9D" w14:paraId="53BC0FF7" w14:textId="77777777" w:rsidTr="00736016">
        <w:tc>
          <w:tcPr>
            <w:tcW w:w="1975" w:type="dxa"/>
          </w:tcPr>
          <w:p w14:paraId="42E1DA1A" w14:textId="77777777" w:rsidR="005F0C9D" w:rsidRPr="005F0C9D" w:rsidRDefault="005F0C9D" w:rsidP="001C2BBC">
            <w:pPr>
              <w:ind w:left="-107" w:right="174"/>
              <w:rPr>
                <w:b/>
                <w:sz w:val="20"/>
                <w:szCs w:val="20"/>
              </w:rPr>
            </w:pPr>
            <w:r w:rsidRPr="005F0C9D">
              <w:rPr>
                <w:b/>
                <w:sz w:val="20"/>
                <w:szCs w:val="20"/>
              </w:rPr>
              <w:t>Risk factors</w:t>
            </w:r>
          </w:p>
        </w:tc>
        <w:tc>
          <w:tcPr>
            <w:tcW w:w="7375" w:type="dxa"/>
          </w:tcPr>
          <w:p w14:paraId="6D78F0D5" w14:textId="4076A397" w:rsidR="005F0C9D" w:rsidRDefault="00736016" w:rsidP="000036AE">
            <w:pPr>
              <w:ind w:right="174"/>
              <w:jc w:val="both"/>
              <w:rPr>
                <w:sz w:val="20"/>
                <w:szCs w:val="20"/>
              </w:rPr>
            </w:pPr>
            <w:r w:rsidRPr="00736016">
              <w:rPr>
                <w:sz w:val="20"/>
                <w:szCs w:val="20"/>
              </w:rPr>
              <w:t xml:space="preserve">Investment in our </w:t>
            </w:r>
            <w:r>
              <w:rPr>
                <w:sz w:val="20"/>
                <w:szCs w:val="20"/>
              </w:rPr>
              <w:t>common stock</w:t>
            </w:r>
            <w:r w:rsidRPr="00736016">
              <w:rPr>
                <w:sz w:val="20"/>
                <w:szCs w:val="20"/>
              </w:rPr>
              <w:t xml:space="preserve"> involves a high degree of risk and could result in a loss of your entire investment. </w:t>
            </w:r>
            <w:r w:rsidR="0043685F" w:rsidRPr="0043685F">
              <w:rPr>
                <w:sz w:val="20"/>
                <w:szCs w:val="20"/>
              </w:rPr>
              <w:t xml:space="preserve">Before investing in our </w:t>
            </w:r>
            <w:r>
              <w:rPr>
                <w:sz w:val="20"/>
                <w:szCs w:val="20"/>
              </w:rPr>
              <w:t>common stock</w:t>
            </w:r>
            <w:r w:rsidR="0043685F" w:rsidRPr="0043685F">
              <w:rPr>
                <w:sz w:val="20"/>
                <w:szCs w:val="20"/>
              </w:rPr>
              <w:t xml:space="preserve">, you should carefully read and consider the “Risk Factors” beginning on page </w:t>
            </w:r>
            <w:r w:rsidR="0066274A">
              <w:rPr>
                <w:sz w:val="20"/>
                <w:szCs w:val="20"/>
              </w:rPr>
              <w:t>6</w:t>
            </w:r>
            <w:r w:rsidR="0043685F" w:rsidRPr="0043685F">
              <w:rPr>
                <w:sz w:val="20"/>
                <w:szCs w:val="20"/>
              </w:rPr>
              <w:t xml:space="preserve"> of this prospectus.</w:t>
            </w:r>
          </w:p>
        </w:tc>
      </w:tr>
    </w:tbl>
    <w:p w14:paraId="70BD68D8" w14:textId="77777777" w:rsidR="005F0C9D" w:rsidRPr="005F0C9D" w:rsidRDefault="005F0C9D" w:rsidP="000036AE">
      <w:pPr>
        <w:ind w:right="174"/>
        <w:jc w:val="both"/>
        <w:rPr>
          <w:sz w:val="20"/>
          <w:szCs w:val="20"/>
        </w:rPr>
      </w:pPr>
    </w:p>
    <w:p w14:paraId="2D6C18D0" w14:textId="77777777" w:rsidR="005F0C9D" w:rsidRDefault="005F0C9D" w:rsidP="000036AE">
      <w:pPr>
        <w:ind w:right="174"/>
        <w:jc w:val="both"/>
        <w:rPr>
          <w:b/>
          <w:sz w:val="20"/>
          <w:szCs w:val="20"/>
        </w:rPr>
      </w:pPr>
    </w:p>
    <w:p w14:paraId="27009E3C" w14:textId="693E7D39" w:rsidR="0087113F" w:rsidRDefault="004837DC" w:rsidP="000036AE">
      <w:pPr>
        <w:ind w:right="174" w:firstLine="720"/>
        <w:jc w:val="both"/>
        <w:rPr>
          <w:sz w:val="20"/>
          <w:szCs w:val="20"/>
        </w:rPr>
      </w:pPr>
      <w:r>
        <w:rPr>
          <w:sz w:val="20"/>
          <w:szCs w:val="20"/>
        </w:rPr>
        <w:t xml:space="preserve">Unless otherwise indicated, the number of shares of </w:t>
      </w:r>
      <w:r w:rsidR="00CD6722">
        <w:rPr>
          <w:sz w:val="20"/>
          <w:szCs w:val="20"/>
        </w:rPr>
        <w:t>our c</w:t>
      </w:r>
      <w:r>
        <w:rPr>
          <w:sz w:val="20"/>
          <w:szCs w:val="20"/>
        </w:rPr>
        <w:t xml:space="preserve">ommon </w:t>
      </w:r>
      <w:r w:rsidR="00CD6722">
        <w:rPr>
          <w:sz w:val="20"/>
          <w:szCs w:val="20"/>
        </w:rPr>
        <w:t>s</w:t>
      </w:r>
      <w:r>
        <w:rPr>
          <w:sz w:val="20"/>
          <w:szCs w:val="20"/>
        </w:rPr>
        <w:t xml:space="preserve">tock outstanding prior to this offering is based on </w:t>
      </w:r>
      <w:r w:rsidR="00CA51F1">
        <w:rPr>
          <w:sz w:val="20"/>
          <w:szCs w:val="20"/>
        </w:rPr>
        <w:t>12,547,829</w:t>
      </w:r>
      <w:r>
        <w:rPr>
          <w:sz w:val="20"/>
          <w:szCs w:val="20"/>
        </w:rPr>
        <w:t xml:space="preserve"> shares of </w:t>
      </w:r>
      <w:r w:rsidR="00CD6722">
        <w:rPr>
          <w:sz w:val="20"/>
          <w:szCs w:val="20"/>
        </w:rPr>
        <w:t>c</w:t>
      </w:r>
      <w:r>
        <w:rPr>
          <w:sz w:val="20"/>
          <w:szCs w:val="20"/>
        </w:rPr>
        <w:t xml:space="preserve">ommon </w:t>
      </w:r>
      <w:r w:rsidR="00CD6722">
        <w:rPr>
          <w:sz w:val="20"/>
          <w:szCs w:val="20"/>
        </w:rPr>
        <w:t>s</w:t>
      </w:r>
      <w:r>
        <w:rPr>
          <w:sz w:val="20"/>
          <w:szCs w:val="20"/>
        </w:rPr>
        <w:t xml:space="preserve">tock outstanding as of </w:t>
      </w:r>
      <w:r w:rsidR="00CA51F1">
        <w:rPr>
          <w:sz w:val="20"/>
          <w:szCs w:val="20"/>
        </w:rPr>
        <w:t>June</w:t>
      </w:r>
      <w:r w:rsidR="002015FE">
        <w:rPr>
          <w:sz w:val="20"/>
          <w:szCs w:val="20"/>
        </w:rPr>
        <w:t xml:space="preserve"> </w:t>
      </w:r>
      <w:r w:rsidR="0039388C">
        <w:rPr>
          <w:sz w:val="20"/>
          <w:szCs w:val="20"/>
        </w:rPr>
        <w:t>10</w:t>
      </w:r>
      <w:r w:rsidR="00CD6722">
        <w:rPr>
          <w:sz w:val="20"/>
          <w:szCs w:val="20"/>
        </w:rPr>
        <w:t>, 2022, and exclude</w:t>
      </w:r>
      <w:r>
        <w:rPr>
          <w:sz w:val="20"/>
          <w:szCs w:val="20"/>
        </w:rPr>
        <w:t xml:space="preserve"> as of such date:</w:t>
      </w:r>
    </w:p>
    <w:p w14:paraId="527C823C" w14:textId="77777777" w:rsidR="001E28B4" w:rsidRDefault="001E28B4" w:rsidP="000036AE">
      <w:pPr>
        <w:ind w:right="174" w:firstLine="720"/>
        <w:jc w:val="both"/>
        <w:rPr>
          <w:sz w:val="20"/>
          <w:szCs w:val="20"/>
        </w:rPr>
      </w:pPr>
    </w:p>
    <w:tbl>
      <w:tblPr>
        <w:tblW w:w="5000" w:type="pct"/>
        <w:tblCellSpacing w:w="0" w:type="dxa"/>
        <w:tblCellMar>
          <w:left w:w="0" w:type="dxa"/>
          <w:right w:w="0" w:type="dxa"/>
        </w:tblCellMar>
        <w:tblLook w:val="04A0" w:firstRow="1" w:lastRow="0" w:firstColumn="1" w:lastColumn="0" w:noHBand="0" w:noVBand="1"/>
      </w:tblPr>
      <w:tblGrid>
        <w:gridCol w:w="171"/>
        <w:gridCol w:w="170"/>
        <w:gridCol w:w="9019"/>
      </w:tblGrid>
      <w:tr w:rsidR="001E28B4" w:rsidRPr="00301C8E" w14:paraId="72EAA4FA" w14:textId="77777777" w:rsidTr="004F5282">
        <w:trPr>
          <w:tblCellSpacing w:w="0" w:type="dxa"/>
        </w:trPr>
        <w:tc>
          <w:tcPr>
            <w:tcW w:w="91" w:type="pct"/>
            <w:hideMark/>
          </w:tcPr>
          <w:p w14:paraId="1683715D" w14:textId="77777777" w:rsidR="001E28B4" w:rsidRPr="00301C8E" w:rsidRDefault="001E28B4" w:rsidP="004F5282">
            <w:r w:rsidRPr="00301C8E">
              <w:t> </w:t>
            </w:r>
          </w:p>
        </w:tc>
        <w:tc>
          <w:tcPr>
            <w:tcW w:w="91" w:type="pct"/>
            <w:hideMark/>
          </w:tcPr>
          <w:p w14:paraId="4BA0B2A9" w14:textId="77777777" w:rsidR="001E28B4" w:rsidRPr="00301C8E" w:rsidRDefault="001E28B4" w:rsidP="004F5282">
            <w:pPr>
              <w:jc w:val="both"/>
              <w:rPr>
                <w:sz w:val="20"/>
                <w:szCs w:val="20"/>
              </w:rPr>
            </w:pPr>
            <w:r w:rsidRPr="00301C8E">
              <w:rPr>
                <w:sz w:val="20"/>
                <w:szCs w:val="20"/>
              </w:rPr>
              <w:t>●</w:t>
            </w:r>
          </w:p>
        </w:tc>
        <w:tc>
          <w:tcPr>
            <w:tcW w:w="4818" w:type="pct"/>
            <w:hideMark/>
          </w:tcPr>
          <w:p w14:paraId="6EF2C7DF" w14:textId="462FB789" w:rsidR="001E28B4" w:rsidRPr="00301C8E" w:rsidRDefault="001E28B4" w:rsidP="004F5282">
            <w:pPr>
              <w:jc w:val="both"/>
              <w:rPr>
                <w:sz w:val="20"/>
                <w:szCs w:val="20"/>
              </w:rPr>
            </w:pPr>
            <w:r>
              <w:rPr>
                <w:sz w:val="20"/>
                <w:szCs w:val="20"/>
              </w:rPr>
              <w:t>9,090,910</w:t>
            </w:r>
            <w:r w:rsidRPr="004112BB">
              <w:rPr>
                <w:sz w:val="20"/>
                <w:szCs w:val="20"/>
              </w:rPr>
              <w:t xml:space="preserve"> shares of common stock </w:t>
            </w:r>
            <w:r>
              <w:rPr>
                <w:sz w:val="20"/>
                <w:szCs w:val="20"/>
              </w:rPr>
              <w:t>issuable upon the exercise of the Private Pre-Funded Warrants with exercise prices of $0.00</w:t>
            </w:r>
            <w:r w:rsidR="00886446">
              <w:rPr>
                <w:sz w:val="20"/>
                <w:szCs w:val="20"/>
              </w:rPr>
              <w:t>0</w:t>
            </w:r>
            <w:r>
              <w:rPr>
                <w:sz w:val="20"/>
                <w:szCs w:val="20"/>
              </w:rPr>
              <w:t>1 per share;</w:t>
            </w:r>
          </w:p>
        </w:tc>
      </w:tr>
      <w:tr w:rsidR="001E28B4" w:rsidRPr="00301C8E" w14:paraId="68B46DD3" w14:textId="77777777" w:rsidTr="004F5282">
        <w:trPr>
          <w:tblCellSpacing w:w="0" w:type="dxa"/>
        </w:trPr>
        <w:tc>
          <w:tcPr>
            <w:tcW w:w="91" w:type="pct"/>
            <w:hideMark/>
          </w:tcPr>
          <w:p w14:paraId="2EC80B79" w14:textId="77777777" w:rsidR="001E28B4" w:rsidRPr="00301C8E" w:rsidRDefault="001E28B4" w:rsidP="004F5282">
            <w:r w:rsidRPr="00301C8E">
              <w:t> </w:t>
            </w:r>
          </w:p>
        </w:tc>
        <w:tc>
          <w:tcPr>
            <w:tcW w:w="91" w:type="pct"/>
            <w:hideMark/>
          </w:tcPr>
          <w:p w14:paraId="4B6CF626" w14:textId="77777777" w:rsidR="001E28B4" w:rsidRPr="00301C8E" w:rsidRDefault="001E28B4" w:rsidP="004F5282">
            <w:pPr>
              <w:jc w:val="both"/>
              <w:rPr>
                <w:sz w:val="20"/>
                <w:szCs w:val="20"/>
              </w:rPr>
            </w:pPr>
            <w:r w:rsidRPr="00301C8E">
              <w:rPr>
                <w:sz w:val="20"/>
                <w:szCs w:val="20"/>
              </w:rPr>
              <w:t>●</w:t>
            </w:r>
          </w:p>
        </w:tc>
        <w:tc>
          <w:tcPr>
            <w:tcW w:w="4818" w:type="pct"/>
            <w:hideMark/>
          </w:tcPr>
          <w:p w14:paraId="2E2BFDCD" w14:textId="1D3A1B7B" w:rsidR="001E28B4" w:rsidRPr="00301C8E" w:rsidRDefault="001E28B4" w:rsidP="00B73392">
            <w:pPr>
              <w:jc w:val="both"/>
              <w:rPr>
                <w:sz w:val="20"/>
                <w:szCs w:val="20"/>
              </w:rPr>
            </w:pPr>
            <w:r>
              <w:rPr>
                <w:sz w:val="20"/>
                <w:szCs w:val="20"/>
              </w:rPr>
              <w:t>12,121,214</w:t>
            </w:r>
            <w:r w:rsidRPr="004112BB">
              <w:rPr>
                <w:sz w:val="20"/>
                <w:szCs w:val="20"/>
              </w:rPr>
              <w:t xml:space="preserve"> shares of common stock </w:t>
            </w:r>
            <w:r>
              <w:rPr>
                <w:sz w:val="20"/>
                <w:szCs w:val="20"/>
              </w:rPr>
              <w:t>issuable upon the exercise of the Preferred Investment Options with exercise prices of $1.65 per share;</w:t>
            </w:r>
          </w:p>
        </w:tc>
      </w:tr>
      <w:tr w:rsidR="001E28B4" w:rsidRPr="00301C8E" w14:paraId="22359C77" w14:textId="77777777" w:rsidTr="004F5282">
        <w:trPr>
          <w:tblCellSpacing w:w="0" w:type="dxa"/>
        </w:trPr>
        <w:tc>
          <w:tcPr>
            <w:tcW w:w="91" w:type="pct"/>
            <w:hideMark/>
          </w:tcPr>
          <w:p w14:paraId="6CE61503" w14:textId="77777777" w:rsidR="001E28B4" w:rsidRPr="00301C8E" w:rsidRDefault="001E28B4" w:rsidP="004F5282">
            <w:r w:rsidRPr="00301C8E">
              <w:t> </w:t>
            </w:r>
          </w:p>
        </w:tc>
        <w:tc>
          <w:tcPr>
            <w:tcW w:w="91" w:type="pct"/>
            <w:hideMark/>
          </w:tcPr>
          <w:p w14:paraId="51C0FA5E" w14:textId="77777777" w:rsidR="001E28B4" w:rsidRPr="00301C8E" w:rsidRDefault="001E28B4" w:rsidP="004F5282">
            <w:pPr>
              <w:jc w:val="both"/>
              <w:rPr>
                <w:sz w:val="20"/>
                <w:szCs w:val="20"/>
              </w:rPr>
            </w:pPr>
            <w:r w:rsidRPr="00301C8E">
              <w:rPr>
                <w:sz w:val="20"/>
                <w:szCs w:val="20"/>
              </w:rPr>
              <w:t>●</w:t>
            </w:r>
          </w:p>
        </w:tc>
        <w:tc>
          <w:tcPr>
            <w:tcW w:w="4818" w:type="pct"/>
            <w:hideMark/>
          </w:tcPr>
          <w:p w14:paraId="7351BFBD" w14:textId="77777777" w:rsidR="001E28B4" w:rsidRPr="00301C8E" w:rsidRDefault="001E28B4" w:rsidP="004F5282">
            <w:pPr>
              <w:jc w:val="both"/>
              <w:rPr>
                <w:sz w:val="20"/>
                <w:szCs w:val="20"/>
              </w:rPr>
            </w:pPr>
            <w:r>
              <w:rPr>
                <w:sz w:val="20"/>
                <w:szCs w:val="20"/>
              </w:rPr>
              <w:t>5,884,115</w:t>
            </w:r>
            <w:r w:rsidRPr="004112BB">
              <w:rPr>
                <w:sz w:val="20"/>
                <w:szCs w:val="20"/>
              </w:rPr>
              <w:t xml:space="preserve"> shares of common stock issuable upon the exercise of other outstanding warrants with a weighted average exercise price of $</w:t>
            </w:r>
            <w:r>
              <w:rPr>
                <w:sz w:val="20"/>
                <w:szCs w:val="20"/>
              </w:rPr>
              <w:t>4.19</w:t>
            </w:r>
            <w:r w:rsidRPr="004112BB">
              <w:rPr>
                <w:sz w:val="20"/>
                <w:szCs w:val="20"/>
              </w:rPr>
              <w:t xml:space="preserve"> per share; and</w:t>
            </w:r>
          </w:p>
        </w:tc>
      </w:tr>
      <w:tr w:rsidR="001E28B4" w:rsidRPr="00301C8E" w14:paraId="458240C7" w14:textId="77777777" w:rsidTr="004F5282">
        <w:trPr>
          <w:tblCellSpacing w:w="0" w:type="dxa"/>
        </w:trPr>
        <w:tc>
          <w:tcPr>
            <w:tcW w:w="91" w:type="pct"/>
            <w:hideMark/>
          </w:tcPr>
          <w:p w14:paraId="7DC03CCC" w14:textId="77777777" w:rsidR="001E28B4" w:rsidRPr="00301C8E" w:rsidRDefault="001E28B4" w:rsidP="004F5282">
            <w:r w:rsidRPr="00301C8E">
              <w:t> </w:t>
            </w:r>
          </w:p>
        </w:tc>
        <w:tc>
          <w:tcPr>
            <w:tcW w:w="91" w:type="pct"/>
            <w:hideMark/>
          </w:tcPr>
          <w:p w14:paraId="52E94775" w14:textId="77777777" w:rsidR="001E28B4" w:rsidRPr="00301C8E" w:rsidRDefault="001E28B4" w:rsidP="004F5282">
            <w:pPr>
              <w:jc w:val="both"/>
              <w:rPr>
                <w:sz w:val="20"/>
                <w:szCs w:val="20"/>
              </w:rPr>
            </w:pPr>
            <w:r w:rsidRPr="00301C8E">
              <w:rPr>
                <w:sz w:val="20"/>
                <w:szCs w:val="20"/>
              </w:rPr>
              <w:t>●</w:t>
            </w:r>
          </w:p>
        </w:tc>
        <w:tc>
          <w:tcPr>
            <w:tcW w:w="4818" w:type="pct"/>
            <w:hideMark/>
          </w:tcPr>
          <w:p w14:paraId="5A673C54" w14:textId="77777777" w:rsidR="001E28B4" w:rsidRPr="00301C8E" w:rsidRDefault="001E28B4" w:rsidP="004F5282">
            <w:pPr>
              <w:jc w:val="both"/>
              <w:rPr>
                <w:sz w:val="20"/>
                <w:szCs w:val="20"/>
              </w:rPr>
            </w:pPr>
            <w:r w:rsidRPr="004112BB">
              <w:rPr>
                <w:sz w:val="20"/>
                <w:szCs w:val="20"/>
              </w:rPr>
              <w:t>1,500,000 shares of common stock which are reserved for issuance under our 2020 Stock Incentive Plan, of which 962,300 shares of common stock are issuable upon exercise of outstanding options at an average exe</w:t>
            </w:r>
            <w:r>
              <w:rPr>
                <w:sz w:val="20"/>
                <w:szCs w:val="20"/>
              </w:rPr>
              <w:t>rcise price of $3.18 per share.</w:t>
            </w:r>
          </w:p>
        </w:tc>
      </w:tr>
    </w:tbl>
    <w:p w14:paraId="502A5E4E" w14:textId="77777777" w:rsidR="0087113F" w:rsidRDefault="004837DC" w:rsidP="000036AE">
      <w:pPr>
        <w:ind w:left="174" w:right="174" w:firstLine="720"/>
        <w:jc w:val="both"/>
        <w:rPr>
          <w:sz w:val="20"/>
          <w:szCs w:val="20"/>
        </w:rPr>
      </w:pPr>
      <w:r>
        <w:rPr>
          <w:sz w:val="20"/>
          <w:szCs w:val="20"/>
        </w:rPr>
        <w:t> </w:t>
      </w:r>
    </w:p>
    <w:p w14:paraId="0470B234" w14:textId="77777777" w:rsidR="0087113F" w:rsidRDefault="004837DC" w:rsidP="000036AE">
      <w:pPr>
        <w:ind w:left="174" w:right="174" w:firstLine="720"/>
        <w:jc w:val="both"/>
        <w:rPr>
          <w:sz w:val="20"/>
          <w:szCs w:val="20"/>
        </w:rPr>
      </w:pPr>
      <w:r>
        <w:rPr>
          <w:sz w:val="20"/>
          <w:szCs w:val="20"/>
        </w:rPr>
        <w:t> </w:t>
      </w:r>
    </w:p>
    <w:p w14:paraId="727127FD" w14:textId="77777777" w:rsidR="0087113F" w:rsidRDefault="004837DC" w:rsidP="000036AE">
      <w:pPr>
        <w:ind w:firstLine="720"/>
        <w:jc w:val="both"/>
      </w:pPr>
      <w:r>
        <w:rPr>
          <w:b/>
          <w:bCs/>
          <w:i/>
          <w:iCs/>
          <w:sz w:val="20"/>
          <w:szCs w:val="20"/>
        </w:rPr>
        <w:t> </w:t>
      </w:r>
      <w:r>
        <w:t> </w:t>
      </w:r>
    </w:p>
    <w:p w14:paraId="7A181077" w14:textId="77777777" w:rsidR="008A37E7" w:rsidRDefault="008A37E7">
      <w:pPr>
        <w:spacing w:before="120"/>
        <w:sectPr w:rsidR="008A37E7" w:rsidSect="00840105">
          <w:footerReference w:type="default" r:id="rId1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14:paraId="083C934E" w14:textId="77777777" w:rsidR="0087113F" w:rsidRDefault="004837DC">
      <w:pPr>
        <w:jc w:val="center"/>
        <w:rPr>
          <w:sz w:val="20"/>
          <w:szCs w:val="20"/>
        </w:rPr>
      </w:pPr>
      <w:bookmarkStart w:id="2" w:name="cr_004"/>
      <w:bookmarkEnd w:id="2"/>
      <w:r>
        <w:rPr>
          <w:b/>
          <w:bCs/>
          <w:caps/>
          <w:sz w:val="20"/>
          <w:szCs w:val="20"/>
        </w:rPr>
        <w:lastRenderedPageBreak/>
        <w:t>RISK FACTORS</w:t>
      </w:r>
    </w:p>
    <w:p w14:paraId="16EBC45F" w14:textId="77777777" w:rsidR="0087113F" w:rsidRDefault="004837DC">
      <w:pPr>
        <w:jc w:val="center"/>
        <w:rPr>
          <w:sz w:val="20"/>
          <w:szCs w:val="20"/>
        </w:rPr>
      </w:pPr>
      <w:r>
        <w:rPr>
          <w:sz w:val="20"/>
          <w:szCs w:val="20"/>
        </w:rPr>
        <w:t> </w:t>
      </w:r>
    </w:p>
    <w:p w14:paraId="6DD92A5B" w14:textId="77777777" w:rsidR="0087113F" w:rsidRDefault="004837DC">
      <w:pPr>
        <w:ind w:firstLine="720"/>
        <w:jc w:val="both"/>
        <w:rPr>
          <w:sz w:val="20"/>
          <w:szCs w:val="20"/>
        </w:rPr>
      </w:pPr>
      <w:r>
        <w:rPr>
          <w:i/>
          <w:iCs/>
          <w:sz w:val="20"/>
          <w:szCs w:val="20"/>
        </w:rPr>
        <w:t>An investment in our securities involves a high degree of risk</w:t>
      </w:r>
      <w:r w:rsidRPr="00736016">
        <w:rPr>
          <w:i/>
          <w:iCs/>
          <w:sz w:val="20"/>
          <w:szCs w:val="20"/>
        </w:rPr>
        <w:t>. Before</w:t>
      </w:r>
      <w:r>
        <w:rPr>
          <w:i/>
          <w:iCs/>
          <w:sz w:val="20"/>
          <w:szCs w:val="20"/>
        </w:rPr>
        <w:t xml:space="preserve"> making an investment decision, you should carefully consider </w:t>
      </w:r>
      <w:r w:rsidR="00840105">
        <w:rPr>
          <w:i/>
          <w:iCs/>
          <w:sz w:val="20"/>
          <w:szCs w:val="20"/>
        </w:rPr>
        <w:t>the following</w:t>
      </w:r>
      <w:r>
        <w:rPr>
          <w:i/>
          <w:iCs/>
          <w:sz w:val="20"/>
          <w:szCs w:val="20"/>
        </w:rPr>
        <w:t xml:space="preserve"> risk</w:t>
      </w:r>
      <w:r w:rsidR="00840105">
        <w:rPr>
          <w:i/>
          <w:iCs/>
          <w:sz w:val="20"/>
          <w:szCs w:val="20"/>
        </w:rPr>
        <w:t xml:space="preserve"> factor</w:t>
      </w:r>
      <w:r>
        <w:rPr>
          <w:i/>
          <w:iCs/>
          <w:sz w:val="20"/>
          <w:szCs w:val="20"/>
        </w:rPr>
        <w:t>s as well as other information we include in this prospectus. The risks and uncertainties not presently known to us or that we currently deem immaterial may also materially harm our business, operating results and financial condition and could result in a complete loss of your investment.</w:t>
      </w:r>
    </w:p>
    <w:p w14:paraId="3F3AC797" w14:textId="77777777" w:rsidR="0087113F" w:rsidRPr="005600C9" w:rsidRDefault="004837DC">
      <w:pPr>
        <w:ind w:firstLine="720"/>
        <w:jc w:val="both"/>
        <w:rPr>
          <w:sz w:val="20"/>
          <w:szCs w:val="20"/>
        </w:rPr>
      </w:pPr>
      <w:r w:rsidRPr="005600C9">
        <w:rPr>
          <w:i/>
          <w:iCs/>
          <w:sz w:val="20"/>
          <w:szCs w:val="20"/>
        </w:rPr>
        <w:t> </w:t>
      </w:r>
    </w:p>
    <w:p w14:paraId="4D07C04D" w14:textId="77777777" w:rsidR="005600C9" w:rsidRPr="005600C9" w:rsidRDefault="005600C9" w:rsidP="000036AE">
      <w:pPr>
        <w:pStyle w:val="NormalWeb"/>
        <w:keepNext/>
        <w:keepLines/>
        <w:spacing w:before="0" w:beforeAutospacing="0" w:after="0" w:afterAutospacing="0"/>
        <w:jc w:val="both"/>
        <w:rPr>
          <w:sz w:val="20"/>
          <w:szCs w:val="20"/>
        </w:rPr>
      </w:pPr>
      <w:r w:rsidRPr="005600C9">
        <w:rPr>
          <w:b/>
          <w:bCs/>
          <w:sz w:val="20"/>
          <w:szCs w:val="20"/>
        </w:rPr>
        <w:t>Risks Related to Our Business and Capital Requirements</w:t>
      </w:r>
    </w:p>
    <w:p w14:paraId="3D6918A6" w14:textId="77777777" w:rsidR="005600C9" w:rsidRPr="005600C9" w:rsidRDefault="005600C9" w:rsidP="000036AE">
      <w:pPr>
        <w:jc w:val="both"/>
        <w:rPr>
          <w:sz w:val="20"/>
          <w:szCs w:val="20"/>
        </w:rPr>
      </w:pPr>
    </w:p>
    <w:p w14:paraId="03E36782" w14:textId="77777777" w:rsidR="005600C9" w:rsidRPr="005600C9" w:rsidRDefault="005600C9" w:rsidP="000036AE">
      <w:pPr>
        <w:keepNext/>
        <w:keepLines/>
        <w:jc w:val="both"/>
        <w:rPr>
          <w:b/>
          <w:i/>
          <w:sz w:val="20"/>
          <w:szCs w:val="20"/>
        </w:rPr>
      </w:pPr>
      <w:r w:rsidRPr="005600C9">
        <w:rPr>
          <w:b/>
          <w:i/>
          <w:sz w:val="20"/>
          <w:szCs w:val="20"/>
        </w:rPr>
        <w:t>We have a history of operating losses, and we expect losses to continue for the foreseeable future.</w:t>
      </w:r>
    </w:p>
    <w:p w14:paraId="4606997A" w14:textId="77777777" w:rsidR="005600C9" w:rsidRPr="005600C9" w:rsidRDefault="005600C9" w:rsidP="000036AE">
      <w:pPr>
        <w:jc w:val="both"/>
        <w:rPr>
          <w:sz w:val="20"/>
          <w:szCs w:val="20"/>
        </w:rPr>
      </w:pPr>
    </w:p>
    <w:p w14:paraId="063AC074" w14:textId="513917F6" w:rsidR="005600C9" w:rsidRPr="005600C9" w:rsidRDefault="005600C9" w:rsidP="000036AE">
      <w:pPr>
        <w:ind w:firstLine="720"/>
        <w:jc w:val="both"/>
        <w:rPr>
          <w:sz w:val="20"/>
          <w:szCs w:val="20"/>
        </w:rPr>
      </w:pPr>
      <w:r w:rsidRPr="005600C9">
        <w:rPr>
          <w:sz w:val="20"/>
          <w:szCs w:val="20"/>
        </w:rPr>
        <w:t xml:space="preserve">As a research and development-focused company, we have had no product revenue to date and revenues from our government grants and other collaborations </w:t>
      </w:r>
      <w:r w:rsidRPr="00C56AF0">
        <w:rPr>
          <w:sz w:val="20"/>
          <w:szCs w:val="20"/>
        </w:rPr>
        <w:t>have not generated sufficient cash flows to cover operating expenses. Since our inception, we have incurred operating losses each year due to costs incurred in connection with research and development activities and general and administrative expenses associated with our operations. We incurred a net loss of</w:t>
      </w:r>
      <w:r w:rsidR="001E28B4">
        <w:rPr>
          <w:sz w:val="20"/>
          <w:szCs w:val="20"/>
        </w:rPr>
        <w:t xml:space="preserve"> $18.6 million,</w:t>
      </w:r>
      <w:r w:rsidRPr="00C56AF0">
        <w:rPr>
          <w:sz w:val="20"/>
          <w:szCs w:val="20"/>
        </w:rPr>
        <w:t xml:space="preserve"> $</w:t>
      </w:r>
      <w:r w:rsidR="00CB14FA">
        <w:rPr>
          <w:sz w:val="20"/>
          <w:szCs w:val="20"/>
        </w:rPr>
        <w:t>3</w:t>
      </w:r>
      <w:r w:rsidR="00C56AF0" w:rsidRPr="00C56AF0">
        <w:rPr>
          <w:sz w:val="20"/>
          <w:szCs w:val="20"/>
        </w:rPr>
        <w:t>.</w:t>
      </w:r>
      <w:r w:rsidR="00CB14FA">
        <w:rPr>
          <w:sz w:val="20"/>
          <w:szCs w:val="20"/>
        </w:rPr>
        <w:t>0</w:t>
      </w:r>
      <w:r w:rsidR="00C56AF0" w:rsidRPr="00C56AF0">
        <w:rPr>
          <w:sz w:val="20"/>
          <w:szCs w:val="20"/>
        </w:rPr>
        <w:t xml:space="preserve"> million, </w:t>
      </w:r>
      <w:r w:rsidR="0057793B">
        <w:rPr>
          <w:sz w:val="20"/>
          <w:szCs w:val="20"/>
        </w:rPr>
        <w:t>$2.</w:t>
      </w:r>
      <w:r w:rsidR="00CB14FA">
        <w:rPr>
          <w:sz w:val="20"/>
          <w:szCs w:val="20"/>
        </w:rPr>
        <w:t>4</w:t>
      </w:r>
      <w:r w:rsidR="0057793B">
        <w:rPr>
          <w:sz w:val="20"/>
          <w:szCs w:val="20"/>
        </w:rPr>
        <w:t xml:space="preserve"> million,</w:t>
      </w:r>
      <w:r w:rsidR="00C56AF0" w:rsidRPr="00C56AF0">
        <w:rPr>
          <w:sz w:val="20"/>
          <w:szCs w:val="20"/>
        </w:rPr>
        <w:t xml:space="preserve"> and $1.6 million</w:t>
      </w:r>
      <w:r w:rsidRPr="00C56AF0">
        <w:rPr>
          <w:sz w:val="20"/>
          <w:szCs w:val="20"/>
        </w:rPr>
        <w:t xml:space="preserve"> for the year</w:t>
      </w:r>
      <w:r w:rsidR="0057793B">
        <w:rPr>
          <w:sz w:val="20"/>
          <w:szCs w:val="20"/>
        </w:rPr>
        <w:t>s</w:t>
      </w:r>
      <w:r w:rsidRPr="00C56AF0">
        <w:rPr>
          <w:sz w:val="20"/>
          <w:szCs w:val="20"/>
        </w:rPr>
        <w:t xml:space="preserve"> ended December 31, 202</w:t>
      </w:r>
      <w:r w:rsidR="001E28B4">
        <w:rPr>
          <w:sz w:val="20"/>
          <w:szCs w:val="20"/>
        </w:rPr>
        <w:t>1</w:t>
      </w:r>
      <w:r w:rsidR="0057793B">
        <w:rPr>
          <w:sz w:val="20"/>
          <w:szCs w:val="20"/>
        </w:rPr>
        <w:t xml:space="preserve"> and 20</w:t>
      </w:r>
      <w:r w:rsidR="001E28B4">
        <w:rPr>
          <w:sz w:val="20"/>
          <w:szCs w:val="20"/>
        </w:rPr>
        <w:t>20</w:t>
      </w:r>
      <w:r w:rsidR="00C56AF0" w:rsidRPr="00C56AF0">
        <w:rPr>
          <w:sz w:val="20"/>
          <w:szCs w:val="20"/>
        </w:rPr>
        <w:t xml:space="preserve"> and the </w:t>
      </w:r>
      <w:r w:rsidR="001E28B4">
        <w:rPr>
          <w:sz w:val="20"/>
          <w:szCs w:val="20"/>
        </w:rPr>
        <w:t>three</w:t>
      </w:r>
      <w:r w:rsidR="00C56AF0" w:rsidRPr="00C56AF0">
        <w:rPr>
          <w:sz w:val="20"/>
          <w:szCs w:val="20"/>
        </w:rPr>
        <w:t xml:space="preserve"> months ended </w:t>
      </w:r>
      <w:r w:rsidR="001E28B4">
        <w:rPr>
          <w:sz w:val="20"/>
          <w:szCs w:val="20"/>
        </w:rPr>
        <w:t>March</w:t>
      </w:r>
      <w:r w:rsidR="00C56AF0" w:rsidRPr="00C56AF0">
        <w:rPr>
          <w:sz w:val="20"/>
          <w:szCs w:val="20"/>
        </w:rPr>
        <w:t xml:space="preserve"> 3</w:t>
      </w:r>
      <w:r w:rsidR="001E28B4">
        <w:rPr>
          <w:sz w:val="20"/>
          <w:szCs w:val="20"/>
        </w:rPr>
        <w:t>1</w:t>
      </w:r>
      <w:r w:rsidR="00C56AF0" w:rsidRPr="00C56AF0">
        <w:rPr>
          <w:sz w:val="20"/>
          <w:szCs w:val="20"/>
        </w:rPr>
        <w:t>, 202</w:t>
      </w:r>
      <w:r w:rsidR="001E28B4">
        <w:rPr>
          <w:sz w:val="20"/>
          <w:szCs w:val="20"/>
        </w:rPr>
        <w:t>2</w:t>
      </w:r>
      <w:r w:rsidR="00C56AF0" w:rsidRPr="00C56AF0">
        <w:rPr>
          <w:sz w:val="20"/>
          <w:szCs w:val="20"/>
        </w:rPr>
        <w:t xml:space="preserve"> and 202</w:t>
      </w:r>
      <w:r w:rsidR="001E28B4">
        <w:rPr>
          <w:sz w:val="20"/>
          <w:szCs w:val="20"/>
        </w:rPr>
        <w:t>1</w:t>
      </w:r>
      <w:r w:rsidR="00C56AF0" w:rsidRPr="00C56AF0">
        <w:rPr>
          <w:sz w:val="20"/>
          <w:szCs w:val="20"/>
        </w:rPr>
        <w:t>, respectively</w:t>
      </w:r>
      <w:r w:rsidRPr="00C56AF0">
        <w:rPr>
          <w:sz w:val="20"/>
          <w:szCs w:val="20"/>
        </w:rPr>
        <w:t>. We expect to incur additional operating losses and expect cumulative losses to increase as our research and development, preclinical</w:t>
      </w:r>
      <w:r w:rsidRPr="005600C9">
        <w:rPr>
          <w:sz w:val="20"/>
          <w:szCs w:val="20"/>
        </w:rPr>
        <w:t>, clinical, and manufacturing efforts expand. Our ability to generate revenue and achieve profitability depends on our ability to successfully complete the development of our product candidates, conduct preclinical tests and clinical trials, obtain the necessary regulatory approvals, and manufacture and market or otherwise commercialize our products. Unless we are able to successfully meet these challenges, we will not be profitable and may not remain in business.</w:t>
      </w:r>
    </w:p>
    <w:p w14:paraId="16F5E188" w14:textId="77777777" w:rsidR="005600C9" w:rsidRPr="005600C9" w:rsidRDefault="005600C9" w:rsidP="000036AE">
      <w:pPr>
        <w:jc w:val="both"/>
        <w:rPr>
          <w:sz w:val="20"/>
          <w:szCs w:val="20"/>
        </w:rPr>
      </w:pPr>
    </w:p>
    <w:p w14:paraId="71D9EB81" w14:textId="77777777" w:rsidR="005600C9" w:rsidRPr="005600C9" w:rsidRDefault="005600C9" w:rsidP="000036AE">
      <w:pPr>
        <w:jc w:val="both"/>
        <w:rPr>
          <w:b/>
          <w:i/>
          <w:sz w:val="20"/>
          <w:szCs w:val="20"/>
        </w:rPr>
      </w:pPr>
      <w:r w:rsidRPr="005600C9">
        <w:rPr>
          <w:b/>
          <w:i/>
          <w:sz w:val="20"/>
          <w:szCs w:val="20"/>
        </w:rPr>
        <w:t>Our business will require continued funding.  If we do not receive adequate funding, we may not be able to continue our operations.</w:t>
      </w:r>
    </w:p>
    <w:p w14:paraId="502CB08B" w14:textId="77777777" w:rsidR="005600C9" w:rsidRPr="005600C9" w:rsidRDefault="005600C9" w:rsidP="000036AE">
      <w:pPr>
        <w:jc w:val="both"/>
        <w:rPr>
          <w:sz w:val="20"/>
          <w:szCs w:val="20"/>
        </w:rPr>
      </w:pPr>
    </w:p>
    <w:p w14:paraId="5D7DA7ED" w14:textId="77777777" w:rsidR="005600C9" w:rsidRPr="005600C9" w:rsidRDefault="005600C9" w:rsidP="000036AE">
      <w:pPr>
        <w:ind w:firstLine="720"/>
        <w:jc w:val="both"/>
        <w:rPr>
          <w:sz w:val="20"/>
          <w:szCs w:val="20"/>
        </w:rPr>
      </w:pPr>
      <w:r w:rsidRPr="005600C9">
        <w:rPr>
          <w:sz w:val="20"/>
          <w:szCs w:val="20"/>
        </w:rPr>
        <w:t>To date, we have financed our operations principally through the sale of our equity securities and through government grants and clinical trial support. We will require substantial additional financing at various intervals for our operations, including clinical trials, operating expenses, intellectual property protection and enforcement, for pursuit of regulatory approvals, and for establishing or contracting out manufacturing, marketing and sales functions. There is no assurance that such additional funding will be available on terms acceptable to us or at all. If we are not able to secure the significant funding that is required to maintain and continue our operations at current levels, or at levels that may be required in the future, we may be required to delay clinical studies or clinical trials, curtail operations, or obtain funds through collaborative arrangements that may require us to relinquish rights to some of our products or potential markets.</w:t>
      </w:r>
    </w:p>
    <w:p w14:paraId="38A00A5C" w14:textId="77777777" w:rsidR="005600C9" w:rsidRPr="005600C9" w:rsidRDefault="005600C9" w:rsidP="000036AE">
      <w:pPr>
        <w:jc w:val="both"/>
        <w:rPr>
          <w:sz w:val="20"/>
          <w:szCs w:val="20"/>
        </w:rPr>
      </w:pPr>
    </w:p>
    <w:p w14:paraId="6EBA4E66" w14:textId="77777777" w:rsidR="005600C9" w:rsidRPr="005600C9" w:rsidRDefault="005600C9" w:rsidP="000036AE">
      <w:pPr>
        <w:ind w:firstLine="720"/>
        <w:jc w:val="both"/>
        <w:rPr>
          <w:sz w:val="20"/>
          <w:szCs w:val="20"/>
        </w:rPr>
      </w:pPr>
      <w:r w:rsidRPr="005600C9">
        <w:rPr>
          <w:sz w:val="20"/>
          <w:szCs w:val="20"/>
        </w:rPr>
        <w:t>We may pursue additional support from the federal government for our vaccine and immunotherapy development programs; however, as we progress to the later stages of our development activities, government financial support may be more difficult to obtain, or may not be available at all. Therefore, it will be necessary for us to look to other sources of funding to finance our development activities.</w:t>
      </w:r>
    </w:p>
    <w:p w14:paraId="7C5E9D3B" w14:textId="77777777" w:rsidR="005600C9" w:rsidRPr="005600C9" w:rsidRDefault="005600C9" w:rsidP="000036AE">
      <w:pPr>
        <w:jc w:val="both"/>
        <w:rPr>
          <w:sz w:val="20"/>
          <w:szCs w:val="20"/>
        </w:rPr>
      </w:pPr>
    </w:p>
    <w:p w14:paraId="54C2DC24" w14:textId="1D56D62A" w:rsidR="005600C9" w:rsidRPr="005600C9" w:rsidRDefault="005600C9" w:rsidP="000036AE">
      <w:pPr>
        <w:ind w:firstLine="720"/>
        <w:jc w:val="both"/>
        <w:rPr>
          <w:sz w:val="20"/>
          <w:szCs w:val="20"/>
        </w:rPr>
      </w:pPr>
      <w:r w:rsidRPr="005600C9">
        <w:rPr>
          <w:sz w:val="20"/>
          <w:szCs w:val="20"/>
        </w:rPr>
        <w:t>We expect that our current working capital will be sufficient to support our planned level of operations into early 202</w:t>
      </w:r>
      <w:r w:rsidR="00C60409">
        <w:rPr>
          <w:sz w:val="20"/>
          <w:szCs w:val="20"/>
        </w:rPr>
        <w:t>4</w:t>
      </w:r>
      <w:r w:rsidRPr="005600C9">
        <w:rPr>
          <w:sz w:val="20"/>
          <w:szCs w:val="20"/>
        </w:rPr>
        <w:t>. We will need to raise additional funds to significantly advance our vaccine development programs and to continue our operations. In order to meet our operating cash flow needs we plan to seek sources of non-dilutive capital through government grant programs and clinical trial support. We may also plan additional offerings of our equity securities, debt, or convertible debt instruments. Should the financing we require to sustain our working capital needs be unavailable or prohibitively expensive when we require it, the consequences could have a material adverse effect on our business, operating results, financial condition and prospects.</w:t>
      </w:r>
    </w:p>
    <w:p w14:paraId="528426B8" w14:textId="77777777" w:rsidR="005600C9" w:rsidRPr="005600C9" w:rsidRDefault="005600C9" w:rsidP="000036AE">
      <w:pPr>
        <w:jc w:val="both"/>
        <w:rPr>
          <w:sz w:val="20"/>
          <w:szCs w:val="20"/>
        </w:rPr>
      </w:pPr>
      <w:bookmarkStart w:id="3" w:name="_Hlk34733968"/>
    </w:p>
    <w:p w14:paraId="32CE5249" w14:textId="77777777" w:rsidR="005600C9" w:rsidRPr="005600C9" w:rsidRDefault="005600C9" w:rsidP="000036AE">
      <w:pPr>
        <w:jc w:val="both"/>
        <w:rPr>
          <w:sz w:val="20"/>
          <w:szCs w:val="20"/>
        </w:rPr>
      </w:pPr>
      <w:bookmarkStart w:id="4" w:name="_Hlk94007977"/>
      <w:r w:rsidRPr="005600C9">
        <w:rPr>
          <w:b/>
          <w:bCs/>
          <w:i/>
          <w:iCs/>
          <w:sz w:val="20"/>
          <w:szCs w:val="20"/>
        </w:rPr>
        <w:t xml:space="preserve">Significant disruptions of information technology systems or breaches of information security systems could adversely affect our business. </w:t>
      </w:r>
    </w:p>
    <w:bookmarkEnd w:id="4"/>
    <w:p w14:paraId="30379482" w14:textId="77777777" w:rsidR="005600C9" w:rsidRPr="005600C9" w:rsidRDefault="005600C9" w:rsidP="000036AE">
      <w:pPr>
        <w:jc w:val="both"/>
        <w:rPr>
          <w:sz w:val="20"/>
          <w:szCs w:val="20"/>
        </w:rPr>
      </w:pPr>
    </w:p>
    <w:p w14:paraId="5F491ED5" w14:textId="77777777" w:rsidR="005600C9" w:rsidRPr="005600C9" w:rsidRDefault="005600C9" w:rsidP="000036AE">
      <w:pPr>
        <w:ind w:firstLine="720"/>
        <w:jc w:val="both"/>
        <w:rPr>
          <w:sz w:val="20"/>
          <w:szCs w:val="20"/>
        </w:rPr>
      </w:pPr>
      <w:r w:rsidRPr="005600C9">
        <w:rPr>
          <w:sz w:val="20"/>
          <w:szCs w:val="20"/>
        </w:rPr>
        <w:t xml:space="preserve">We rely upon a combination of information technology systems and traditional recordkeeping to operate our business. In the ordinary course of business, we collect, store, and transmit confidential information (including, but not limited to, personal information and intellectual property). We have also outsourced elements of our operations to third parties, including elements of our information technology systems and, as a result, we manage a number of </w:t>
      </w:r>
      <w:r w:rsidRPr="005600C9">
        <w:rPr>
          <w:sz w:val="20"/>
          <w:szCs w:val="20"/>
        </w:rPr>
        <w:lastRenderedPageBreak/>
        <w:t>independent vendor relationships with third parties who may or could have access to our confidential information. Our information technology and information security systems and records are potentially vulnerable to security breaches, service interruptions, or data loss from inadvertent or intentional actions by our employees or vendors. Our information technology and information security systems and records are also potentially vulnerable to malicious attacks by third parties. Such attacks are of ever-increasing levels of sophistication and are made by groups and individuals with a wide range of expertise and motives (including, but not limited to, financial crime, industrial espionage, and market manipulation).</w:t>
      </w:r>
    </w:p>
    <w:p w14:paraId="1330C8E5" w14:textId="77777777" w:rsidR="005600C9" w:rsidRPr="005600C9" w:rsidRDefault="005600C9" w:rsidP="000036AE">
      <w:pPr>
        <w:jc w:val="both"/>
        <w:rPr>
          <w:sz w:val="20"/>
          <w:szCs w:val="20"/>
        </w:rPr>
      </w:pPr>
      <w:r w:rsidRPr="005600C9">
        <w:rPr>
          <w:sz w:val="20"/>
          <w:szCs w:val="20"/>
        </w:rPr>
        <w:t xml:space="preserve"> </w:t>
      </w:r>
    </w:p>
    <w:p w14:paraId="5197A1CD" w14:textId="77777777" w:rsidR="005600C9" w:rsidRPr="005600C9" w:rsidRDefault="005600C9" w:rsidP="000036AE">
      <w:pPr>
        <w:ind w:firstLine="720"/>
        <w:jc w:val="both"/>
        <w:rPr>
          <w:sz w:val="20"/>
          <w:szCs w:val="20"/>
        </w:rPr>
      </w:pPr>
      <w:r w:rsidRPr="005600C9">
        <w:rPr>
          <w:sz w:val="20"/>
          <w:szCs w:val="20"/>
        </w:rPr>
        <w:t>While we have invested, and continue to invest, a portion of our limited funds in our information technology and information security systems, there can be no assurance that our efforts will prevent security breaches, service interruptions, or data losses. Any security breaches, service interruptions, or data losses could adversely affect our business operations and/or result in the loss of critical or sensitive confidential information or intellectual property, and could result in financial, legal, business, and reputational harm to us or allow third parties to gain material, inside information that they may use to trade in our securities.</w:t>
      </w:r>
    </w:p>
    <w:p w14:paraId="4127208C" w14:textId="77777777" w:rsidR="005600C9" w:rsidRPr="005600C9" w:rsidRDefault="005600C9" w:rsidP="000036AE">
      <w:pPr>
        <w:jc w:val="both"/>
        <w:rPr>
          <w:sz w:val="20"/>
          <w:szCs w:val="20"/>
        </w:rPr>
      </w:pPr>
    </w:p>
    <w:p w14:paraId="151863FE" w14:textId="77777777" w:rsidR="005600C9" w:rsidRPr="005600C9" w:rsidRDefault="005600C9" w:rsidP="000036AE">
      <w:pPr>
        <w:jc w:val="both"/>
        <w:rPr>
          <w:b/>
          <w:bCs/>
          <w:i/>
          <w:iCs/>
          <w:color w:val="000000"/>
          <w:sz w:val="20"/>
          <w:szCs w:val="20"/>
        </w:rPr>
      </w:pPr>
      <w:bookmarkStart w:id="5" w:name="_Hlk94007991"/>
      <w:r w:rsidRPr="005600C9">
        <w:rPr>
          <w:b/>
          <w:bCs/>
          <w:i/>
          <w:iCs/>
          <w:color w:val="000000"/>
          <w:sz w:val="20"/>
          <w:szCs w:val="20"/>
        </w:rPr>
        <w:t>Our business could be adversely affected by widespread public health epidemics or other catastrophic events beyond our control.</w:t>
      </w:r>
    </w:p>
    <w:bookmarkEnd w:id="5"/>
    <w:p w14:paraId="63C0C589" w14:textId="77777777" w:rsidR="005600C9" w:rsidRPr="005600C9" w:rsidRDefault="005600C9" w:rsidP="000036AE">
      <w:pPr>
        <w:spacing w:line="240" w:lineRule="atLeast"/>
        <w:jc w:val="both"/>
        <w:rPr>
          <w:color w:val="000000"/>
          <w:sz w:val="20"/>
          <w:szCs w:val="20"/>
        </w:rPr>
      </w:pPr>
    </w:p>
    <w:bookmarkEnd w:id="3"/>
    <w:p w14:paraId="756716CC" w14:textId="77777777" w:rsidR="005600C9" w:rsidRPr="005600C9" w:rsidRDefault="005600C9" w:rsidP="000036AE">
      <w:pPr>
        <w:ind w:firstLine="720"/>
        <w:jc w:val="both"/>
        <w:rPr>
          <w:color w:val="000000"/>
          <w:sz w:val="20"/>
          <w:szCs w:val="20"/>
        </w:rPr>
      </w:pPr>
      <w:r w:rsidRPr="005600C9">
        <w:rPr>
          <w:color w:val="000000"/>
          <w:sz w:val="20"/>
          <w:szCs w:val="20"/>
        </w:rPr>
        <w:t>In addition to our reliance on our own employees and facilities, we depend on our collaborators, laboratories and other facilities for the continued operation of our business. Despite any precautions we take, public health epidemics, such as COVID-19, or other catastrophic events, such as natural disasters, terrorist attacks, hurricanes, fire, floods and ice and snowstorms, may result in interruptions in our business.</w:t>
      </w:r>
    </w:p>
    <w:p w14:paraId="0EE27DE2" w14:textId="77777777" w:rsidR="005600C9" w:rsidRPr="005600C9" w:rsidRDefault="005600C9" w:rsidP="000036AE">
      <w:pPr>
        <w:jc w:val="both"/>
        <w:rPr>
          <w:color w:val="000000"/>
          <w:sz w:val="20"/>
          <w:szCs w:val="20"/>
        </w:rPr>
      </w:pPr>
      <w:r w:rsidRPr="005600C9">
        <w:rPr>
          <w:color w:val="000000"/>
          <w:sz w:val="20"/>
          <w:szCs w:val="20"/>
        </w:rPr>
        <w:t xml:space="preserve"> </w:t>
      </w:r>
    </w:p>
    <w:p w14:paraId="2203FEA0" w14:textId="77777777" w:rsidR="005600C9" w:rsidRPr="005600C9" w:rsidRDefault="005600C9" w:rsidP="000036AE">
      <w:pPr>
        <w:ind w:firstLine="720"/>
        <w:jc w:val="both"/>
        <w:rPr>
          <w:color w:val="000000"/>
          <w:sz w:val="20"/>
          <w:szCs w:val="20"/>
        </w:rPr>
      </w:pPr>
      <w:r w:rsidRPr="005600C9">
        <w:rPr>
          <w:color w:val="000000"/>
          <w:sz w:val="20"/>
          <w:szCs w:val="20"/>
        </w:rPr>
        <w:t>In response to the COVID-19 pandemic, we have curtailed non-essential travel for our employees and are canceling or postponing in-person attendance at industry events. Currently, as a result of the work and travel restrictions related to the ongoing pandemic, several of our business activities are being conducted remotely which might be less effective than in-person meetings or in-office work. Despite these precautions, the necessary work within our laboratory and of our collaborators has continued without significant interruption. Although we continue to monitor the situation and may adjust our current policies as more information and guidance become available, temporarily suspending travel and limitations on doing business in-person has and could continue to negatively impact our business development efforts and create operational or other challenges, any of which could harm our business, financial condition and results of operations.</w:t>
      </w:r>
    </w:p>
    <w:p w14:paraId="0E4C0A75" w14:textId="77777777" w:rsidR="005600C9" w:rsidRPr="005600C9" w:rsidRDefault="005600C9" w:rsidP="000036AE">
      <w:pPr>
        <w:jc w:val="both"/>
        <w:rPr>
          <w:color w:val="000000"/>
          <w:sz w:val="20"/>
          <w:szCs w:val="20"/>
        </w:rPr>
      </w:pPr>
      <w:r w:rsidRPr="005600C9">
        <w:rPr>
          <w:color w:val="000000"/>
          <w:sz w:val="20"/>
          <w:szCs w:val="20"/>
        </w:rPr>
        <w:t xml:space="preserve"> </w:t>
      </w:r>
    </w:p>
    <w:p w14:paraId="1639E52D" w14:textId="77777777" w:rsidR="005600C9" w:rsidRPr="005600C9" w:rsidRDefault="005600C9" w:rsidP="000036AE">
      <w:pPr>
        <w:ind w:firstLine="720"/>
        <w:jc w:val="both"/>
        <w:rPr>
          <w:color w:val="000000"/>
          <w:sz w:val="20"/>
          <w:szCs w:val="20"/>
        </w:rPr>
      </w:pPr>
      <w:r w:rsidRPr="005600C9">
        <w:rPr>
          <w:color w:val="000000"/>
          <w:sz w:val="20"/>
          <w:szCs w:val="20"/>
        </w:rPr>
        <w:t>In addition, the COVID-19 pandemic could disrupt our operations due to absenteeism by infected or ill members of management or other employees because of our limited staffing. COVID-19 related illness could also impact members of our Board of Directors resulting in absenteeism from meetings of the directors or committees of directors, and making it more difficult to convene the quorums of the full Board of Directors or its committees needed to conduct meetings for the management of our affairs.</w:t>
      </w:r>
    </w:p>
    <w:p w14:paraId="4619AB71" w14:textId="77777777" w:rsidR="005600C9" w:rsidRPr="005600C9" w:rsidRDefault="005600C9" w:rsidP="000036AE">
      <w:pPr>
        <w:jc w:val="both"/>
        <w:rPr>
          <w:b/>
          <w:sz w:val="20"/>
          <w:szCs w:val="20"/>
        </w:rPr>
      </w:pPr>
    </w:p>
    <w:p w14:paraId="61D2DB73" w14:textId="77777777" w:rsidR="005600C9" w:rsidRPr="005600C9" w:rsidRDefault="005600C9" w:rsidP="000036AE">
      <w:pPr>
        <w:jc w:val="both"/>
        <w:rPr>
          <w:b/>
          <w:sz w:val="20"/>
          <w:szCs w:val="20"/>
        </w:rPr>
      </w:pPr>
      <w:bookmarkStart w:id="6" w:name="_Hlk94008184"/>
      <w:r w:rsidRPr="005600C9">
        <w:rPr>
          <w:b/>
          <w:sz w:val="20"/>
          <w:szCs w:val="20"/>
        </w:rPr>
        <w:t>Risks Related to Development and Commercialization of Product Candidates and Dependence on Third Parties</w:t>
      </w:r>
    </w:p>
    <w:bookmarkEnd w:id="6"/>
    <w:p w14:paraId="7139BCF7" w14:textId="77777777" w:rsidR="005600C9" w:rsidRPr="005600C9" w:rsidRDefault="005600C9" w:rsidP="000036AE">
      <w:pPr>
        <w:jc w:val="both"/>
        <w:rPr>
          <w:sz w:val="20"/>
          <w:szCs w:val="20"/>
        </w:rPr>
      </w:pPr>
    </w:p>
    <w:p w14:paraId="4F13490A" w14:textId="77777777" w:rsidR="005600C9" w:rsidRPr="005600C9" w:rsidRDefault="005600C9" w:rsidP="000036AE">
      <w:pPr>
        <w:jc w:val="both"/>
        <w:rPr>
          <w:b/>
          <w:i/>
          <w:sz w:val="20"/>
          <w:szCs w:val="20"/>
        </w:rPr>
      </w:pPr>
      <w:bookmarkStart w:id="7" w:name="_Hlk94008223"/>
      <w:r w:rsidRPr="005600C9">
        <w:rPr>
          <w:b/>
          <w:i/>
          <w:sz w:val="20"/>
          <w:szCs w:val="20"/>
        </w:rPr>
        <w:t>Our products are still being developed and are unproven. These products may not be successful.</w:t>
      </w:r>
    </w:p>
    <w:bookmarkEnd w:id="7"/>
    <w:p w14:paraId="31E5E178" w14:textId="77777777" w:rsidR="005600C9" w:rsidRPr="005600C9" w:rsidRDefault="005600C9" w:rsidP="000036AE">
      <w:pPr>
        <w:jc w:val="both"/>
        <w:rPr>
          <w:sz w:val="20"/>
          <w:szCs w:val="20"/>
        </w:rPr>
      </w:pPr>
    </w:p>
    <w:p w14:paraId="5B079474" w14:textId="77777777" w:rsidR="005600C9" w:rsidRPr="005600C9" w:rsidRDefault="005600C9" w:rsidP="000036AE">
      <w:pPr>
        <w:ind w:firstLine="720"/>
        <w:jc w:val="both"/>
        <w:rPr>
          <w:sz w:val="20"/>
          <w:szCs w:val="20"/>
        </w:rPr>
      </w:pPr>
      <w:r w:rsidRPr="005600C9">
        <w:rPr>
          <w:sz w:val="20"/>
          <w:szCs w:val="20"/>
        </w:rPr>
        <w:t>To become profitable, we must generate revenue through sales of our products. However, our products are in varying stages of development and testing. Our products have not been proven in human clinical trials and have not been approved by any government agency for sale. If we cannot successfully develop and prove our products and processes, or if we do not develop other sources of revenue, we will not become profitable and at some point, we would discontinue operations.</w:t>
      </w:r>
    </w:p>
    <w:p w14:paraId="4CD71A81" w14:textId="77777777" w:rsidR="005600C9" w:rsidRPr="005600C9" w:rsidRDefault="005600C9" w:rsidP="000036AE">
      <w:pPr>
        <w:jc w:val="both"/>
        <w:rPr>
          <w:sz w:val="20"/>
          <w:szCs w:val="20"/>
        </w:rPr>
      </w:pPr>
    </w:p>
    <w:p w14:paraId="7320A412" w14:textId="77777777" w:rsidR="005600C9" w:rsidRPr="005600C9" w:rsidRDefault="005600C9" w:rsidP="000036AE">
      <w:pPr>
        <w:jc w:val="both"/>
        <w:rPr>
          <w:b/>
          <w:i/>
          <w:sz w:val="20"/>
          <w:szCs w:val="20"/>
        </w:rPr>
      </w:pPr>
      <w:r w:rsidRPr="005600C9">
        <w:rPr>
          <w:b/>
          <w:bCs/>
          <w:i/>
          <w:iCs/>
          <w:sz w:val="20"/>
          <w:szCs w:val="20"/>
        </w:rPr>
        <w:t>We depend upon key personnel who may terminate their employment with us at any time</w:t>
      </w:r>
      <w:r w:rsidRPr="005600C9">
        <w:rPr>
          <w:b/>
          <w:i/>
          <w:sz w:val="20"/>
          <w:szCs w:val="20"/>
        </w:rPr>
        <w:t>. If we were to lose the services of any of these individuals, our business and operations may be adversely affected.</w:t>
      </w:r>
    </w:p>
    <w:p w14:paraId="4643453E" w14:textId="77777777" w:rsidR="005600C9" w:rsidRPr="005600C9" w:rsidRDefault="005600C9" w:rsidP="000036AE">
      <w:pPr>
        <w:tabs>
          <w:tab w:val="left" w:pos="1014"/>
        </w:tabs>
        <w:jc w:val="both"/>
        <w:rPr>
          <w:sz w:val="20"/>
          <w:szCs w:val="20"/>
        </w:rPr>
      </w:pPr>
    </w:p>
    <w:p w14:paraId="1DC43B5C" w14:textId="77777777" w:rsidR="005600C9" w:rsidRPr="005600C9" w:rsidRDefault="005600C9" w:rsidP="000036AE">
      <w:pPr>
        <w:ind w:firstLine="720"/>
        <w:jc w:val="both"/>
        <w:rPr>
          <w:sz w:val="20"/>
          <w:szCs w:val="20"/>
        </w:rPr>
      </w:pPr>
      <w:r w:rsidRPr="005600C9">
        <w:rPr>
          <w:sz w:val="20"/>
          <w:szCs w:val="20"/>
        </w:rPr>
        <w:t xml:space="preserve">The success of our business strategy will depend to a significant degree upon the continued services of key management, technical and scientific personnel and our ability to attract and retain additional qualified personnel and managers. Competition for qualified personnel is intense among companies, academic institutions and other organizations. The ability to attract and retain personnel is adversely affected by our financial challenges. If we are </w:t>
      </w:r>
      <w:r w:rsidRPr="005600C9">
        <w:rPr>
          <w:sz w:val="20"/>
          <w:szCs w:val="20"/>
        </w:rPr>
        <w:lastRenderedPageBreak/>
        <w:t>unable to attract and retain key personnel and advisors, it may negatively affect our ability to successfully develop, test, commercialize and market our products and product candidates.</w:t>
      </w:r>
    </w:p>
    <w:p w14:paraId="0C25F81D" w14:textId="77777777" w:rsidR="005600C9" w:rsidRPr="005600C9" w:rsidRDefault="005600C9" w:rsidP="000036AE">
      <w:pPr>
        <w:jc w:val="both"/>
        <w:rPr>
          <w:sz w:val="20"/>
          <w:szCs w:val="20"/>
        </w:rPr>
      </w:pPr>
    </w:p>
    <w:p w14:paraId="27AC3326" w14:textId="77777777" w:rsidR="005600C9" w:rsidRPr="005600C9" w:rsidRDefault="005600C9" w:rsidP="000036AE">
      <w:pPr>
        <w:jc w:val="both"/>
        <w:rPr>
          <w:b/>
          <w:i/>
          <w:sz w:val="20"/>
          <w:szCs w:val="20"/>
        </w:rPr>
      </w:pPr>
      <w:bookmarkStart w:id="8" w:name="_Hlk94008244"/>
      <w:r w:rsidRPr="005600C9">
        <w:rPr>
          <w:b/>
          <w:i/>
          <w:sz w:val="20"/>
          <w:szCs w:val="20"/>
        </w:rPr>
        <w:t>Regulatory and legal uncertainties could result in significant costs or otherwise harm our business.</w:t>
      </w:r>
    </w:p>
    <w:bookmarkEnd w:id="8"/>
    <w:p w14:paraId="1432FEA4" w14:textId="77777777" w:rsidR="005600C9" w:rsidRPr="005600C9" w:rsidRDefault="005600C9" w:rsidP="000036AE">
      <w:pPr>
        <w:jc w:val="both"/>
        <w:rPr>
          <w:sz w:val="20"/>
          <w:szCs w:val="20"/>
        </w:rPr>
      </w:pPr>
    </w:p>
    <w:p w14:paraId="035F9826" w14:textId="77777777" w:rsidR="005600C9" w:rsidRPr="005600C9" w:rsidRDefault="005600C9" w:rsidP="000036AE">
      <w:pPr>
        <w:ind w:firstLine="720"/>
        <w:jc w:val="both"/>
        <w:rPr>
          <w:sz w:val="20"/>
          <w:szCs w:val="20"/>
        </w:rPr>
      </w:pPr>
      <w:r w:rsidRPr="005600C9">
        <w:rPr>
          <w:sz w:val="20"/>
          <w:szCs w:val="20"/>
        </w:rPr>
        <w:t>To manufacture and sell our products, we must comply with extensive domestic and international regulation. In order to sell our products in the United States, approval from the U.S. Food and Drug Administration (the “FDA”) is required. Satisfaction of regulatory requirements, including FDA requirements, typically takes many years, and if approval is obtained at all, it is dependent upon the type, complexity and novelty of the product, and requires the expenditure of substantial resources. We cannot predict whether our products will be approved by the FDA. Even if they are approved, we cannot predict the time frame for approval. Foreign regulatory requirements differ from jurisdiction to jurisdiction and may, in some cases, be more stringent or difficult to meet than FDA requirements. As with the FDA, we cannot predict if or when we may obtain these regulatory approvals. If we cannot demonstrate that our products can be used safely and successfully in a broad segment of the patient population on a long-term basis, our products would likely be denied approval by the FDA and the regulatory agencies of foreign governments.</w:t>
      </w:r>
    </w:p>
    <w:p w14:paraId="055C909F" w14:textId="77777777" w:rsidR="005600C9" w:rsidRPr="005600C9" w:rsidRDefault="005600C9" w:rsidP="000036AE">
      <w:pPr>
        <w:jc w:val="both"/>
        <w:rPr>
          <w:sz w:val="20"/>
          <w:szCs w:val="20"/>
        </w:rPr>
      </w:pPr>
    </w:p>
    <w:p w14:paraId="4B24DAAF" w14:textId="77777777" w:rsidR="005600C9" w:rsidRPr="005600C9" w:rsidRDefault="005600C9" w:rsidP="000036AE">
      <w:pPr>
        <w:jc w:val="both"/>
        <w:rPr>
          <w:b/>
          <w:bCs/>
          <w:i/>
          <w:iCs/>
          <w:sz w:val="20"/>
          <w:szCs w:val="20"/>
        </w:rPr>
      </w:pPr>
      <w:r w:rsidRPr="005600C9">
        <w:rPr>
          <w:b/>
          <w:bCs/>
          <w:i/>
          <w:iCs/>
          <w:sz w:val="20"/>
          <w:szCs w:val="20"/>
        </w:rPr>
        <w:t>We face intense competition and rapid technological change that could result in products that are superior to the products we will be commercializing or developing.</w:t>
      </w:r>
    </w:p>
    <w:p w14:paraId="5FE64AE2" w14:textId="77777777" w:rsidR="005600C9" w:rsidRPr="005600C9" w:rsidRDefault="005600C9" w:rsidP="000036AE">
      <w:pPr>
        <w:jc w:val="both"/>
        <w:rPr>
          <w:sz w:val="20"/>
          <w:szCs w:val="20"/>
        </w:rPr>
      </w:pPr>
    </w:p>
    <w:p w14:paraId="20D39BBE" w14:textId="77777777" w:rsidR="005600C9" w:rsidRPr="005600C9" w:rsidRDefault="005600C9" w:rsidP="000036AE">
      <w:pPr>
        <w:ind w:firstLine="720"/>
        <w:jc w:val="both"/>
        <w:rPr>
          <w:sz w:val="20"/>
          <w:szCs w:val="20"/>
        </w:rPr>
      </w:pPr>
      <w:r w:rsidRPr="005600C9">
        <w:rPr>
          <w:sz w:val="20"/>
          <w:szCs w:val="20"/>
        </w:rPr>
        <w:t>The market for vaccines that protect against or treat human infectious diseases is intensely competitive and is subject to rapid and significant technological change. We have numerous competitors in the United States and abroad, including, among others, large companies with substantially greater resources than us. If any of our competitors develop products with efficacy or safety profiles significantly better than our products, we may not be able to commercialize our products, and sales of any of our commercialized products could be harmed. Some of our competitors and potential competitors have substantially greater product development capabilities and financial, scientific, marketing and human resources than we do. Competitors may develop products earlier, obtain FDA approvals for products more rapidly, or develop products that are more effective than those under development by us. We will seek to expand our technological capabilities to remain competitive; however, research and development by others may render our technologies or products obsolete or noncompetitive or result in treatments or cures superior to ours.</w:t>
      </w:r>
    </w:p>
    <w:p w14:paraId="710A811E" w14:textId="77777777" w:rsidR="005600C9" w:rsidRPr="005600C9" w:rsidRDefault="005600C9" w:rsidP="000036AE">
      <w:pPr>
        <w:jc w:val="both"/>
        <w:rPr>
          <w:sz w:val="20"/>
          <w:szCs w:val="20"/>
        </w:rPr>
      </w:pPr>
    </w:p>
    <w:p w14:paraId="3B084579" w14:textId="77777777" w:rsidR="005600C9" w:rsidRPr="005600C9" w:rsidRDefault="005600C9" w:rsidP="000036AE">
      <w:pPr>
        <w:jc w:val="both"/>
        <w:rPr>
          <w:b/>
          <w:i/>
          <w:sz w:val="20"/>
          <w:szCs w:val="20"/>
        </w:rPr>
      </w:pPr>
      <w:r w:rsidRPr="005600C9">
        <w:rPr>
          <w:b/>
          <w:i/>
          <w:sz w:val="20"/>
          <w:szCs w:val="20"/>
        </w:rPr>
        <w:t>Our product candidates are based on new medical technology and, consequently, are inherently risky.  Concerns about the safety and efficacy of our products could limit our future success.</w:t>
      </w:r>
    </w:p>
    <w:p w14:paraId="475E0A40" w14:textId="77777777" w:rsidR="005600C9" w:rsidRPr="005600C9" w:rsidRDefault="005600C9" w:rsidP="000036AE">
      <w:pPr>
        <w:jc w:val="both"/>
        <w:rPr>
          <w:sz w:val="20"/>
          <w:szCs w:val="20"/>
        </w:rPr>
      </w:pPr>
    </w:p>
    <w:p w14:paraId="7DBC042D" w14:textId="77777777" w:rsidR="005600C9" w:rsidRPr="005600C9" w:rsidRDefault="005600C9" w:rsidP="000036AE">
      <w:pPr>
        <w:ind w:firstLine="720"/>
        <w:jc w:val="both"/>
        <w:rPr>
          <w:sz w:val="20"/>
          <w:szCs w:val="20"/>
        </w:rPr>
      </w:pPr>
      <w:r w:rsidRPr="005600C9">
        <w:rPr>
          <w:sz w:val="20"/>
          <w:szCs w:val="20"/>
        </w:rPr>
        <w:t>We are subject to the risks of failure inherent in the development of product candidates based on new medical technologies. These risks include the possibility that the products we create will not be effective, that our product candidates will be unsafe or otherwise fail to receive the necessary regulatory approvals, and that our product candidates will be difficult to manufacture on a large scale or will be uneconomical to market.</w:t>
      </w:r>
    </w:p>
    <w:p w14:paraId="30F924C4" w14:textId="77777777" w:rsidR="005600C9" w:rsidRPr="005600C9" w:rsidRDefault="005600C9" w:rsidP="000036AE">
      <w:pPr>
        <w:jc w:val="both"/>
        <w:rPr>
          <w:sz w:val="20"/>
          <w:szCs w:val="20"/>
        </w:rPr>
      </w:pPr>
      <w:r w:rsidRPr="005600C9">
        <w:rPr>
          <w:sz w:val="20"/>
          <w:szCs w:val="20"/>
        </w:rPr>
        <w:t xml:space="preserve"> </w:t>
      </w:r>
    </w:p>
    <w:p w14:paraId="610434C4" w14:textId="77777777" w:rsidR="005600C9" w:rsidRPr="005600C9" w:rsidRDefault="005600C9" w:rsidP="000036AE">
      <w:pPr>
        <w:ind w:firstLine="720"/>
        <w:jc w:val="both"/>
        <w:rPr>
          <w:sz w:val="20"/>
          <w:szCs w:val="20"/>
        </w:rPr>
      </w:pPr>
      <w:r w:rsidRPr="005600C9">
        <w:rPr>
          <w:sz w:val="20"/>
          <w:szCs w:val="20"/>
        </w:rPr>
        <w:t>Many pharmaceutical products cause multiple potential complications and side effects, not all of which can be predicted with accuracy and many of which may vary from patient to patient. Long term follow-up data may reveal previously unidentified complications associated with our products. The responses of potential physicians and others to information about complications could materially adversely affect the market acceptance of our products, which in turn would materially harm our business.</w:t>
      </w:r>
    </w:p>
    <w:p w14:paraId="79691A91" w14:textId="77777777" w:rsidR="005600C9" w:rsidRPr="005600C9" w:rsidRDefault="005600C9" w:rsidP="000036AE">
      <w:pPr>
        <w:jc w:val="both"/>
        <w:rPr>
          <w:sz w:val="20"/>
          <w:szCs w:val="20"/>
        </w:rPr>
      </w:pPr>
    </w:p>
    <w:p w14:paraId="502D24EF" w14:textId="77777777" w:rsidR="005600C9" w:rsidRPr="005600C9" w:rsidRDefault="005600C9" w:rsidP="000036AE">
      <w:pPr>
        <w:jc w:val="both"/>
        <w:rPr>
          <w:b/>
          <w:i/>
          <w:sz w:val="20"/>
          <w:szCs w:val="20"/>
        </w:rPr>
      </w:pPr>
      <w:r w:rsidRPr="005600C9">
        <w:rPr>
          <w:b/>
          <w:i/>
          <w:sz w:val="20"/>
          <w:szCs w:val="20"/>
        </w:rPr>
        <w:t>We may experience delays in our clinical trials that could adversely affect our financial results and our commercial prospects.</w:t>
      </w:r>
    </w:p>
    <w:p w14:paraId="6EEED331" w14:textId="77777777" w:rsidR="005600C9" w:rsidRPr="005600C9" w:rsidRDefault="005600C9" w:rsidP="000036AE">
      <w:pPr>
        <w:jc w:val="both"/>
        <w:rPr>
          <w:sz w:val="20"/>
          <w:szCs w:val="20"/>
        </w:rPr>
      </w:pPr>
    </w:p>
    <w:p w14:paraId="5B28EDFE" w14:textId="77777777" w:rsidR="005600C9" w:rsidRPr="005600C9" w:rsidRDefault="005600C9" w:rsidP="000036AE">
      <w:pPr>
        <w:ind w:firstLine="720"/>
        <w:jc w:val="both"/>
        <w:rPr>
          <w:sz w:val="20"/>
          <w:szCs w:val="20"/>
        </w:rPr>
      </w:pPr>
      <w:r w:rsidRPr="005600C9">
        <w:rPr>
          <w:sz w:val="20"/>
          <w:szCs w:val="20"/>
        </w:rPr>
        <w:t>We do not know whether planned pre-clinical and clinical trials will begin on time or whether we will complete any of our trials on schedule, if at all. Product development costs will increase if we have delays in testing or approvals, or if we need to perform more or larger clinical trials than planned. Significant delays may adversely affect our financial results and the commercial prospects for our products and delay our ability to become profitable.</w:t>
      </w:r>
    </w:p>
    <w:p w14:paraId="4C3F1864" w14:textId="77777777" w:rsidR="005600C9" w:rsidRPr="005600C9" w:rsidRDefault="005600C9" w:rsidP="000036AE">
      <w:pPr>
        <w:jc w:val="both"/>
        <w:rPr>
          <w:sz w:val="20"/>
          <w:szCs w:val="20"/>
        </w:rPr>
      </w:pPr>
      <w:r w:rsidRPr="005600C9">
        <w:rPr>
          <w:sz w:val="20"/>
          <w:szCs w:val="20"/>
        </w:rPr>
        <w:t xml:space="preserve"> </w:t>
      </w:r>
    </w:p>
    <w:p w14:paraId="2B979C7B" w14:textId="77777777" w:rsidR="005600C9" w:rsidRPr="005600C9" w:rsidRDefault="005600C9" w:rsidP="000036AE">
      <w:pPr>
        <w:ind w:firstLine="720"/>
        <w:jc w:val="both"/>
        <w:rPr>
          <w:sz w:val="20"/>
          <w:szCs w:val="20"/>
        </w:rPr>
      </w:pPr>
      <w:r w:rsidRPr="005600C9">
        <w:rPr>
          <w:sz w:val="20"/>
          <w:szCs w:val="20"/>
        </w:rPr>
        <w:t xml:space="preserve">We rely heavily on independent clinical investigators, vaccine manufacturers, and other third-party service providers for successful execution of our clinical trials, but do not control many aspects of their activities. We are responsible for ensuring that each of our clinical trials is conducted in accordance with the general investigational plan </w:t>
      </w:r>
      <w:r w:rsidRPr="005600C9">
        <w:rPr>
          <w:sz w:val="20"/>
          <w:szCs w:val="20"/>
        </w:rPr>
        <w:lastRenderedPageBreak/>
        <w:t>and protocols for the trial. Moreover, the FDA requires us to comply with standards, commonly referred to as Good Clinical Practices, for conducting, recording, and reporting the results of clinical trials to assure that data and reported results are credible and accurate and that the rights, integrity and confidentiality of trial participants are protected. Our reliance on third parties that we do not control does not relieve us of these responsibilities and requirements. Third parties may not complete activities on schedule or may not conduct our clinical trials in accordance with regulatory requirements or our stated protocols. The failure of these third parties to carry out their obligations could delay or prevent the development, approval and commercialization of our product candidates.</w:t>
      </w:r>
    </w:p>
    <w:p w14:paraId="725AE097" w14:textId="77777777" w:rsidR="005600C9" w:rsidRPr="005600C9" w:rsidRDefault="005600C9" w:rsidP="000036AE">
      <w:pPr>
        <w:jc w:val="both"/>
        <w:rPr>
          <w:sz w:val="20"/>
          <w:szCs w:val="20"/>
        </w:rPr>
      </w:pPr>
    </w:p>
    <w:p w14:paraId="2366ECC1" w14:textId="77777777" w:rsidR="005600C9" w:rsidRPr="005600C9" w:rsidRDefault="005600C9" w:rsidP="000036AE">
      <w:pPr>
        <w:jc w:val="both"/>
        <w:rPr>
          <w:b/>
          <w:i/>
          <w:sz w:val="20"/>
          <w:szCs w:val="20"/>
        </w:rPr>
      </w:pPr>
      <w:bookmarkStart w:id="9" w:name="_Hlk94008319"/>
      <w:r w:rsidRPr="005600C9">
        <w:rPr>
          <w:b/>
          <w:i/>
          <w:sz w:val="20"/>
          <w:szCs w:val="20"/>
        </w:rPr>
        <w:t>Failure to obtain timely regulatory approvals required to exploit the commercial potential of our products could increase our future development costs or impair our future sales.</w:t>
      </w:r>
    </w:p>
    <w:bookmarkEnd w:id="9"/>
    <w:p w14:paraId="3E95712B" w14:textId="77777777" w:rsidR="005600C9" w:rsidRPr="005600C9" w:rsidRDefault="005600C9" w:rsidP="000036AE">
      <w:pPr>
        <w:jc w:val="both"/>
        <w:rPr>
          <w:sz w:val="20"/>
          <w:szCs w:val="20"/>
        </w:rPr>
      </w:pPr>
    </w:p>
    <w:p w14:paraId="06235C49" w14:textId="77777777" w:rsidR="005600C9" w:rsidRPr="005600C9" w:rsidRDefault="005600C9" w:rsidP="000036AE">
      <w:pPr>
        <w:ind w:firstLine="720"/>
        <w:jc w:val="both"/>
        <w:rPr>
          <w:sz w:val="20"/>
          <w:szCs w:val="20"/>
        </w:rPr>
      </w:pPr>
      <w:r w:rsidRPr="005600C9">
        <w:rPr>
          <w:sz w:val="20"/>
          <w:szCs w:val="20"/>
        </w:rPr>
        <w:t>None of our vaccines are approved by the FDA for sale in the United States or by other regulatory authorities for sale in foreign countries. To exploit the commercial potential of our technologies, we are conducting and planning to conduct additional pre-clinical studies and clinical trials. This process is expensive and can require a significant amount of time. Failure can occur at any stage of testing, even if the results are favorable. Failure to adequately demonstrate safety and efficacy in clinical trials could delay or preclude regulatory approval and restrict our ability to commercialize our technology or products. Any such failure may severely harm our business. In addition, any approvals we obtain may not cover all of the clinical indications for which approval is sought or may contain significant limitations in the form of narrow indications, warnings, precautions or contraindications with respect to conditions of use, or in the form of onerous risk management plans, restrictions on distribution, or post-approval study requirements.</w:t>
      </w:r>
    </w:p>
    <w:p w14:paraId="159811F2" w14:textId="77777777" w:rsidR="005600C9" w:rsidRPr="005600C9" w:rsidRDefault="005600C9" w:rsidP="000036AE">
      <w:pPr>
        <w:jc w:val="both"/>
        <w:rPr>
          <w:sz w:val="20"/>
          <w:szCs w:val="20"/>
        </w:rPr>
      </w:pPr>
    </w:p>
    <w:p w14:paraId="05F537F3" w14:textId="77777777" w:rsidR="005600C9" w:rsidRPr="005600C9" w:rsidRDefault="005600C9" w:rsidP="000036AE">
      <w:pPr>
        <w:jc w:val="both"/>
        <w:rPr>
          <w:b/>
          <w:i/>
          <w:sz w:val="20"/>
          <w:szCs w:val="20"/>
        </w:rPr>
      </w:pPr>
      <w:r w:rsidRPr="005600C9">
        <w:rPr>
          <w:b/>
          <w:i/>
          <w:sz w:val="20"/>
          <w:szCs w:val="20"/>
        </w:rPr>
        <w:t>State pharmaceutical marketing compliance and reporting requirements may expose us to regulatory and legal action by state governments or other government authorities.</w:t>
      </w:r>
    </w:p>
    <w:p w14:paraId="2B70203F" w14:textId="77777777" w:rsidR="005600C9" w:rsidRPr="005600C9" w:rsidRDefault="005600C9" w:rsidP="000036AE">
      <w:pPr>
        <w:jc w:val="both"/>
        <w:rPr>
          <w:sz w:val="20"/>
          <w:szCs w:val="20"/>
        </w:rPr>
      </w:pPr>
    </w:p>
    <w:p w14:paraId="0791E8DB" w14:textId="77777777" w:rsidR="005600C9" w:rsidRPr="005600C9" w:rsidRDefault="005600C9" w:rsidP="000036AE">
      <w:pPr>
        <w:ind w:firstLine="720"/>
        <w:jc w:val="both"/>
        <w:rPr>
          <w:sz w:val="20"/>
          <w:szCs w:val="20"/>
        </w:rPr>
      </w:pPr>
      <w:r w:rsidRPr="005600C9">
        <w:rPr>
          <w:sz w:val="20"/>
          <w:szCs w:val="20"/>
        </w:rPr>
        <w:t>Several states have enacted legislation requiring pharmaceutical companies to establish marketing compliance programs and file periodic reports on sales, marketing, pricing and other activities. Similar legislation is being considered in other states. Many of these requirements are new and uncertain, and available guidance is limited. Unless we are in full compliance with these laws, we could face enforcement action, fines, and other penalties and could receive adverse publicity, all of which could harm our business.</w:t>
      </w:r>
    </w:p>
    <w:p w14:paraId="039ED67B" w14:textId="77777777" w:rsidR="005600C9" w:rsidRPr="005600C9" w:rsidRDefault="005600C9" w:rsidP="000036AE">
      <w:pPr>
        <w:jc w:val="both"/>
        <w:rPr>
          <w:sz w:val="20"/>
          <w:szCs w:val="20"/>
        </w:rPr>
      </w:pPr>
    </w:p>
    <w:p w14:paraId="7F96D3A5" w14:textId="77777777" w:rsidR="005600C9" w:rsidRPr="005600C9" w:rsidRDefault="005600C9" w:rsidP="000036AE">
      <w:pPr>
        <w:jc w:val="both"/>
        <w:rPr>
          <w:sz w:val="20"/>
          <w:szCs w:val="20"/>
        </w:rPr>
      </w:pPr>
      <w:r w:rsidRPr="005600C9">
        <w:rPr>
          <w:b/>
          <w:bCs/>
          <w:i/>
          <w:iCs/>
          <w:sz w:val="20"/>
          <w:szCs w:val="20"/>
        </w:rPr>
        <w:t xml:space="preserve">Changes in healthcare law and implementing regulations, as well as changes in healthcare policy, may impact our business in ways that we cannot currently predict, and may have a significant adverse effect on our business and results of operations. </w:t>
      </w:r>
    </w:p>
    <w:p w14:paraId="58424C2A" w14:textId="77777777" w:rsidR="005600C9" w:rsidRPr="005600C9" w:rsidRDefault="005600C9" w:rsidP="000036AE">
      <w:pPr>
        <w:jc w:val="both"/>
        <w:rPr>
          <w:sz w:val="20"/>
          <w:szCs w:val="20"/>
        </w:rPr>
      </w:pPr>
    </w:p>
    <w:p w14:paraId="0270BE67" w14:textId="77777777" w:rsidR="005600C9" w:rsidRPr="005600C9" w:rsidRDefault="005600C9" w:rsidP="000036AE">
      <w:pPr>
        <w:ind w:firstLine="720"/>
        <w:jc w:val="both"/>
        <w:rPr>
          <w:sz w:val="20"/>
          <w:szCs w:val="20"/>
        </w:rPr>
      </w:pPr>
      <w:r w:rsidRPr="005600C9">
        <w:rPr>
          <w:sz w:val="20"/>
          <w:szCs w:val="20"/>
        </w:rPr>
        <w:t>In the United States and foreign jurisdictions, there have been, and continue to be, several legislative and regulatory changes and proposed changes regarding the healthcare system that could prevent or delay marketing approval of product candidates, restrict or regulate post-approval activities, and affect our ability to profitably sell any product candidates for which we obtain marketing approval. Among policy makers and payors in the United States and elsewhere, including in the European Union, there is significant interest in promoting changes in healthcare systems with the stated goals of containing healthcare costs, improving quality and/or expanding access. In the United States, the pharmaceutical industry has been a particular focus of these efforts and has been significantly affected by major legislative initiatives.</w:t>
      </w:r>
    </w:p>
    <w:p w14:paraId="3A453269" w14:textId="77777777" w:rsidR="005600C9" w:rsidRPr="005600C9" w:rsidRDefault="005600C9" w:rsidP="000036AE">
      <w:pPr>
        <w:jc w:val="both"/>
        <w:rPr>
          <w:sz w:val="20"/>
          <w:szCs w:val="20"/>
        </w:rPr>
      </w:pPr>
      <w:r w:rsidRPr="005600C9">
        <w:rPr>
          <w:sz w:val="20"/>
          <w:szCs w:val="20"/>
        </w:rPr>
        <w:t xml:space="preserve"> </w:t>
      </w:r>
    </w:p>
    <w:p w14:paraId="0BABBA72" w14:textId="77777777" w:rsidR="005600C9" w:rsidRPr="005600C9" w:rsidRDefault="005600C9" w:rsidP="000036AE">
      <w:pPr>
        <w:ind w:firstLine="720"/>
        <w:jc w:val="both"/>
        <w:rPr>
          <w:sz w:val="20"/>
          <w:szCs w:val="20"/>
        </w:rPr>
      </w:pPr>
      <w:r w:rsidRPr="005600C9">
        <w:rPr>
          <w:sz w:val="20"/>
          <w:szCs w:val="20"/>
        </w:rPr>
        <w:t>The Patient Protection and Affordable Care Act, as amended by the Health Care and Education Reconciliation Act of 2010 (collectively, the “Affordable Care Act”), substantially changed the way healthcare is financed by both the government and private insurers, and significantly impacts the U.S. pharmaceutical industry. The Affordable Care Act includes a number of provisions that are intended to lower healthcare costs, including provisions relating to prescription drug prices and government spending on medical products.</w:t>
      </w:r>
    </w:p>
    <w:p w14:paraId="561C58CA" w14:textId="77777777" w:rsidR="005600C9" w:rsidRPr="005600C9" w:rsidRDefault="005600C9" w:rsidP="000036AE">
      <w:pPr>
        <w:jc w:val="both"/>
        <w:rPr>
          <w:sz w:val="20"/>
          <w:szCs w:val="20"/>
        </w:rPr>
      </w:pPr>
      <w:r w:rsidRPr="005600C9">
        <w:rPr>
          <w:sz w:val="20"/>
          <w:szCs w:val="20"/>
        </w:rPr>
        <w:t xml:space="preserve"> </w:t>
      </w:r>
    </w:p>
    <w:p w14:paraId="18873220" w14:textId="77777777" w:rsidR="005600C9" w:rsidRPr="005600C9" w:rsidRDefault="005600C9" w:rsidP="000036AE">
      <w:pPr>
        <w:ind w:firstLine="720"/>
        <w:jc w:val="both"/>
        <w:rPr>
          <w:sz w:val="20"/>
          <w:szCs w:val="20"/>
        </w:rPr>
      </w:pPr>
      <w:r w:rsidRPr="005600C9">
        <w:rPr>
          <w:sz w:val="20"/>
          <w:szCs w:val="20"/>
        </w:rPr>
        <w:t>Since its enactment, there have also been judicial and Congressional challenges to certain aspects of the Affordable Care Act, as well as efforts by the former Trump administration to repeal or replace certain aspects of the statute. We continue to evaluate the effect that the Affordable Care Act and subsequent changes to the statute has on our business. It is uncertain the extent to which any such changes may impact our business or financial condition.</w:t>
      </w:r>
    </w:p>
    <w:p w14:paraId="159AA8F4" w14:textId="77777777" w:rsidR="005600C9" w:rsidRPr="005600C9" w:rsidRDefault="005600C9" w:rsidP="000036AE">
      <w:pPr>
        <w:jc w:val="both"/>
        <w:rPr>
          <w:sz w:val="20"/>
          <w:szCs w:val="20"/>
        </w:rPr>
      </w:pPr>
      <w:r w:rsidRPr="005600C9">
        <w:rPr>
          <w:sz w:val="20"/>
          <w:szCs w:val="20"/>
        </w:rPr>
        <w:t xml:space="preserve"> </w:t>
      </w:r>
    </w:p>
    <w:p w14:paraId="69505C60" w14:textId="77777777" w:rsidR="005600C9" w:rsidRPr="005600C9" w:rsidRDefault="005600C9" w:rsidP="000036AE">
      <w:pPr>
        <w:ind w:firstLine="720"/>
        <w:jc w:val="both"/>
        <w:rPr>
          <w:sz w:val="20"/>
          <w:szCs w:val="20"/>
        </w:rPr>
      </w:pPr>
      <w:r w:rsidRPr="005600C9">
        <w:rPr>
          <w:sz w:val="20"/>
          <w:szCs w:val="20"/>
        </w:rPr>
        <w:lastRenderedPageBreak/>
        <w:t>There has also been heightened governmental scrutiny recently over the manner in which drug manufacturers set prices for their marketed products. There have been several Congressional inquiries and proposed bills, as well as state efforts, designed to, among other things, bring more transparency to product pricing, review the relationship between pricing and manufacturer patient programs, and reform government program reimbursement methodologies for drug products. In June 2017, the FDA issued a Drug Competition Action plan intended to lower prescription drug prices by encouraging competition from generic versions of existing products. In July 2018, the FDA issued a Biosimilar Action Plan, intended to similarly promote competition to prescription biologics from biosimilars.</w:t>
      </w:r>
    </w:p>
    <w:p w14:paraId="4AF4B082" w14:textId="77777777" w:rsidR="005600C9" w:rsidRPr="005600C9" w:rsidRDefault="005600C9" w:rsidP="000036AE">
      <w:pPr>
        <w:jc w:val="both"/>
        <w:rPr>
          <w:sz w:val="20"/>
          <w:szCs w:val="20"/>
        </w:rPr>
      </w:pPr>
      <w:r w:rsidRPr="005600C9">
        <w:rPr>
          <w:sz w:val="20"/>
          <w:szCs w:val="20"/>
        </w:rPr>
        <w:t xml:space="preserve"> </w:t>
      </w:r>
    </w:p>
    <w:p w14:paraId="282438B4" w14:textId="77777777" w:rsidR="005600C9" w:rsidRPr="005600C9" w:rsidRDefault="005600C9" w:rsidP="000036AE">
      <w:pPr>
        <w:ind w:firstLine="720"/>
        <w:jc w:val="both"/>
        <w:rPr>
          <w:sz w:val="20"/>
          <w:szCs w:val="20"/>
        </w:rPr>
      </w:pPr>
      <w:r w:rsidRPr="005600C9">
        <w:rPr>
          <w:sz w:val="20"/>
          <w:szCs w:val="20"/>
        </w:rPr>
        <w:t>Individual states in the United States have also become increasingly aggressive in passing legislation and implementing regulations designed to control pharmaceutical and biological product pricing, including price or patient reimbursement constraints, discounts, restrictions on certain product access and marketing cost disclosure and transparency measures. For example, in September 2017, the California State Assembly approved SB17, which requires pharmaceutical companies to notify health insurers and government health plans at least 60 days before any scheduled increases in the prices of their products if they exceed 16% over a two-year period, and further requiring pharmaceutical companies to explain the reasons for such increase. Effective in 2016, Vermont passed a law requiring certain manufacturers identified by the state to justify their price increases.</w:t>
      </w:r>
    </w:p>
    <w:p w14:paraId="10A02431" w14:textId="77777777" w:rsidR="005600C9" w:rsidRPr="005600C9" w:rsidRDefault="005600C9" w:rsidP="000036AE">
      <w:pPr>
        <w:jc w:val="both"/>
        <w:rPr>
          <w:sz w:val="20"/>
          <w:szCs w:val="20"/>
        </w:rPr>
      </w:pPr>
      <w:r w:rsidRPr="005600C9">
        <w:rPr>
          <w:sz w:val="20"/>
          <w:szCs w:val="20"/>
        </w:rPr>
        <w:t xml:space="preserve">  </w:t>
      </w:r>
    </w:p>
    <w:p w14:paraId="6A991443" w14:textId="77777777" w:rsidR="005600C9" w:rsidRPr="005600C9" w:rsidRDefault="005600C9" w:rsidP="000036AE">
      <w:pPr>
        <w:ind w:firstLine="720"/>
        <w:jc w:val="both"/>
        <w:rPr>
          <w:sz w:val="20"/>
          <w:szCs w:val="20"/>
        </w:rPr>
      </w:pPr>
      <w:r w:rsidRPr="005600C9">
        <w:rPr>
          <w:sz w:val="20"/>
          <w:szCs w:val="20"/>
        </w:rPr>
        <w:t>We expect that these, and other healthcare reform measures that may be adopted in the future, may result in more rigorous coverage criteria and lower reimbursement, and in downward pressure on the price that we receive for any approved product. Any reduction in reimbursement from Medicare or other government-funded programs may result in a similar reduction in payments from private payors. The implementation of cost containment measures or other healthcare reforms may prevent us from being able to generate revenue, attain profitability or commercialize our drugs, once marketing approval is obtained.</w:t>
      </w:r>
    </w:p>
    <w:p w14:paraId="0DAB2B7B" w14:textId="77777777" w:rsidR="005600C9" w:rsidRPr="005600C9" w:rsidRDefault="005600C9" w:rsidP="000036AE">
      <w:pPr>
        <w:jc w:val="both"/>
        <w:rPr>
          <w:b/>
          <w:i/>
          <w:sz w:val="20"/>
          <w:szCs w:val="20"/>
        </w:rPr>
      </w:pPr>
    </w:p>
    <w:p w14:paraId="7AAFB8B0" w14:textId="77777777" w:rsidR="005600C9" w:rsidRPr="005600C9" w:rsidRDefault="005600C9" w:rsidP="000036AE">
      <w:pPr>
        <w:jc w:val="both"/>
        <w:rPr>
          <w:sz w:val="20"/>
          <w:szCs w:val="20"/>
        </w:rPr>
      </w:pPr>
      <w:r w:rsidRPr="005600C9">
        <w:rPr>
          <w:b/>
          <w:i/>
          <w:sz w:val="20"/>
          <w:szCs w:val="20"/>
        </w:rPr>
        <w:t>We may not be successful in establishing collaborations for product candidates we seek to commercialize, which could adversely affect our ability to discover, develop, and commercialize products.</w:t>
      </w:r>
    </w:p>
    <w:p w14:paraId="424D422E" w14:textId="77777777" w:rsidR="005600C9" w:rsidRPr="005600C9" w:rsidRDefault="005600C9" w:rsidP="000036AE">
      <w:pPr>
        <w:jc w:val="both"/>
        <w:rPr>
          <w:sz w:val="20"/>
          <w:szCs w:val="20"/>
        </w:rPr>
      </w:pPr>
    </w:p>
    <w:p w14:paraId="28F0BD7F" w14:textId="77777777" w:rsidR="005600C9" w:rsidRPr="005600C9" w:rsidRDefault="005600C9" w:rsidP="000036AE">
      <w:pPr>
        <w:ind w:firstLine="720"/>
        <w:jc w:val="both"/>
        <w:rPr>
          <w:sz w:val="20"/>
          <w:szCs w:val="20"/>
        </w:rPr>
      </w:pPr>
      <w:r w:rsidRPr="005600C9">
        <w:rPr>
          <w:sz w:val="20"/>
          <w:szCs w:val="20"/>
        </w:rPr>
        <w:t>We expect to seek collaborations for the development and commercialization of product candidates in the future. The timing and terms of any collaboration will depend on the evaluation by prospective collaborators of the clinical trial results and other aspects of a product’s safety and efficacy profile. If we are unable to reach agreements with suitable collaborators for any product candidate, we will be forced to fund the entire development and commercialization of such product candidates, ourselves, and we may not have the resources to do so. If resource constraints require us to enter into a collaboration agreement early in the development of a product candidate, we may be forced to accept a more limited share of any revenues the product may eventually generate. We face significant competition in seeking appropriate collaborators. Moreover, these collaboration arrangements are complex and time-consuming to negotiate and document. We may not be successful in our efforts to establish collaborations or other alternative arrangements for any product candidate. Even if we are successful in establishing collaborations, we may not be able to ensure fulfillment by collaborators of their obligations or our expectations.</w:t>
      </w:r>
    </w:p>
    <w:p w14:paraId="36A2825C" w14:textId="77777777" w:rsidR="005600C9" w:rsidRPr="005600C9" w:rsidRDefault="005600C9" w:rsidP="000036AE">
      <w:pPr>
        <w:jc w:val="both"/>
        <w:rPr>
          <w:sz w:val="20"/>
          <w:szCs w:val="20"/>
        </w:rPr>
      </w:pPr>
    </w:p>
    <w:p w14:paraId="136FD95E" w14:textId="77777777" w:rsidR="005600C9" w:rsidRPr="005600C9" w:rsidRDefault="005600C9" w:rsidP="000036AE">
      <w:pPr>
        <w:jc w:val="both"/>
        <w:rPr>
          <w:b/>
          <w:i/>
          <w:sz w:val="20"/>
          <w:szCs w:val="20"/>
        </w:rPr>
      </w:pPr>
      <w:r w:rsidRPr="005600C9">
        <w:rPr>
          <w:b/>
          <w:i/>
          <w:sz w:val="20"/>
          <w:szCs w:val="20"/>
        </w:rPr>
        <w:t>We do not have manufacturing, sales or marketing experience.</w:t>
      </w:r>
    </w:p>
    <w:p w14:paraId="44F2ABBD" w14:textId="77777777" w:rsidR="005600C9" w:rsidRPr="005600C9" w:rsidRDefault="005600C9" w:rsidP="000036AE">
      <w:pPr>
        <w:jc w:val="both"/>
        <w:rPr>
          <w:sz w:val="20"/>
          <w:szCs w:val="20"/>
        </w:rPr>
      </w:pPr>
    </w:p>
    <w:p w14:paraId="2CB33B2B" w14:textId="77777777" w:rsidR="005600C9" w:rsidRPr="005600C9" w:rsidRDefault="005600C9" w:rsidP="000036AE">
      <w:pPr>
        <w:ind w:firstLine="720"/>
        <w:jc w:val="both"/>
        <w:rPr>
          <w:sz w:val="20"/>
          <w:szCs w:val="20"/>
        </w:rPr>
      </w:pPr>
      <w:r w:rsidRPr="005600C9">
        <w:rPr>
          <w:sz w:val="20"/>
          <w:szCs w:val="20"/>
        </w:rPr>
        <w:t>We do not have experience in manufacturing, selling, or marketing. To obtain the expertise necessary to successfully manufacture, market, and sell our products, we must develop our own commercial infrastructure and/or collaborative commercial arrangements and partnerships. Our ability to execute our current operating plan is dependent on numerous factors, including, the performance of third-party collaborators with whom we may contract.</w:t>
      </w:r>
    </w:p>
    <w:p w14:paraId="72F19B5D" w14:textId="77777777" w:rsidR="005600C9" w:rsidRPr="005600C9" w:rsidRDefault="005600C9" w:rsidP="000036AE">
      <w:pPr>
        <w:jc w:val="both"/>
        <w:rPr>
          <w:sz w:val="20"/>
          <w:szCs w:val="20"/>
        </w:rPr>
      </w:pPr>
    </w:p>
    <w:p w14:paraId="39E22836" w14:textId="77777777" w:rsidR="005600C9" w:rsidRPr="005600C9" w:rsidRDefault="005600C9" w:rsidP="000036AE">
      <w:pPr>
        <w:jc w:val="both"/>
        <w:rPr>
          <w:b/>
          <w:i/>
          <w:sz w:val="20"/>
          <w:szCs w:val="20"/>
        </w:rPr>
      </w:pPr>
      <w:r w:rsidRPr="005600C9">
        <w:rPr>
          <w:b/>
          <w:i/>
          <w:sz w:val="20"/>
          <w:szCs w:val="20"/>
        </w:rPr>
        <w:t>Our products under development may not gain market acceptance.</w:t>
      </w:r>
    </w:p>
    <w:p w14:paraId="342D68F9" w14:textId="77777777" w:rsidR="005600C9" w:rsidRPr="005600C9" w:rsidRDefault="005600C9" w:rsidP="000036AE">
      <w:pPr>
        <w:jc w:val="both"/>
        <w:rPr>
          <w:sz w:val="20"/>
          <w:szCs w:val="20"/>
        </w:rPr>
      </w:pPr>
    </w:p>
    <w:p w14:paraId="4D20EBA1" w14:textId="77777777" w:rsidR="005600C9" w:rsidRDefault="005600C9" w:rsidP="000036AE">
      <w:pPr>
        <w:ind w:firstLine="720"/>
        <w:jc w:val="both"/>
        <w:rPr>
          <w:sz w:val="20"/>
          <w:szCs w:val="20"/>
        </w:rPr>
      </w:pPr>
      <w:r w:rsidRPr="005600C9">
        <w:rPr>
          <w:sz w:val="20"/>
          <w:szCs w:val="20"/>
        </w:rPr>
        <w:t>Our products may not gain market acceptance among physicians, patients, healthcare payers and the medical community.  Significant factors in determining whether we will be able to compete successfully include:</w:t>
      </w:r>
    </w:p>
    <w:p w14:paraId="02FC4ACC" w14:textId="77777777" w:rsidR="00840105" w:rsidRPr="005600C9" w:rsidRDefault="00840105" w:rsidP="000036AE">
      <w:pPr>
        <w:ind w:firstLine="360"/>
        <w:jc w:val="both"/>
        <w:rPr>
          <w:sz w:val="20"/>
          <w:szCs w:val="20"/>
        </w:rPr>
      </w:pPr>
    </w:p>
    <w:p w14:paraId="23CE1647" w14:textId="77777777" w:rsidR="00840105" w:rsidRDefault="005600C9" w:rsidP="00C73E0F">
      <w:pPr>
        <w:pStyle w:val="NormalWeb"/>
        <w:numPr>
          <w:ilvl w:val="0"/>
          <w:numId w:val="2"/>
        </w:numPr>
        <w:spacing w:before="0" w:beforeAutospacing="0" w:after="0" w:afterAutospacing="0"/>
        <w:ind w:right="864"/>
        <w:contextualSpacing/>
        <w:jc w:val="both"/>
        <w:rPr>
          <w:sz w:val="20"/>
          <w:szCs w:val="20"/>
        </w:rPr>
      </w:pPr>
      <w:r w:rsidRPr="005600C9">
        <w:rPr>
          <w:iCs/>
          <w:sz w:val="20"/>
          <w:szCs w:val="20"/>
        </w:rPr>
        <w:t>the efficacy and safety of our products</w:t>
      </w:r>
      <w:r w:rsidRPr="005600C9">
        <w:rPr>
          <w:sz w:val="20"/>
          <w:szCs w:val="20"/>
        </w:rPr>
        <w:t>;</w:t>
      </w:r>
    </w:p>
    <w:p w14:paraId="1B4BE9E9" w14:textId="77777777" w:rsidR="00840105" w:rsidRDefault="005600C9" w:rsidP="00C73E0F">
      <w:pPr>
        <w:pStyle w:val="NormalWeb"/>
        <w:numPr>
          <w:ilvl w:val="0"/>
          <w:numId w:val="2"/>
        </w:numPr>
        <w:spacing w:before="0" w:beforeAutospacing="0" w:after="0" w:afterAutospacing="0"/>
        <w:ind w:right="864"/>
        <w:contextualSpacing/>
        <w:jc w:val="both"/>
        <w:rPr>
          <w:sz w:val="20"/>
          <w:szCs w:val="20"/>
        </w:rPr>
      </w:pPr>
      <w:r w:rsidRPr="00840105">
        <w:rPr>
          <w:iCs/>
          <w:sz w:val="20"/>
          <w:szCs w:val="20"/>
        </w:rPr>
        <w:t>the time and scope of regulatory approval</w:t>
      </w:r>
      <w:r w:rsidRPr="00840105">
        <w:rPr>
          <w:sz w:val="20"/>
          <w:szCs w:val="20"/>
        </w:rPr>
        <w:t>;</w:t>
      </w:r>
    </w:p>
    <w:p w14:paraId="5E9EA05A" w14:textId="77777777" w:rsidR="00840105" w:rsidRDefault="005600C9" w:rsidP="00C73E0F">
      <w:pPr>
        <w:pStyle w:val="NormalWeb"/>
        <w:numPr>
          <w:ilvl w:val="0"/>
          <w:numId w:val="2"/>
        </w:numPr>
        <w:spacing w:before="0" w:beforeAutospacing="0" w:after="0" w:afterAutospacing="0"/>
        <w:ind w:right="864"/>
        <w:contextualSpacing/>
        <w:jc w:val="both"/>
        <w:rPr>
          <w:sz w:val="20"/>
          <w:szCs w:val="20"/>
        </w:rPr>
      </w:pPr>
      <w:r w:rsidRPr="00840105">
        <w:rPr>
          <w:iCs/>
          <w:sz w:val="20"/>
          <w:szCs w:val="20"/>
        </w:rPr>
        <w:t>reimbursement coverage from insurance companies and others</w:t>
      </w:r>
      <w:r w:rsidRPr="00840105">
        <w:rPr>
          <w:sz w:val="20"/>
          <w:szCs w:val="20"/>
        </w:rPr>
        <w:t>;</w:t>
      </w:r>
    </w:p>
    <w:p w14:paraId="2735A87F" w14:textId="77777777" w:rsidR="00840105" w:rsidRDefault="005600C9" w:rsidP="00C73E0F">
      <w:pPr>
        <w:pStyle w:val="NormalWeb"/>
        <w:numPr>
          <w:ilvl w:val="0"/>
          <w:numId w:val="2"/>
        </w:numPr>
        <w:spacing w:before="0" w:beforeAutospacing="0" w:after="0" w:afterAutospacing="0"/>
        <w:ind w:right="864"/>
        <w:contextualSpacing/>
        <w:jc w:val="both"/>
        <w:rPr>
          <w:sz w:val="20"/>
          <w:szCs w:val="20"/>
        </w:rPr>
      </w:pPr>
      <w:r w:rsidRPr="00840105">
        <w:rPr>
          <w:iCs/>
          <w:sz w:val="20"/>
          <w:szCs w:val="20"/>
        </w:rPr>
        <w:t>the price and cost</w:t>
      </w:r>
      <w:r w:rsidRPr="00840105">
        <w:rPr>
          <w:sz w:val="20"/>
          <w:szCs w:val="20"/>
        </w:rPr>
        <w:t>-effectiveness of our products, especially as compared to any competitive products; and</w:t>
      </w:r>
    </w:p>
    <w:p w14:paraId="6F4D4DE1" w14:textId="77777777" w:rsidR="005600C9" w:rsidRPr="00840105" w:rsidRDefault="005600C9" w:rsidP="00C73E0F">
      <w:pPr>
        <w:pStyle w:val="NormalWeb"/>
        <w:numPr>
          <w:ilvl w:val="0"/>
          <w:numId w:val="2"/>
        </w:numPr>
        <w:spacing w:before="0" w:beforeAutospacing="0" w:after="0" w:afterAutospacing="0"/>
        <w:ind w:right="864"/>
        <w:contextualSpacing/>
        <w:jc w:val="both"/>
        <w:rPr>
          <w:sz w:val="20"/>
          <w:szCs w:val="20"/>
        </w:rPr>
      </w:pPr>
      <w:r w:rsidRPr="00840105">
        <w:rPr>
          <w:sz w:val="20"/>
          <w:szCs w:val="20"/>
        </w:rPr>
        <w:lastRenderedPageBreak/>
        <w:t>the ability to maintain patent protection.</w:t>
      </w:r>
    </w:p>
    <w:p w14:paraId="03B1967F" w14:textId="77777777" w:rsidR="005600C9" w:rsidRPr="005600C9" w:rsidRDefault="005600C9" w:rsidP="000036AE">
      <w:pPr>
        <w:jc w:val="both"/>
        <w:rPr>
          <w:b/>
          <w:i/>
          <w:sz w:val="20"/>
          <w:szCs w:val="20"/>
        </w:rPr>
      </w:pPr>
    </w:p>
    <w:p w14:paraId="4EE72D06" w14:textId="77777777" w:rsidR="005600C9" w:rsidRPr="005600C9" w:rsidRDefault="005600C9" w:rsidP="000036AE">
      <w:pPr>
        <w:jc w:val="both"/>
        <w:rPr>
          <w:sz w:val="20"/>
          <w:szCs w:val="20"/>
        </w:rPr>
      </w:pPr>
      <w:r w:rsidRPr="005600C9">
        <w:rPr>
          <w:b/>
          <w:i/>
          <w:sz w:val="20"/>
          <w:szCs w:val="20"/>
        </w:rPr>
        <w:t>We may be required to defend lawsuits or pay damages for product liability claims.</w:t>
      </w:r>
    </w:p>
    <w:p w14:paraId="15B72370" w14:textId="77777777" w:rsidR="005600C9" w:rsidRPr="005600C9" w:rsidRDefault="005600C9" w:rsidP="000036AE">
      <w:pPr>
        <w:jc w:val="both"/>
        <w:rPr>
          <w:sz w:val="20"/>
          <w:szCs w:val="20"/>
        </w:rPr>
      </w:pPr>
    </w:p>
    <w:p w14:paraId="2DD73483" w14:textId="77777777" w:rsidR="005600C9" w:rsidRPr="005600C9" w:rsidRDefault="005600C9" w:rsidP="000036AE">
      <w:pPr>
        <w:ind w:firstLine="720"/>
        <w:jc w:val="both"/>
        <w:rPr>
          <w:sz w:val="20"/>
          <w:szCs w:val="20"/>
        </w:rPr>
      </w:pPr>
      <w:r w:rsidRPr="005600C9">
        <w:rPr>
          <w:sz w:val="20"/>
          <w:szCs w:val="20"/>
        </w:rPr>
        <w:t>Product liability is a major risk in testing and marketing biotechnology and pharmaceutical products. We may face substantial product liability exposure in human clinical trials and for products that we sell after regulatory approval. We carry product liability insurance and we expect to continue such policies. However, product liability claims, regardless of their merits, could exceed policy limits, divert management’s attention, and adversely affect our reputation and demand for our products.</w:t>
      </w:r>
    </w:p>
    <w:p w14:paraId="3406619A" w14:textId="77777777" w:rsidR="005600C9" w:rsidRPr="005600C9" w:rsidRDefault="005600C9" w:rsidP="000036AE">
      <w:pPr>
        <w:jc w:val="both"/>
        <w:rPr>
          <w:sz w:val="20"/>
          <w:szCs w:val="20"/>
        </w:rPr>
      </w:pPr>
    </w:p>
    <w:p w14:paraId="73DB2CE1" w14:textId="77777777" w:rsidR="005600C9" w:rsidRPr="005600C9" w:rsidRDefault="005600C9" w:rsidP="000036AE">
      <w:pPr>
        <w:jc w:val="both"/>
        <w:rPr>
          <w:b/>
          <w:i/>
          <w:sz w:val="20"/>
          <w:szCs w:val="20"/>
        </w:rPr>
      </w:pPr>
      <w:bookmarkStart w:id="10" w:name="_cp_text_1_62"/>
      <w:r w:rsidRPr="005600C9">
        <w:rPr>
          <w:b/>
          <w:i/>
          <w:sz w:val="20"/>
          <w:szCs w:val="20"/>
        </w:rPr>
        <w:t>Reimbursement decisions by third-party payors may have an adverse effect on pricing and market acceptance.  If there is not sufficient reimbursement for our products, it is less likely that they will be widely used.</w:t>
      </w:r>
    </w:p>
    <w:bookmarkEnd w:id="10"/>
    <w:p w14:paraId="3A55AF12" w14:textId="77777777" w:rsidR="005600C9" w:rsidRPr="005600C9" w:rsidRDefault="005600C9" w:rsidP="000036AE">
      <w:pPr>
        <w:jc w:val="both"/>
        <w:rPr>
          <w:sz w:val="20"/>
          <w:szCs w:val="20"/>
        </w:rPr>
      </w:pPr>
    </w:p>
    <w:p w14:paraId="042A1EC8" w14:textId="77777777" w:rsidR="005600C9" w:rsidRPr="005600C9" w:rsidRDefault="005600C9" w:rsidP="000036AE">
      <w:pPr>
        <w:ind w:firstLine="720"/>
        <w:jc w:val="both"/>
        <w:rPr>
          <w:sz w:val="20"/>
          <w:szCs w:val="20"/>
        </w:rPr>
      </w:pPr>
      <w:r w:rsidRPr="005600C9">
        <w:rPr>
          <w:sz w:val="20"/>
          <w:szCs w:val="20"/>
        </w:rPr>
        <w:t>Market acceptance of products we develop, if approved, will depend on reimbursement policies and may be affected by, among other things, future healthcare reform measures. Government authorities and third-party payors, such as private health insurers and health maintenance organizations, decide which drugs they will cover and establish payment levels. We cannot be certain that reimbursement will be available for any products that we may develop. Also, we cannot be certain that reimbursement policies will not reduce the demand for, or the price paid for our products. If reimbursement is not available or is available on a limited basis, we may not be able to successfully commercialize products that we develop.</w:t>
      </w:r>
    </w:p>
    <w:p w14:paraId="5EEB9EF1" w14:textId="77777777" w:rsidR="005600C9" w:rsidRPr="005600C9" w:rsidRDefault="005600C9" w:rsidP="000036AE">
      <w:pPr>
        <w:jc w:val="both"/>
        <w:rPr>
          <w:sz w:val="20"/>
          <w:szCs w:val="20"/>
        </w:rPr>
      </w:pPr>
    </w:p>
    <w:p w14:paraId="103D7DE9" w14:textId="77777777" w:rsidR="005600C9" w:rsidRPr="005600C9" w:rsidRDefault="005600C9" w:rsidP="000036AE">
      <w:pPr>
        <w:jc w:val="both"/>
        <w:rPr>
          <w:b/>
          <w:sz w:val="20"/>
          <w:szCs w:val="20"/>
        </w:rPr>
      </w:pPr>
      <w:r w:rsidRPr="005600C9">
        <w:rPr>
          <w:b/>
          <w:sz w:val="20"/>
          <w:szCs w:val="20"/>
        </w:rPr>
        <w:t>Risks Related to Our Intellectual Property</w:t>
      </w:r>
    </w:p>
    <w:p w14:paraId="22141EE0" w14:textId="77777777" w:rsidR="005600C9" w:rsidRPr="005600C9" w:rsidRDefault="005600C9" w:rsidP="000036AE">
      <w:pPr>
        <w:jc w:val="both"/>
        <w:rPr>
          <w:sz w:val="20"/>
          <w:szCs w:val="20"/>
        </w:rPr>
      </w:pPr>
    </w:p>
    <w:p w14:paraId="78F138EF" w14:textId="77777777" w:rsidR="005600C9" w:rsidRPr="005600C9" w:rsidRDefault="005600C9" w:rsidP="000036AE">
      <w:pPr>
        <w:jc w:val="both"/>
        <w:rPr>
          <w:b/>
          <w:i/>
          <w:sz w:val="20"/>
          <w:szCs w:val="20"/>
        </w:rPr>
      </w:pPr>
      <w:r w:rsidRPr="005600C9">
        <w:rPr>
          <w:b/>
          <w:i/>
          <w:sz w:val="20"/>
          <w:szCs w:val="20"/>
        </w:rPr>
        <w:t>We could lose our license rights to our important intellectual property if we do not fulfill our contractual obligations to our licensors.</w:t>
      </w:r>
    </w:p>
    <w:p w14:paraId="5922268D" w14:textId="77777777" w:rsidR="005600C9" w:rsidRPr="005600C9" w:rsidRDefault="005600C9" w:rsidP="000036AE">
      <w:pPr>
        <w:jc w:val="both"/>
        <w:rPr>
          <w:sz w:val="20"/>
          <w:szCs w:val="20"/>
        </w:rPr>
      </w:pPr>
    </w:p>
    <w:p w14:paraId="0E2DE7A3" w14:textId="77777777" w:rsidR="005600C9" w:rsidRPr="005600C9" w:rsidRDefault="005600C9" w:rsidP="000036AE">
      <w:pPr>
        <w:ind w:firstLine="720"/>
        <w:jc w:val="both"/>
        <w:rPr>
          <w:sz w:val="20"/>
          <w:szCs w:val="20"/>
        </w:rPr>
      </w:pPr>
      <w:r w:rsidRPr="005600C9">
        <w:rPr>
          <w:sz w:val="20"/>
          <w:szCs w:val="20"/>
        </w:rPr>
        <w:t>Our rights to significant parts of the technology we use in our products are licensed from third parties and are subject to termination if we do not fulfill our contractual obligations to our licensors. Termination of intellectual property rights under any of our license agreements could adversely impact our ability to produce or protect our products. Our obligations under our license agreements include requirements that we make milestone payments to our licensors upon the achievement of clinical development and regulatory approval milestones, royalties as we sell commercial products, and reimbursement of patent filing and maintenance expenses. Should we become bankrupt or otherwise unable to fulfill our contractual obligations, our licensors could terminate our rights to critical technology that we rely upon.</w:t>
      </w:r>
    </w:p>
    <w:p w14:paraId="121C07B9" w14:textId="77777777" w:rsidR="005600C9" w:rsidRPr="005600C9" w:rsidRDefault="005600C9" w:rsidP="000036AE">
      <w:pPr>
        <w:jc w:val="both"/>
        <w:rPr>
          <w:sz w:val="20"/>
          <w:szCs w:val="20"/>
        </w:rPr>
      </w:pPr>
    </w:p>
    <w:p w14:paraId="5860FDD3" w14:textId="77777777" w:rsidR="005600C9" w:rsidRPr="005600C9" w:rsidRDefault="005600C9" w:rsidP="000036AE">
      <w:pPr>
        <w:jc w:val="both"/>
        <w:rPr>
          <w:b/>
          <w:i/>
          <w:sz w:val="20"/>
          <w:szCs w:val="20"/>
        </w:rPr>
      </w:pPr>
      <w:r w:rsidRPr="005600C9">
        <w:rPr>
          <w:b/>
          <w:i/>
          <w:sz w:val="20"/>
          <w:szCs w:val="20"/>
        </w:rPr>
        <w:t>Other parties may claim that we infringe their intellectual property or proprietary rights, which could cause us to incur significant expenses or prevent us from selling products.</w:t>
      </w:r>
    </w:p>
    <w:p w14:paraId="1BF67BA5" w14:textId="77777777" w:rsidR="005600C9" w:rsidRPr="005600C9" w:rsidRDefault="005600C9" w:rsidP="000036AE">
      <w:pPr>
        <w:jc w:val="both"/>
        <w:rPr>
          <w:sz w:val="20"/>
          <w:szCs w:val="20"/>
        </w:rPr>
      </w:pPr>
    </w:p>
    <w:p w14:paraId="59F2234F" w14:textId="77777777" w:rsidR="005600C9" w:rsidRPr="005600C9" w:rsidRDefault="005600C9" w:rsidP="000036AE">
      <w:pPr>
        <w:ind w:firstLine="720"/>
        <w:jc w:val="both"/>
        <w:rPr>
          <w:sz w:val="20"/>
          <w:szCs w:val="20"/>
        </w:rPr>
      </w:pPr>
      <w:r w:rsidRPr="005600C9">
        <w:rPr>
          <w:sz w:val="20"/>
          <w:szCs w:val="20"/>
        </w:rPr>
        <w:t>Our success will depend in part on our ability to operate without infringing the patents and proprietary rights of third parties. The manufacture, use and sale of new products have been subject to substantial patent rights litigation in the pharmaceutical industry. These lawsuits generally relate to the validity and infringement of patents or proprietary rights of third parties. Infringement litigation is prevalent with respect to generic versions of products for which the patent covering the brand name product is expiring, particularly since many companies that market generic products focus their development efforts on products with expiring patents. Pharmaceutical companies, biotechnology companies, universities, research institutions or other third parties may have filed patent applications or may have been granted patents that cover aspects of our products or our licensors’ products, product candidates or other technologies.</w:t>
      </w:r>
    </w:p>
    <w:p w14:paraId="39417AA5" w14:textId="77777777" w:rsidR="005600C9" w:rsidRPr="005600C9" w:rsidRDefault="005600C9" w:rsidP="000036AE">
      <w:pPr>
        <w:jc w:val="both"/>
        <w:rPr>
          <w:sz w:val="20"/>
          <w:szCs w:val="20"/>
        </w:rPr>
      </w:pPr>
      <w:r w:rsidRPr="005600C9">
        <w:rPr>
          <w:sz w:val="20"/>
          <w:szCs w:val="20"/>
        </w:rPr>
        <w:t xml:space="preserve"> </w:t>
      </w:r>
    </w:p>
    <w:p w14:paraId="200AE9D4" w14:textId="77777777" w:rsidR="005600C9" w:rsidRPr="005600C9" w:rsidRDefault="005600C9" w:rsidP="000036AE">
      <w:pPr>
        <w:ind w:firstLine="720"/>
        <w:jc w:val="both"/>
        <w:rPr>
          <w:sz w:val="20"/>
          <w:szCs w:val="20"/>
        </w:rPr>
      </w:pPr>
      <w:r w:rsidRPr="005600C9">
        <w:rPr>
          <w:sz w:val="20"/>
          <w:szCs w:val="20"/>
        </w:rPr>
        <w:t>Future or existing patents issued to third parties may contain patent claims that conflict with those of our products. We expect to be subject to infringement claims from time to time in the ordinary course of business, and third parties could assert infringement claims against us in the future with respect to our current products or with respect to products that we may develop or license. Litigation or interference proceedings could force us to:</w:t>
      </w:r>
    </w:p>
    <w:p w14:paraId="5DB93458" w14:textId="77777777" w:rsidR="00840105" w:rsidRDefault="00840105" w:rsidP="000036AE">
      <w:pPr>
        <w:pStyle w:val="NormalWeb"/>
        <w:spacing w:before="0" w:beforeAutospacing="0" w:after="0" w:afterAutospacing="0"/>
        <w:ind w:right="864"/>
        <w:contextualSpacing/>
        <w:jc w:val="both"/>
        <w:rPr>
          <w:iCs/>
          <w:sz w:val="20"/>
          <w:szCs w:val="20"/>
        </w:rPr>
      </w:pPr>
    </w:p>
    <w:p w14:paraId="2519F501" w14:textId="77777777" w:rsidR="00840105" w:rsidRDefault="005600C9" w:rsidP="00C73E0F">
      <w:pPr>
        <w:pStyle w:val="NormalWeb"/>
        <w:numPr>
          <w:ilvl w:val="0"/>
          <w:numId w:val="3"/>
        </w:numPr>
        <w:spacing w:before="0" w:beforeAutospacing="0" w:after="0" w:afterAutospacing="0"/>
        <w:ind w:right="864"/>
        <w:contextualSpacing/>
        <w:jc w:val="both"/>
        <w:rPr>
          <w:sz w:val="20"/>
          <w:szCs w:val="20"/>
        </w:rPr>
      </w:pPr>
      <w:r w:rsidRPr="005600C9">
        <w:rPr>
          <w:iCs/>
          <w:sz w:val="20"/>
          <w:szCs w:val="20"/>
        </w:rPr>
        <w:t>stop or delay selling, manufacturing or using products that incorporate, or are made using the challenged intellectual property</w:t>
      </w:r>
      <w:r w:rsidRPr="005600C9">
        <w:rPr>
          <w:sz w:val="20"/>
          <w:szCs w:val="20"/>
        </w:rPr>
        <w:t>;</w:t>
      </w:r>
    </w:p>
    <w:p w14:paraId="6E9ACCE7" w14:textId="77777777" w:rsidR="00840105" w:rsidRDefault="005600C9" w:rsidP="00C73E0F">
      <w:pPr>
        <w:pStyle w:val="NormalWeb"/>
        <w:numPr>
          <w:ilvl w:val="0"/>
          <w:numId w:val="3"/>
        </w:numPr>
        <w:spacing w:before="0" w:beforeAutospacing="0" w:after="0" w:afterAutospacing="0"/>
        <w:ind w:right="864"/>
        <w:contextualSpacing/>
        <w:jc w:val="both"/>
        <w:rPr>
          <w:sz w:val="20"/>
          <w:szCs w:val="20"/>
        </w:rPr>
      </w:pPr>
      <w:r w:rsidRPr="00840105">
        <w:rPr>
          <w:sz w:val="20"/>
          <w:szCs w:val="20"/>
        </w:rPr>
        <w:t>pay damages; or</w:t>
      </w:r>
    </w:p>
    <w:p w14:paraId="5EE16110" w14:textId="77777777" w:rsidR="005600C9" w:rsidRPr="00840105" w:rsidRDefault="005600C9" w:rsidP="00C73E0F">
      <w:pPr>
        <w:pStyle w:val="NormalWeb"/>
        <w:numPr>
          <w:ilvl w:val="0"/>
          <w:numId w:val="3"/>
        </w:numPr>
        <w:spacing w:before="0" w:beforeAutospacing="0" w:after="0" w:afterAutospacing="0"/>
        <w:ind w:right="864"/>
        <w:contextualSpacing/>
        <w:jc w:val="both"/>
        <w:rPr>
          <w:sz w:val="20"/>
          <w:szCs w:val="20"/>
        </w:rPr>
      </w:pPr>
      <w:r w:rsidRPr="00840105">
        <w:rPr>
          <w:sz w:val="20"/>
          <w:szCs w:val="20"/>
        </w:rPr>
        <w:lastRenderedPageBreak/>
        <w:t>enter into licensing or royalty agreements that may not be available on acceptable terms, if at all.</w:t>
      </w:r>
    </w:p>
    <w:p w14:paraId="0755826D" w14:textId="77777777" w:rsidR="005600C9" w:rsidRPr="005600C9" w:rsidRDefault="005600C9" w:rsidP="000036AE">
      <w:pPr>
        <w:jc w:val="both"/>
        <w:rPr>
          <w:sz w:val="20"/>
          <w:szCs w:val="20"/>
        </w:rPr>
      </w:pPr>
    </w:p>
    <w:p w14:paraId="76793A61" w14:textId="77777777" w:rsidR="005600C9" w:rsidRPr="005600C9" w:rsidRDefault="005600C9" w:rsidP="000036AE">
      <w:pPr>
        <w:ind w:firstLine="720"/>
        <w:jc w:val="both"/>
        <w:rPr>
          <w:sz w:val="20"/>
          <w:szCs w:val="20"/>
        </w:rPr>
      </w:pPr>
      <w:r w:rsidRPr="005600C9">
        <w:rPr>
          <w:sz w:val="20"/>
          <w:szCs w:val="20"/>
        </w:rPr>
        <w:t>Any litigation or interference proceedings, regardless of their outcome, would likely delay the regulatory approval process, be costly and require significant time and attention of our key management and technical personnel.</w:t>
      </w:r>
    </w:p>
    <w:p w14:paraId="23C19094" w14:textId="77777777" w:rsidR="005600C9" w:rsidRPr="005600C9" w:rsidRDefault="005600C9" w:rsidP="000036AE">
      <w:pPr>
        <w:jc w:val="both"/>
        <w:rPr>
          <w:sz w:val="20"/>
          <w:szCs w:val="20"/>
        </w:rPr>
      </w:pPr>
    </w:p>
    <w:p w14:paraId="53D442A0" w14:textId="77777777" w:rsidR="005600C9" w:rsidRPr="005600C9" w:rsidRDefault="005600C9" w:rsidP="000036AE">
      <w:pPr>
        <w:jc w:val="both"/>
        <w:rPr>
          <w:b/>
          <w:i/>
          <w:sz w:val="20"/>
          <w:szCs w:val="20"/>
        </w:rPr>
      </w:pPr>
      <w:r w:rsidRPr="005600C9">
        <w:rPr>
          <w:b/>
          <w:i/>
          <w:sz w:val="20"/>
          <w:szCs w:val="20"/>
        </w:rPr>
        <w:t>Any inability to protect intellectual property rights in the United States and foreign countries could limit our ability to manufacture or sell products.</w:t>
      </w:r>
    </w:p>
    <w:p w14:paraId="110CCB32" w14:textId="77777777" w:rsidR="005600C9" w:rsidRPr="005600C9" w:rsidRDefault="005600C9" w:rsidP="000036AE">
      <w:pPr>
        <w:jc w:val="both"/>
        <w:rPr>
          <w:sz w:val="20"/>
          <w:szCs w:val="20"/>
        </w:rPr>
      </w:pPr>
      <w:r w:rsidRPr="005600C9">
        <w:rPr>
          <w:sz w:val="20"/>
          <w:szCs w:val="20"/>
        </w:rPr>
        <w:t> </w:t>
      </w:r>
    </w:p>
    <w:p w14:paraId="32DBF330" w14:textId="77777777" w:rsidR="005600C9" w:rsidRPr="005600C9" w:rsidRDefault="005600C9" w:rsidP="000036AE">
      <w:pPr>
        <w:ind w:firstLine="720"/>
        <w:jc w:val="both"/>
        <w:rPr>
          <w:sz w:val="20"/>
          <w:szCs w:val="20"/>
        </w:rPr>
      </w:pPr>
      <w:r w:rsidRPr="005600C9">
        <w:rPr>
          <w:sz w:val="20"/>
          <w:szCs w:val="20"/>
        </w:rPr>
        <w:t>We will rely on trade secrets, unpatented proprietary know-how, continuing technological innovation and, in some cases, patent protection to preserve our competitive position. Our patents and licensed patent rights may be challenged, invalidated, infringed or circumvented, and the rights granted in those patents may not provide proprietary protection or competitive advantages to us. We and our licensors may not be able to develop patentable products with acceptable patent protection. Even if patent claims are allowed, the claims may not issue, or in the event of issuance, may not be sufficient to protect the technology owned by or licensed to us. If patents containing competitive or conflicting claims are issued to third parties, we may be prevented from commercializing the products covered by such patents or may be required to obtain or develop alternate technology. In addition, other parties may duplicate, design around or independently develop similar or alternative technologies.</w:t>
      </w:r>
    </w:p>
    <w:p w14:paraId="3B0D50DA" w14:textId="77777777" w:rsidR="005600C9" w:rsidRPr="005600C9" w:rsidRDefault="005600C9" w:rsidP="000036AE">
      <w:pPr>
        <w:jc w:val="both"/>
        <w:rPr>
          <w:sz w:val="20"/>
          <w:szCs w:val="20"/>
        </w:rPr>
      </w:pPr>
      <w:r w:rsidRPr="005600C9">
        <w:rPr>
          <w:sz w:val="20"/>
          <w:szCs w:val="20"/>
        </w:rPr>
        <w:t xml:space="preserve"> </w:t>
      </w:r>
    </w:p>
    <w:p w14:paraId="08E3A1ED" w14:textId="77777777" w:rsidR="005600C9" w:rsidRPr="005600C9" w:rsidRDefault="005600C9" w:rsidP="000036AE">
      <w:pPr>
        <w:ind w:firstLine="720"/>
        <w:jc w:val="both"/>
        <w:rPr>
          <w:sz w:val="20"/>
          <w:szCs w:val="20"/>
        </w:rPr>
      </w:pPr>
      <w:r w:rsidRPr="005600C9">
        <w:rPr>
          <w:sz w:val="20"/>
          <w:szCs w:val="20"/>
        </w:rPr>
        <w:t>We may not be able to prevent third parties from infringing or using our intellectual property, and the parties from whom we may license intellectual property may not be able to prevent third parties from infringing or using the licensed intellectual property. We generally attempt to control and limit access to, and the distribution of, our product documentation and other proprietary information. Despite efforts to protect this proprietary information, unauthorized parties may obtain and use information that we may regard as proprietary. Other parties may independently develop similar know-how or may even obtain access to these technologies.</w:t>
      </w:r>
    </w:p>
    <w:p w14:paraId="1FC7B5B3" w14:textId="77777777" w:rsidR="005600C9" w:rsidRPr="005600C9" w:rsidRDefault="005600C9" w:rsidP="000036AE">
      <w:pPr>
        <w:jc w:val="both"/>
        <w:rPr>
          <w:sz w:val="20"/>
          <w:szCs w:val="20"/>
        </w:rPr>
      </w:pPr>
      <w:r w:rsidRPr="005600C9">
        <w:rPr>
          <w:sz w:val="20"/>
          <w:szCs w:val="20"/>
        </w:rPr>
        <w:t xml:space="preserve"> </w:t>
      </w:r>
    </w:p>
    <w:p w14:paraId="4B925B22" w14:textId="77777777" w:rsidR="005600C9" w:rsidRPr="005600C9" w:rsidRDefault="005600C9" w:rsidP="000036AE">
      <w:pPr>
        <w:ind w:firstLine="720"/>
        <w:jc w:val="both"/>
        <w:rPr>
          <w:sz w:val="20"/>
          <w:szCs w:val="20"/>
        </w:rPr>
      </w:pPr>
      <w:r w:rsidRPr="005600C9">
        <w:rPr>
          <w:sz w:val="20"/>
          <w:szCs w:val="20"/>
        </w:rPr>
        <w:t>The laws of some foreign countries do not protect proprietary information to the same extent as the laws of the United States, and many companies have encountered significant problems and costs in protecting their proprietary information in these foreign countries.</w:t>
      </w:r>
    </w:p>
    <w:p w14:paraId="48BF0FA7" w14:textId="77777777" w:rsidR="005600C9" w:rsidRPr="005600C9" w:rsidRDefault="005600C9" w:rsidP="000036AE">
      <w:pPr>
        <w:jc w:val="both"/>
        <w:rPr>
          <w:sz w:val="20"/>
          <w:szCs w:val="20"/>
        </w:rPr>
      </w:pPr>
      <w:r w:rsidRPr="005600C9">
        <w:rPr>
          <w:sz w:val="20"/>
          <w:szCs w:val="20"/>
        </w:rPr>
        <w:t xml:space="preserve"> </w:t>
      </w:r>
    </w:p>
    <w:p w14:paraId="64C84D83" w14:textId="77777777" w:rsidR="005600C9" w:rsidRPr="005600C9" w:rsidRDefault="005600C9" w:rsidP="000036AE">
      <w:pPr>
        <w:ind w:firstLine="720"/>
        <w:jc w:val="both"/>
        <w:rPr>
          <w:sz w:val="20"/>
          <w:szCs w:val="20"/>
        </w:rPr>
      </w:pPr>
      <w:r w:rsidRPr="005600C9">
        <w:rPr>
          <w:sz w:val="20"/>
          <w:szCs w:val="20"/>
        </w:rPr>
        <w:t>Neither the U.S. Patent and Trademark Office nor the courts have established a consistent policy regarding the breadth of claims allowed in pharmaceutical patents. The allowance of broader claims may increase the incidence and cost of patent interference proceedings and the risk of infringement litigation. On the other hand, the allowance of narrower claims may limit the value of our proprietary rights.</w:t>
      </w:r>
    </w:p>
    <w:p w14:paraId="73527E3E" w14:textId="77777777" w:rsidR="005600C9" w:rsidRPr="005600C9" w:rsidRDefault="005600C9" w:rsidP="000036AE">
      <w:pPr>
        <w:jc w:val="both"/>
        <w:rPr>
          <w:sz w:val="20"/>
          <w:szCs w:val="20"/>
        </w:rPr>
      </w:pPr>
    </w:p>
    <w:p w14:paraId="3EC200B1" w14:textId="77777777" w:rsidR="005600C9" w:rsidRPr="005600C9" w:rsidRDefault="005600C9" w:rsidP="000036AE">
      <w:pPr>
        <w:jc w:val="both"/>
        <w:rPr>
          <w:b/>
          <w:bCs/>
          <w:sz w:val="20"/>
          <w:szCs w:val="20"/>
        </w:rPr>
      </w:pPr>
      <w:r w:rsidRPr="005600C9">
        <w:rPr>
          <w:b/>
          <w:bCs/>
          <w:sz w:val="20"/>
          <w:szCs w:val="20"/>
        </w:rPr>
        <w:t>Risks Related to Our Common Stock</w:t>
      </w:r>
    </w:p>
    <w:p w14:paraId="33A15CFE" w14:textId="77777777" w:rsidR="005600C9" w:rsidRPr="005600C9" w:rsidRDefault="005600C9" w:rsidP="000036AE">
      <w:pPr>
        <w:jc w:val="both"/>
        <w:rPr>
          <w:sz w:val="20"/>
          <w:szCs w:val="20"/>
        </w:rPr>
      </w:pPr>
    </w:p>
    <w:p w14:paraId="50795C2E" w14:textId="77777777" w:rsidR="005600C9" w:rsidRPr="005600C9" w:rsidRDefault="005600C9" w:rsidP="000036AE">
      <w:pPr>
        <w:jc w:val="both"/>
        <w:rPr>
          <w:b/>
          <w:bCs/>
          <w:i/>
          <w:iCs/>
          <w:sz w:val="20"/>
          <w:szCs w:val="20"/>
        </w:rPr>
      </w:pPr>
      <w:r w:rsidRPr="005600C9">
        <w:rPr>
          <w:b/>
          <w:bCs/>
          <w:i/>
          <w:iCs/>
          <w:sz w:val="20"/>
          <w:szCs w:val="20"/>
        </w:rPr>
        <w:t>The market price of our common stock is highly volatile.</w:t>
      </w:r>
    </w:p>
    <w:p w14:paraId="5AD23DBB" w14:textId="77777777" w:rsidR="005600C9" w:rsidRPr="005600C9" w:rsidRDefault="005600C9" w:rsidP="000036AE">
      <w:pPr>
        <w:jc w:val="both"/>
        <w:rPr>
          <w:sz w:val="20"/>
          <w:szCs w:val="20"/>
        </w:rPr>
      </w:pPr>
      <w:r w:rsidRPr="005600C9">
        <w:rPr>
          <w:sz w:val="20"/>
          <w:szCs w:val="20"/>
        </w:rPr>
        <w:t> </w:t>
      </w:r>
    </w:p>
    <w:p w14:paraId="4E9713C9" w14:textId="77777777" w:rsidR="005600C9" w:rsidRPr="005600C9" w:rsidRDefault="005600C9" w:rsidP="000036AE">
      <w:pPr>
        <w:ind w:firstLine="720"/>
        <w:jc w:val="both"/>
        <w:rPr>
          <w:sz w:val="20"/>
          <w:szCs w:val="20"/>
        </w:rPr>
      </w:pPr>
      <w:r w:rsidRPr="005600C9">
        <w:rPr>
          <w:sz w:val="20"/>
          <w:szCs w:val="20"/>
        </w:rPr>
        <w:t>The market price of our common stock has been, and is expected to continue to be, highly volatile. Certain factors, including announcements of new developments by us or other companies, regulatory matters, new or existing medicines or procedures, concerns about our financial position, operating results, litigation, government regulation, developments or disputes relating to agreements, patents or proprietary rights, may have a significant impact on the market price of our stock. In addition, potential dilutive effects of future sales of shares of common stock by us, and subsequent sales of common stock by the holders of our options and warrants could have an adverse effect on the market price of our shares.</w:t>
      </w:r>
    </w:p>
    <w:p w14:paraId="14DEF298" w14:textId="77777777" w:rsidR="005600C9" w:rsidRPr="005600C9" w:rsidRDefault="005600C9" w:rsidP="000036AE">
      <w:pPr>
        <w:jc w:val="both"/>
        <w:rPr>
          <w:sz w:val="20"/>
          <w:szCs w:val="20"/>
        </w:rPr>
      </w:pPr>
      <w:r w:rsidRPr="005600C9">
        <w:rPr>
          <w:sz w:val="20"/>
          <w:szCs w:val="20"/>
        </w:rPr>
        <w:t xml:space="preserve"> </w:t>
      </w:r>
    </w:p>
    <w:p w14:paraId="480D6C43" w14:textId="77777777" w:rsidR="005600C9" w:rsidRPr="005600C9" w:rsidRDefault="005600C9" w:rsidP="000036AE">
      <w:pPr>
        <w:ind w:firstLine="720"/>
        <w:jc w:val="both"/>
        <w:rPr>
          <w:sz w:val="20"/>
          <w:szCs w:val="20"/>
        </w:rPr>
      </w:pPr>
      <w:r w:rsidRPr="005600C9">
        <w:rPr>
          <w:sz w:val="20"/>
          <w:szCs w:val="20"/>
        </w:rPr>
        <w:t>In addition, the securities markets from time-to-time experience significant price and volume fluctuations that are unrelated to the operating performance of particular companies. These market fluctuations may also materially and adversely affect the market price of our common stock.</w:t>
      </w:r>
    </w:p>
    <w:p w14:paraId="45FF2546" w14:textId="77777777" w:rsidR="005600C9" w:rsidRPr="005600C9" w:rsidRDefault="005600C9" w:rsidP="000036AE">
      <w:pPr>
        <w:jc w:val="both"/>
        <w:rPr>
          <w:sz w:val="20"/>
          <w:szCs w:val="20"/>
        </w:rPr>
      </w:pPr>
      <w:r w:rsidRPr="005600C9">
        <w:rPr>
          <w:sz w:val="20"/>
          <w:szCs w:val="20"/>
        </w:rPr>
        <w:t> </w:t>
      </w:r>
    </w:p>
    <w:p w14:paraId="6845CD96" w14:textId="77777777" w:rsidR="005600C9" w:rsidRPr="005600C9" w:rsidRDefault="005600C9" w:rsidP="000036AE">
      <w:pPr>
        <w:jc w:val="both"/>
        <w:rPr>
          <w:b/>
          <w:i/>
          <w:sz w:val="20"/>
          <w:szCs w:val="20"/>
        </w:rPr>
      </w:pPr>
      <w:r w:rsidRPr="005600C9">
        <w:rPr>
          <w:b/>
          <w:i/>
          <w:sz w:val="20"/>
          <w:szCs w:val="20"/>
        </w:rPr>
        <w:t>The sale or issuance of additional shares of our common stock or other equity securities could result in additional dilution to our stockholders.</w:t>
      </w:r>
    </w:p>
    <w:p w14:paraId="58ECE78E" w14:textId="77777777" w:rsidR="005600C9" w:rsidRPr="005600C9" w:rsidRDefault="005600C9" w:rsidP="000036AE">
      <w:pPr>
        <w:jc w:val="both"/>
        <w:rPr>
          <w:sz w:val="20"/>
          <w:szCs w:val="20"/>
        </w:rPr>
      </w:pPr>
      <w:r w:rsidRPr="005600C9">
        <w:rPr>
          <w:sz w:val="20"/>
          <w:szCs w:val="20"/>
        </w:rPr>
        <w:t> </w:t>
      </w:r>
    </w:p>
    <w:p w14:paraId="137C1A4A" w14:textId="77777777" w:rsidR="005600C9" w:rsidRPr="005600C9" w:rsidRDefault="005600C9" w:rsidP="000036AE">
      <w:pPr>
        <w:ind w:firstLine="720"/>
        <w:jc w:val="both"/>
        <w:rPr>
          <w:sz w:val="20"/>
          <w:szCs w:val="20"/>
        </w:rPr>
      </w:pPr>
      <w:r w:rsidRPr="005600C9">
        <w:rPr>
          <w:sz w:val="20"/>
          <w:szCs w:val="20"/>
        </w:rPr>
        <w:t xml:space="preserve">In order to meet our operating cash flow needs, we may plan additional offerings of our equity securities, debt, or convertible debt instruments. The sale of additional equity securities could result in significant additional </w:t>
      </w:r>
      <w:r w:rsidRPr="005600C9">
        <w:rPr>
          <w:sz w:val="20"/>
          <w:szCs w:val="20"/>
        </w:rPr>
        <w:lastRenderedPageBreak/>
        <w:t>dilution to our stockholders. The incurrence of indebtedness could result in debt service obligations and operating and financing covenants that would restrict our operations. We cannot assure investors that financing will be available in amounts or on terms acceptable to us, if at all.</w:t>
      </w:r>
    </w:p>
    <w:p w14:paraId="1B094B59" w14:textId="77777777" w:rsidR="005600C9" w:rsidRPr="005600C9" w:rsidRDefault="005600C9" w:rsidP="000036AE">
      <w:pPr>
        <w:jc w:val="both"/>
        <w:rPr>
          <w:sz w:val="20"/>
          <w:szCs w:val="20"/>
        </w:rPr>
      </w:pPr>
    </w:p>
    <w:p w14:paraId="4E9C4D3A" w14:textId="34E32842" w:rsidR="005600C9" w:rsidRPr="005600C9" w:rsidRDefault="005600C9" w:rsidP="000036AE">
      <w:pPr>
        <w:ind w:firstLine="720"/>
        <w:jc w:val="both"/>
        <w:rPr>
          <w:sz w:val="20"/>
          <w:szCs w:val="20"/>
        </w:rPr>
      </w:pPr>
      <w:r w:rsidRPr="005600C9">
        <w:rPr>
          <w:sz w:val="20"/>
          <w:szCs w:val="20"/>
        </w:rPr>
        <w:t xml:space="preserve">We are obligated to issue additional shares of our common stock in connection with our outstanding warrants if the warrant holders choose to exercise them. There are outstanding </w:t>
      </w:r>
      <w:r w:rsidR="003147F5">
        <w:rPr>
          <w:sz w:val="20"/>
          <w:szCs w:val="20"/>
        </w:rPr>
        <w:t>P</w:t>
      </w:r>
      <w:r w:rsidRPr="005600C9">
        <w:rPr>
          <w:sz w:val="20"/>
          <w:szCs w:val="20"/>
        </w:rPr>
        <w:t>re-</w:t>
      </w:r>
      <w:r w:rsidR="003147F5">
        <w:rPr>
          <w:sz w:val="20"/>
          <w:szCs w:val="20"/>
        </w:rPr>
        <w:t>F</w:t>
      </w:r>
      <w:r w:rsidRPr="005600C9">
        <w:rPr>
          <w:sz w:val="20"/>
          <w:szCs w:val="20"/>
        </w:rPr>
        <w:t xml:space="preserve">unded </w:t>
      </w:r>
      <w:r w:rsidR="00EA11DF">
        <w:rPr>
          <w:sz w:val="20"/>
          <w:szCs w:val="20"/>
        </w:rPr>
        <w:t>W</w:t>
      </w:r>
      <w:r w:rsidRPr="005600C9">
        <w:rPr>
          <w:sz w:val="20"/>
          <w:szCs w:val="20"/>
        </w:rPr>
        <w:t xml:space="preserve">arrants exercisable for </w:t>
      </w:r>
      <w:r w:rsidR="00EA11DF">
        <w:rPr>
          <w:sz w:val="20"/>
          <w:szCs w:val="20"/>
        </w:rPr>
        <w:t>9,090,910</w:t>
      </w:r>
      <w:r w:rsidRPr="005600C9">
        <w:rPr>
          <w:sz w:val="20"/>
          <w:szCs w:val="20"/>
        </w:rPr>
        <w:t xml:space="preserve"> shares at a nominal exercise price, and other outstanding warrants are exercisable for </w:t>
      </w:r>
      <w:r w:rsidR="00D240C8">
        <w:rPr>
          <w:sz w:val="20"/>
          <w:szCs w:val="20"/>
        </w:rPr>
        <w:t>18,005,329</w:t>
      </w:r>
      <w:r w:rsidRPr="005600C9">
        <w:rPr>
          <w:sz w:val="20"/>
          <w:szCs w:val="20"/>
        </w:rPr>
        <w:t xml:space="preserve"> shares at exercise prices ranging from $</w:t>
      </w:r>
      <w:r w:rsidR="00EA11DF">
        <w:rPr>
          <w:sz w:val="20"/>
          <w:szCs w:val="20"/>
        </w:rPr>
        <w:t>1.65</w:t>
      </w:r>
      <w:r w:rsidRPr="005600C9">
        <w:rPr>
          <w:sz w:val="20"/>
          <w:szCs w:val="20"/>
        </w:rPr>
        <w:t xml:space="preserve"> to $13.00 per share. The exercise of these warrants will cause us to issue additional shares of our common stock and will dilute the percentage ownership of our shareholders.</w:t>
      </w:r>
    </w:p>
    <w:p w14:paraId="5D4B973D" w14:textId="77777777" w:rsidR="005600C9" w:rsidRPr="005600C9" w:rsidRDefault="005600C9" w:rsidP="000036AE">
      <w:pPr>
        <w:jc w:val="both"/>
        <w:rPr>
          <w:sz w:val="20"/>
          <w:szCs w:val="20"/>
        </w:rPr>
      </w:pPr>
    </w:p>
    <w:p w14:paraId="37F5F1F3" w14:textId="77777777" w:rsidR="005600C9" w:rsidRPr="005600C9" w:rsidRDefault="005600C9" w:rsidP="000036AE">
      <w:pPr>
        <w:jc w:val="both"/>
        <w:rPr>
          <w:b/>
          <w:i/>
          <w:sz w:val="20"/>
          <w:szCs w:val="20"/>
        </w:rPr>
      </w:pPr>
      <w:r w:rsidRPr="005600C9">
        <w:rPr>
          <w:b/>
          <w:i/>
          <w:sz w:val="20"/>
          <w:szCs w:val="20"/>
        </w:rPr>
        <w:t>Certain provisions of our certificate of incorporation which authorize the issuance of shares of preferred stock may make it more difficult for a third party to effect a change in control.</w:t>
      </w:r>
    </w:p>
    <w:p w14:paraId="714FDB9B" w14:textId="77777777" w:rsidR="005600C9" w:rsidRPr="005600C9" w:rsidRDefault="005600C9" w:rsidP="000036AE">
      <w:pPr>
        <w:jc w:val="both"/>
        <w:rPr>
          <w:sz w:val="20"/>
          <w:szCs w:val="20"/>
        </w:rPr>
      </w:pPr>
      <w:r w:rsidRPr="005600C9">
        <w:rPr>
          <w:sz w:val="20"/>
          <w:szCs w:val="20"/>
        </w:rPr>
        <w:t> </w:t>
      </w:r>
    </w:p>
    <w:p w14:paraId="1FA8AB78" w14:textId="77777777" w:rsidR="005600C9" w:rsidRPr="005600C9" w:rsidRDefault="005600C9" w:rsidP="000036AE">
      <w:pPr>
        <w:ind w:firstLine="720"/>
        <w:jc w:val="both"/>
        <w:rPr>
          <w:sz w:val="20"/>
          <w:szCs w:val="20"/>
        </w:rPr>
      </w:pPr>
      <w:r w:rsidRPr="005600C9">
        <w:rPr>
          <w:sz w:val="20"/>
          <w:szCs w:val="20"/>
        </w:rPr>
        <w:t>Our certificate of incorporation authorizes our Board of Directors to issue up to 10,000,000 shares of preferred stock.  The shares of preferred stock may be issued in one or more series, the terms of which may be determined at the time of issuance by our Board of Directors without further action by the stockholders. These terms may include voting rights, including the right to vote as a series on particular matters, preferences as to dividends and liquidation, conversion rights, redemption rights and sinking fund provisions.  The issuance of any newly issued preferred stock could diminish the rights of holders of our common stock, and therefore could reduce the value of our common stock.  In addition, specific rights granted to future holders of preferred stock could be used to restrict our ability to merge with, or sell assets to, a third party.  The ability of our Board of Directors to issue preferred stock could make it more difficult, delay, discourage, prevent or make it costlier to acquire or effect a change-in-control, which in turn could prevent the stockholders from recognizing a gain in the event that a favorable offer is extended and could materially and negatively affect the market price of our common stock.</w:t>
      </w:r>
    </w:p>
    <w:p w14:paraId="24C6CC46" w14:textId="77777777" w:rsidR="005600C9" w:rsidRPr="005600C9" w:rsidRDefault="005600C9" w:rsidP="000036AE">
      <w:pPr>
        <w:jc w:val="both"/>
        <w:rPr>
          <w:sz w:val="20"/>
          <w:szCs w:val="20"/>
        </w:rPr>
      </w:pPr>
    </w:p>
    <w:p w14:paraId="79975D50" w14:textId="77777777" w:rsidR="005600C9" w:rsidRPr="005600C9" w:rsidRDefault="005600C9" w:rsidP="000036AE">
      <w:pPr>
        <w:jc w:val="both"/>
        <w:rPr>
          <w:b/>
          <w:i/>
          <w:sz w:val="20"/>
          <w:szCs w:val="20"/>
        </w:rPr>
      </w:pPr>
      <w:r w:rsidRPr="005600C9">
        <w:rPr>
          <w:b/>
          <w:i/>
          <w:sz w:val="20"/>
          <w:szCs w:val="20"/>
        </w:rPr>
        <w:t>We have never paid dividends and have no plans to do so.</w:t>
      </w:r>
    </w:p>
    <w:p w14:paraId="3EE3B5A2" w14:textId="77777777" w:rsidR="005600C9" w:rsidRPr="005600C9" w:rsidRDefault="005600C9" w:rsidP="000036AE">
      <w:pPr>
        <w:jc w:val="both"/>
        <w:rPr>
          <w:sz w:val="20"/>
          <w:szCs w:val="20"/>
        </w:rPr>
      </w:pPr>
      <w:r w:rsidRPr="005600C9">
        <w:rPr>
          <w:sz w:val="20"/>
          <w:szCs w:val="20"/>
        </w:rPr>
        <w:t> </w:t>
      </w:r>
    </w:p>
    <w:p w14:paraId="40BBCD29" w14:textId="77777777" w:rsidR="005600C9" w:rsidRPr="005600C9" w:rsidRDefault="005600C9" w:rsidP="000036AE">
      <w:pPr>
        <w:ind w:firstLine="720"/>
        <w:jc w:val="both"/>
        <w:rPr>
          <w:sz w:val="20"/>
          <w:szCs w:val="20"/>
        </w:rPr>
      </w:pPr>
      <w:r w:rsidRPr="005600C9">
        <w:rPr>
          <w:sz w:val="20"/>
          <w:szCs w:val="20"/>
        </w:rPr>
        <w:t>Holders of shares of our common stock are entitled to receive such dividends as may be declared by our Board of Directors. To date, we have paid no cash dividends on our shares of common stock and we do not expect to pay cash dividends on our common stock in the foreseeable future. We intend to retain future earnings, if any, to provide funds for operations of our business. Therefore, any potential return investors may have in our common stock will be in the form of appreciation, if any, in the market value of their shares of common stock.</w:t>
      </w:r>
    </w:p>
    <w:p w14:paraId="7FBA7868" w14:textId="77777777" w:rsidR="005600C9" w:rsidRPr="005600C9" w:rsidRDefault="005600C9" w:rsidP="000036AE">
      <w:pPr>
        <w:jc w:val="both"/>
        <w:rPr>
          <w:sz w:val="20"/>
          <w:szCs w:val="20"/>
        </w:rPr>
      </w:pPr>
    </w:p>
    <w:p w14:paraId="2FAA17CE" w14:textId="77777777" w:rsidR="005600C9" w:rsidRPr="005600C9" w:rsidRDefault="005600C9" w:rsidP="000036AE">
      <w:pPr>
        <w:jc w:val="both"/>
        <w:rPr>
          <w:sz w:val="20"/>
          <w:szCs w:val="20"/>
        </w:rPr>
      </w:pPr>
      <w:r w:rsidRPr="005600C9">
        <w:rPr>
          <w:b/>
          <w:bCs/>
          <w:i/>
          <w:iCs/>
          <w:sz w:val="20"/>
          <w:szCs w:val="20"/>
        </w:rPr>
        <w:t>Public company compliance may make it more difficult for us to attract and retain officers and directors.</w:t>
      </w:r>
    </w:p>
    <w:p w14:paraId="2B601493" w14:textId="77777777" w:rsidR="005600C9" w:rsidRPr="005600C9" w:rsidRDefault="005600C9" w:rsidP="000036AE">
      <w:pPr>
        <w:jc w:val="both"/>
        <w:rPr>
          <w:sz w:val="20"/>
          <w:szCs w:val="20"/>
        </w:rPr>
      </w:pPr>
      <w:r w:rsidRPr="005600C9">
        <w:rPr>
          <w:b/>
          <w:bCs/>
          <w:i/>
          <w:iCs/>
          <w:sz w:val="20"/>
          <w:szCs w:val="20"/>
        </w:rPr>
        <w:t xml:space="preserve"> </w:t>
      </w:r>
    </w:p>
    <w:p w14:paraId="200223F8" w14:textId="77777777" w:rsidR="005600C9" w:rsidRPr="005600C9" w:rsidRDefault="005600C9" w:rsidP="000036AE">
      <w:pPr>
        <w:ind w:firstLine="720"/>
        <w:jc w:val="both"/>
        <w:rPr>
          <w:sz w:val="20"/>
          <w:szCs w:val="20"/>
        </w:rPr>
      </w:pPr>
      <w:r w:rsidRPr="005600C9">
        <w:rPr>
          <w:sz w:val="20"/>
          <w:szCs w:val="20"/>
        </w:rPr>
        <w:t>The Sarbanes-Oxley Act, the Dodd-Frank Act, the JOBS Act, the FAST Act, and rules subsequently implemented by the SEC have required changes in corporate governance practices of public companies. As a public company, we expect these rules and regulations, and amendments to them, to contribute to our compliance costs and to make certain activities more time consuming and costly. As a public company, we also expect that these rules and regulations may make it difficult and expensive for us to obtain director and officer liability insurance and we may be required to accept reduced policy limits and coverage or incur substantially higher costs to obtain the same or similar coverage. As a result, it may be difficult for us to attract and retain qualified persons to serve on our board of directors or as executive officers.</w:t>
      </w:r>
    </w:p>
    <w:p w14:paraId="0D2AAF66" w14:textId="77777777" w:rsidR="005600C9" w:rsidRPr="005600C9" w:rsidRDefault="005600C9" w:rsidP="000036AE">
      <w:pPr>
        <w:jc w:val="both"/>
        <w:rPr>
          <w:sz w:val="20"/>
          <w:szCs w:val="20"/>
        </w:rPr>
      </w:pPr>
    </w:p>
    <w:p w14:paraId="3997886A" w14:textId="77777777" w:rsidR="005600C9" w:rsidRPr="005600C9" w:rsidRDefault="005600C9" w:rsidP="000036AE">
      <w:pPr>
        <w:jc w:val="both"/>
        <w:rPr>
          <w:sz w:val="20"/>
          <w:szCs w:val="20"/>
        </w:rPr>
      </w:pPr>
      <w:r w:rsidRPr="005600C9">
        <w:rPr>
          <w:b/>
          <w:bCs/>
          <w:i/>
          <w:iCs/>
          <w:sz w:val="20"/>
          <w:szCs w:val="20"/>
        </w:rPr>
        <w:t xml:space="preserve">Our Certificate of Incorporation and Bylaws may be amended by the affirmative vote of a majority of our stockholders. </w:t>
      </w:r>
    </w:p>
    <w:p w14:paraId="0559125E" w14:textId="77777777" w:rsidR="005600C9" w:rsidRPr="005600C9" w:rsidRDefault="005600C9" w:rsidP="000036AE">
      <w:pPr>
        <w:jc w:val="both"/>
        <w:rPr>
          <w:sz w:val="20"/>
          <w:szCs w:val="20"/>
        </w:rPr>
      </w:pPr>
      <w:r w:rsidRPr="005600C9">
        <w:rPr>
          <w:b/>
          <w:bCs/>
          <w:i/>
          <w:iCs/>
          <w:sz w:val="20"/>
          <w:szCs w:val="20"/>
        </w:rPr>
        <w:t xml:space="preserve"> </w:t>
      </w:r>
    </w:p>
    <w:p w14:paraId="45225B0B" w14:textId="77777777" w:rsidR="005600C9" w:rsidRPr="005600C9" w:rsidRDefault="005600C9" w:rsidP="000036AE">
      <w:pPr>
        <w:ind w:firstLine="720"/>
        <w:jc w:val="both"/>
        <w:rPr>
          <w:sz w:val="20"/>
          <w:szCs w:val="20"/>
        </w:rPr>
      </w:pPr>
      <w:r w:rsidRPr="005600C9">
        <w:rPr>
          <w:sz w:val="20"/>
          <w:szCs w:val="20"/>
        </w:rPr>
        <w:t>Under the Delaware General Corporation Law, a corporation’s certificate of incorporation may be amended by the affirmative vote of the holders of a majority of the outstanding shares entitled to vote, and a majority of the outstanding shares of each class entitled to vote as a class, unless the articles require the vote of a larger percentage of shares. Our Certificate of Incorporation, as amended, does not require the vote of a larger percentage of shares. As permitted under the Delaware General Corporation Law, our Bylaws give our board of directors the power to adopt, amend, or repeal our Bylaws. Our stockholders entitled to vote have concurrent power to adopt, amend, or repeal our Bylaws.</w:t>
      </w:r>
    </w:p>
    <w:p w14:paraId="520B85FE" w14:textId="77777777" w:rsidR="005600C9" w:rsidRPr="005600C9" w:rsidRDefault="005600C9" w:rsidP="000036AE">
      <w:pPr>
        <w:jc w:val="both"/>
        <w:rPr>
          <w:sz w:val="20"/>
          <w:szCs w:val="20"/>
        </w:rPr>
      </w:pPr>
    </w:p>
    <w:p w14:paraId="1F2048AD" w14:textId="77777777" w:rsidR="005600C9" w:rsidRPr="005600C9" w:rsidRDefault="005600C9" w:rsidP="000036AE">
      <w:pPr>
        <w:jc w:val="both"/>
        <w:rPr>
          <w:sz w:val="20"/>
          <w:szCs w:val="20"/>
        </w:rPr>
      </w:pPr>
      <w:r w:rsidRPr="005600C9">
        <w:rPr>
          <w:b/>
          <w:bCs/>
          <w:i/>
          <w:iCs/>
          <w:sz w:val="20"/>
          <w:szCs w:val="20"/>
        </w:rPr>
        <w:lastRenderedPageBreak/>
        <w:t>Broker-dealers may be discouraged from effecting transactions in shares of our common stock if we are considered to be a penny stock and thus subject to the penny stock rules.</w:t>
      </w:r>
      <w:r w:rsidRPr="005600C9">
        <w:rPr>
          <w:sz w:val="20"/>
          <w:szCs w:val="20"/>
        </w:rPr>
        <w:t xml:space="preserve"> </w:t>
      </w:r>
    </w:p>
    <w:p w14:paraId="3490E1CD" w14:textId="77777777" w:rsidR="005600C9" w:rsidRPr="005600C9" w:rsidRDefault="005600C9" w:rsidP="000036AE">
      <w:pPr>
        <w:jc w:val="both"/>
        <w:rPr>
          <w:sz w:val="20"/>
          <w:szCs w:val="20"/>
        </w:rPr>
      </w:pPr>
      <w:r w:rsidRPr="005600C9">
        <w:rPr>
          <w:sz w:val="20"/>
          <w:szCs w:val="20"/>
        </w:rPr>
        <w:t xml:space="preserve"> </w:t>
      </w:r>
    </w:p>
    <w:p w14:paraId="35333DDB" w14:textId="77777777" w:rsidR="005600C9" w:rsidRPr="005600C9" w:rsidRDefault="005600C9" w:rsidP="000036AE">
      <w:pPr>
        <w:ind w:firstLine="720"/>
        <w:jc w:val="both"/>
        <w:rPr>
          <w:sz w:val="20"/>
          <w:szCs w:val="20"/>
        </w:rPr>
      </w:pPr>
      <w:r w:rsidRPr="005600C9">
        <w:rPr>
          <w:sz w:val="20"/>
          <w:szCs w:val="20"/>
        </w:rPr>
        <w:t>The SEC has adopted a number of rules to regulate “penny stocks” that restrict transactions involving stock which is deemed to be penny stock. Such rules include Rules 3a51-1, 15g-1, 15g-2, 15g-3, 15g-4, 15g-5, 15g-6, 15g-7, and 15g-9 under the Exchange Act. These rules may have the effect of reducing the liquidity of penny stocks. “Penny stocks” generally are equity securities with a price of less than $5.00 per share (other than securities registered on certain national securities exchanges or quoted on Nasdaq if current price and volume information with respect to transactions in such securities is provided by the exchange or system). Our securities have in the past constituted, and may again in the future, if we are delisted from Nasdaq, constitute, “penny stock” within the meaning of the rules. The additional sales practice and disclosure requirements imposed upon U.S. broker-dealers may discourage broker-dealers from effecting transactions in shares of our common stock, which could severely limit the market liquidity of such shares and impede their sale in the secondary market.</w:t>
      </w:r>
    </w:p>
    <w:p w14:paraId="09D8BFDF" w14:textId="77777777" w:rsidR="005600C9" w:rsidRPr="005600C9" w:rsidRDefault="005600C9" w:rsidP="000036AE">
      <w:pPr>
        <w:jc w:val="both"/>
        <w:rPr>
          <w:sz w:val="20"/>
          <w:szCs w:val="20"/>
        </w:rPr>
      </w:pPr>
      <w:r w:rsidRPr="005600C9">
        <w:rPr>
          <w:sz w:val="20"/>
          <w:szCs w:val="20"/>
        </w:rPr>
        <w:t xml:space="preserve"> </w:t>
      </w:r>
    </w:p>
    <w:p w14:paraId="5B458229" w14:textId="77777777" w:rsidR="005600C9" w:rsidRPr="005600C9" w:rsidRDefault="005600C9" w:rsidP="000036AE">
      <w:pPr>
        <w:ind w:firstLine="720"/>
        <w:jc w:val="both"/>
        <w:rPr>
          <w:sz w:val="20"/>
          <w:szCs w:val="20"/>
        </w:rPr>
      </w:pPr>
      <w:r w:rsidRPr="005600C9">
        <w:rPr>
          <w:sz w:val="20"/>
          <w:szCs w:val="20"/>
        </w:rPr>
        <w:t>A U.S. broker-dealer selling penny stock to anyone other than an established customer or “accredited investor” (generally, an individual with net worth in excess of $1,000,000 (exclusive of personal residence) or an annual income exceeding $200,000, or $300,000 together with his or her spouse) must make a special suitability determination for the purchaser and must receive the purchaser’s written consent to the transaction prior to sale, unless the broker-dealer or the transaction is otherwise exempt. In addition, the “penny stock” regulations require the U.S. broker-dealer to deliver, prior to any transaction involving a “penny stock”, a disclosure schedule prepared in accordance with SEC standards relating to the “penny stock” market, unless the broker-dealer or the transaction is otherwise exempt. A U.S. broker-dealer is also required to disclose commissions payable to the U.S. broker-dealer and the registered representative and current quotations for the securities. Finally, a U.S. broker-dealer is required to submit monthly statements disclosing recent price information with respect to the “penny stock” held in a customer’s account and information with respect to the limited market in “penny stocks”.</w:t>
      </w:r>
    </w:p>
    <w:p w14:paraId="149F48EC" w14:textId="77777777" w:rsidR="005600C9" w:rsidRPr="005600C9" w:rsidRDefault="005600C9" w:rsidP="000036AE">
      <w:pPr>
        <w:jc w:val="both"/>
        <w:rPr>
          <w:sz w:val="20"/>
          <w:szCs w:val="20"/>
        </w:rPr>
      </w:pPr>
      <w:r w:rsidRPr="005600C9">
        <w:rPr>
          <w:sz w:val="20"/>
          <w:szCs w:val="20"/>
        </w:rPr>
        <w:t xml:space="preserve"> </w:t>
      </w:r>
    </w:p>
    <w:p w14:paraId="3DBD3A09" w14:textId="77777777" w:rsidR="005600C9" w:rsidRPr="005600C9" w:rsidRDefault="005600C9" w:rsidP="000036AE">
      <w:pPr>
        <w:ind w:firstLine="720"/>
        <w:jc w:val="both"/>
        <w:rPr>
          <w:sz w:val="20"/>
          <w:szCs w:val="20"/>
        </w:rPr>
      </w:pPr>
      <w:r w:rsidRPr="005600C9">
        <w:rPr>
          <w:sz w:val="20"/>
          <w:szCs w:val="20"/>
        </w:rPr>
        <w:t>Stockholders should be aware that, according to the SEC, the market for “penny stocks” has suffered in recent years from patterns of fraud and abuse. Such patterns include (i) control of the market for the security by one or a few broker-dealers that are often related to the promoter or issuer; (ii) manipulation of prices through prearranged matching of purchases and sales and false and misleading press releases; (iii) “boiler room” practices involving high-pressure sales tactics and unrealistic price projections by inexperienced sales persons; (iv) excessive and undisclosed bid-ask differentials and markups by selling broker-dealers; and (v) the wholesale dumping of the same securities by promoters and broker-dealers after prices have been manipulated to a desired level, resulting in investor losses. Our management is aware of the abuses that have occurred historically in the penny stock market. Although we do not expect to be in a position to dictate the behavior of the market or of broker-dealers who participate in the market, management will strive within the confines of practical limitations to prevent the described patterns from being established with respect to our securities.</w:t>
      </w:r>
    </w:p>
    <w:p w14:paraId="1F683CDE" w14:textId="77777777" w:rsidR="0087113F" w:rsidRDefault="004837DC">
      <w:pPr>
        <w:spacing w:before="120"/>
      </w:pPr>
      <w:r>
        <w:t> </w:t>
      </w:r>
    </w:p>
    <w:p w14:paraId="7CF3E311" w14:textId="77777777" w:rsidR="00DA2B79" w:rsidRDefault="004837DC">
      <w:pPr>
        <w:ind w:firstLine="720"/>
        <w:jc w:val="both"/>
        <w:rPr>
          <w:sz w:val="20"/>
          <w:szCs w:val="20"/>
        </w:rPr>
        <w:sectPr w:rsidR="00DA2B79" w:rsidSect="008A37E7">
          <w:footerReference w:type="default" r:id="rId19"/>
          <w:pgSz w:w="12240" w:h="15840"/>
          <w:pgMar w:top="1440" w:right="1440" w:bottom="1440" w:left="1440" w:header="720" w:footer="720" w:gutter="0"/>
          <w:cols w:space="720"/>
          <w:docGrid w:linePitch="326"/>
        </w:sectPr>
      </w:pPr>
      <w:r>
        <w:rPr>
          <w:sz w:val="20"/>
          <w:szCs w:val="20"/>
        </w:rPr>
        <w:t> </w:t>
      </w:r>
    </w:p>
    <w:p w14:paraId="335AFBE3" w14:textId="77777777" w:rsidR="0087113F" w:rsidRDefault="004837DC">
      <w:pPr>
        <w:jc w:val="center"/>
        <w:rPr>
          <w:sz w:val="20"/>
          <w:szCs w:val="20"/>
        </w:rPr>
      </w:pPr>
      <w:bookmarkStart w:id="11" w:name="cr_005"/>
      <w:bookmarkEnd w:id="11"/>
      <w:r>
        <w:rPr>
          <w:b/>
          <w:bCs/>
          <w:caps/>
          <w:sz w:val="20"/>
          <w:szCs w:val="20"/>
        </w:rPr>
        <w:lastRenderedPageBreak/>
        <w:t>CAUTIONARY NOTE REGARDING FORWARD LOOKING STATEMENTS</w:t>
      </w:r>
    </w:p>
    <w:p w14:paraId="447DFEEB" w14:textId="77777777" w:rsidR="0087113F" w:rsidRDefault="004837DC">
      <w:pPr>
        <w:jc w:val="center"/>
        <w:rPr>
          <w:sz w:val="20"/>
          <w:szCs w:val="20"/>
        </w:rPr>
      </w:pPr>
      <w:r>
        <w:rPr>
          <w:sz w:val="20"/>
          <w:szCs w:val="20"/>
        </w:rPr>
        <w:t> </w:t>
      </w:r>
    </w:p>
    <w:p w14:paraId="30A953D7" w14:textId="77777777" w:rsidR="0038362C" w:rsidRPr="0038362C" w:rsidRDefault="0038362C" w:rsidP="000036AE">
      <w:pPr>
        <w:ind w:firstLine="720"/>
        <w:jc w:val="both"/>
        <w:rPr>
          <w:sz w:val="20"/>
          <w:szCs w:val="20"/>
        </w:rPr>
      </w:pPr>
      <w:r w:rsidRPr="0038362C">
        <w:rPr>
          <w:sz w:val="20"/>
          <w:szCs w:val="20"/>
        </w:rPr>
        <w:t>Some of the statements in this prospectus contain forward-looking statements within the meaning of Section 27A of the Securities Act of 1933, as amended (the “Securities Act”), and Section 21E of the Securities Exchange Act of 1934, as amended (the “Exchange Act”). These statements relate to future events or our future financial performance and involve known and unknown risks, uncertainties and other factors which are, in some cases, beyond our ability to control or predict and that may cause actual results, levels of activity, performance or achievements to be materially different from any future results, levels of activity, performance or achievements expressed or implied</w:t>
      </w:r>
      <w:r>
        <w:rPr>
          <w:sz w:val="20"/>
          <w:szCs w:val="20"/>
        </w:rPr>
        <w:t xml:space="preserve"> by forward-looking statements.</w:t>
      </w:r>
      <w:r w:rsidR="00CC6D29">
        <w:rPr>
          <w:sz w:val="20"/>
          <w:szCs w:val="20"/>
        </w:rPr>
        <w:t xml:space="preserve"> </w:t>
      </w:r>
      <w:r w:rsidR="00CC6D29" w:rsidRPr="00CC6D29">
        <w:rPr>
          <w:sz w:val="20"/>
          <w:szCs w:val="20"/>
        </w:rPr>
        <w:t>These factors include but are not limited to those described under “Risk Factors” herein, as well as the other information contained in this prospectus. These factors should not be construed as exhaustive and should be read in conjunction with the other cautionary statements that are included in this prospectus.</w:t>
      </w:r>
      <w:r w:rsidR="00CC6D29">
        <w:rPr>
          <w:sz w:val="20"/>
          <w:szCs w:val="20"/>
        </w:rPr>
        <w:t xml:space="preserve"> </w:t>
      </w:r>
      <w:r w:rsidR="00CC6D29" w:rsidRPr="00CC6D29">
        <w:rPr>
          <w:sz w:val="20"/>
          <w:szCs w:val="20"/>
        </w:rPr>
        <w:t>Readers are cautioned not to place undue reliance on forward-looking statements. We undertake no obligation to publicly update or review any forward-looking statement, whether as a result of new information, future developments or otherwise, except as required by law.</w:t>
      </w:r>
    </w:p>
    <w:p w14:paraId="6B022A1B" w14:textId="77777777" w:rsidR="0038362C" w:rsidRPr="0038362C" w:rsidRDefault="0038362C" w:rsidP="000036AE">
      <w:pPr>
        <w:ind w:firstLine="720"/>
        <w:jc w:val="both"/>
        <w:rPr>
          <w:sz w:val="20"/>
          <w:szCs w:val="20"/>
        </w:rPr>
      </w:pPr>
    </w:p>
    <w:p w14:paraId="4D164731" w14:textId="77777777" w:rsidR="0038362C" w:rsidRPr="0038362C" w:rsidRDefault="0038362C" w:rsidP="000036AE">
      <w:pPr>
        <w:ind w:firstLine="720"/>
        <w:jc w:val="both"/>
        <w:rPr>
          <w:sz w:val="20"/>
          <w:szCs w:val="20"/>
        </w:rPr>
      </w:pPr>
      <w:r w:rsidRPr="0038362C">
        <w:rPr>
          <w:sz w:val="20"/>
          <w:szCs w:val="20"/>
        </w:rPr>
        <w:t>In some cases, you can identify forward-looking statements by terminology such as “may,” “will,” “should,” “expects,” “intends,” “plans,” “anticipates,” “believes,” “estimates,” “predicts,” “potential,” “continue” or the negative of these terms or other comparable terminology, although not all forward-looking statements contain these identifying words. Our forward-looking statements may include, among other things, statements about:</w:t>
      </w:r>
    </w:p>
    <w:p w14:paraId="6AB60687" w14:textId="77777777" w:rsidR="0038362C" w:rsidRDefault="0038362C" w:rsidP="000036AE">
      <w:pPr>
        <w:jc w:val="both"/>
        <w:rPr>
          <w:sz w:val="20"/>
          <w:szCs w:val="20"/>
        </w:rPr>
      </w:pPr>
    </w:p>
    <w:p w14:paraId="6425602D" w14:textId="77777777" w:rsidR="0038362C" w:rsidRDefault="0038362C" w:rsidP="00C73E0F">
      <w:pPr>
        <w:pStyle w:val="ListParagraph"/>
        <w:numPr>
          <w:ilvl w:val="0"/>
          <w:numId w:val="1"/>
        </w:numPr>
        <w:jc w:val="both"/>
        <w:rPr>
          <w:sz w:val="20"/>
          <w:szCs w:val="20"/>
        </w:rPr>
      </w:pPr>
      <w:r w:rsidRPr="0038362C">
        <w:rPr>
          <w:sz w:val="20"/>
          <w:szCs w:val="20"/>
        </w:rPr>
        <w:t>our ability to continue as a going concern and our history of losses;</w:t>
      </w:r>
    </w:p>
    <w:p w14:paraId="08E79736" w14:textId="77777777" w:rsidR="0038362C" w:rsidRDefault="0038362C" w:rsidP="000036AE">
      <w:pPr>
        <w:pStyle w:val="ListParagraph"/>
        <w:ind w:left="1080"/>
        <w:jc w:val="both"/>
        <w:rPr>
          <w:sz w:val="20"/>
          <w:szCs w:val="20"/>
        </w:rPr>
      </w:pPr>
    </w:p>
    <w:p w14:paraId="37A0A592" w14:textId="77777777" w:rsidR="0038362C" w:rsidRDefault="0038362C" w:rsidP="00C73E0F">
      <w:pPr>
        <w:pStyle w:val="ListParagraph"/>
        <w:numPr>
          <w:ilvl w:val="0"/>
          <w:numId w:val="1"/>
        </w:numPr>
        <w:jc w:val="both"/>
        <w:rPr>
          <w:sz w:val="20"/>
          <w:szCs w:val="20"/>
        </w:rPr>
      </w:pPr>
      <w:r w:rsidRPr="0038362C">
        <w:rPr>
          <w:sz w:val="20"/>
          <w:szCs w:val="20"/>
        </w:rPr>
        <w:t>our ability to obtain additional financing;</w:t>
      </w:r>
    </w:p>
    <w:p w14:paraId="28FC994C" w14:textId="77777777" w:rsidR="0038362C" w:rsidRPr="0038362C" w:rsidRDefault="0038362C" w:rsidP="000036AE">
      <w:pPr>
        <w:pStyle w:val="ListParagraph"/>
        <w:jc w:val="both"/>
        <w:rPr>
          <w:sz w:val="20"/>
          <w:szCs w:val="20"/>
        </w:rPr>
      </w:pPr>
    </w:p>
    <w:p w14:paraId="7D91C87B" w14:textId="77777777" w:rsidR="0038362C" w:rsidRDefault="0038362C" w:rsidP="00C73E0F">
      <w:pPr>
        <w:pStyle w:val="ListParagraph"/>
        <w:numPr>
          <w:ilvl w:val="0"/>
          <w:numId w:val="1"/>
        </w:numPr>
        <w:jc w:val="both"/>
        <w:rPr>
          <w:sz w:val="20"/>
          <w:szCs w:val="20"/>
        </w:rPr>
      </w:pPr>
      <w:r w:rsidRPr="0038362C">
        <w:rPr>
          <w:sz w:val="20"/>
          <w:szCs w:val="20"/>
        </w:rPr>
        <w:t>our use of the net proceeds from this offering;</w:t>
      </w:r>
    </w:p>
    <w:p w14:paraId="5CC508A6" w14:textId="77777777" w:rsidR="0038362C" w:rsidRPr="0038362C" w:rsidRDefault="0038362C" w:rsidP="000036AE">
      <w:pPr>
        <w:pStyle w:val="ListParagraph"/>
        <w:jc w:val="both"/>
        <w:rPr>
          <w:sz w:val="20"/>
          <w:szCs w:val="20"/>
        </w:rPr>
      </w:pPr>
    </w:p>
    <w:p w14:paraId="0DE9ACC9" w14:textId="77777777" w:rsidR="0038362C" w:rsidRDefault="0038362C" w:rsidP="00C73E0F">
      <w:pPr>
        <w:pStyle w:val="ListParagraph"/>
        <w:numPr>
          <w:ilvl w:val="0"/>
          <w:numId w:val="1"/>
        </w:numPr>
        <w:jc w:val="both"/>
        <w:rPr>
          <w:sz w:val="20"/>
          <w:szCs w:val="20"/>
        </w:rPr>
      </w:pPr>
      <w:r w:rsidRPr="0038362C">
        <w:rPr>
          <w:sz w:val="20"/>
          <w:szCs w:val="20"/>
        </w:rPr>
        <w:t>our ability to prosecute, maintain or enforce our intellectual property rights;</w:t>
      </w:r>
    </w:p>
    <w:p w14:paraId="589664BF" w14:textId="77777777" w:rsidR="0038362C" w:rsidRPr="0038362C" w:rsidRDefault="0038362C" w:rsidP="000036AE">
      <w:pPr>
        <w:pStyle w:val="ListParagraph"/>
        <w:jc w:val="both"/>
        <w:rPr>
          <w:sz w:val="20"/>
          <w:szCs w:val="20"/>
        </w:rPr>
      </w:pPr>
    </w:p>
    <w:p w14:paraId="1CA3E967" w14:textId="77777777" w:rsidR="0038362C" w:rsidRDefault="0038362C" w:rsidP="00C73E0F">
      <w:pPr>
        <w:pStyle w:val="ListParagraph"/>
        <w:numPr>
          <w:ilvl w:val="0"/>
          <w:numId w:val="1"/>
        </w:numPr>
        <w:jc w:val="both"/>
        <w:rPr>
          <w:sz w:val="20"/>
          <w:szCs w:val="20"/>
        </w:rPr>
      </w:pPr>
      <w:r w:rsidRPr="0038362C">
        <w:rPr>
          <w:sz w:val="20"/>
          <w:szCs w:val="20"/>
        </w:rPr>
        <w:t>the accuracy of our estimates regarding expenses, future revenues and capital requirements;</w:t>
      </w:r>
    </w:p>
    <w:p w14:paraId="573DCB1D" w14:textId="77777777" w:rsidR="0038362C" w:rsidRPr="0038362C" w:rsidRDefault="0038362C" w:rsidP="000036AE">
      <w:pPr>
        <w:pStyle w:val="ListParagraph"/>
        <w:jc w:val="both"/>
        <w:rPr>
          <w:sz w:val="20"/>
          <w:szCs w:val="20"/>
        </w:rPr>
      </w:pPr>
    </w:p>
    <w:p w14:paraId="78A6084D" w14:textId="77777777" w:rsidR="0038362C" w:rsidRDefault="0038362C" w:rsidP="00C73E0F">
      <w:pPr>
        <w:pStyle w:val="ListParagraph"/>
        <w:numPr>
          <w:ilvl w:val="0"/>
          <w:numId w:val="1"/>
        </w:numPr>
        <w:jc w:val="both"/>
        <w:rPr>
          <w:sz w:val="20"/>
          <w:szCs w:val="20"/>
        </w:rPr>
      </w:pPr>
      <w:r w:rsidRPr="0038362C">
        <w:rPr>
          <w:sz w:val="20"/>
          <w:szCs w:val="20"/>
        </w:rPr>
        <w:t>the implementation of our business model and strategic plans for our business and technology;</w:t>
      </w:r>
    </w:p>
    <w:p w14:paraId="149959FA" w14:textId="77777777" w:rsidR="0038362C" w:rsidRPr="0038362C" w:rsidRDefault="0038362C" w:rsidP="000036AE">
      <w:pPr>
        <w:pStyle w:val="ListParagraph"/>
        <w:jc w:val="both"/>
        <w:rPr>
          <w:sz w:val="20"/>
          <w:szCs w:val="20"/>
        </w:rPr>
      </w:pPr>
    </w:p>
    <w:p w14:paraId="5A1D83CA" w14:textId="77777777" w:rsidR="0038362C" w:rsidRDefault="0038362C" w:rsidP="00C73E0F">
      <w:pPr>
        <w:pStyle w:val="ListParagraph"/>
        <w:numPr>
          <w:ilvl w:val="0"/>
          <w:numId w:val="1"/>
        </w:numPr>
        <w:jc w:val="both"/>
        <w:rPr>
          <w:sz w:val="20"/>
          <w:szCs w:val="20"/>
        </w:rPr>
      </w:pPr>
      <w:r w:rsidRPr="0038362C">
        <w:rPr>
          <w:sz w:val="20"/>
          <w:szCs w:val="20"/>
        </w:rPr>
        <w:t>the successful development and regulatory approval of our technologies and products;</w:t>
      </w:r>
    </w:p>
    <w:p w14:paraId="3955D086" w14:textId="77777777" w:rsidR="0038362C" w:rsidRPr="0038362C" w:rsidRDefault="0038362C" w:rsidP="000036AE">
      <w:pPr>
        <w:pStyle w:val="ListParagraph"/>
        <w:jc w:val="both"/>
        <w:rPr>
          <w:sz w:val="20"/>
          <w:szCs w:val="20"/>
        </w:rPr>
      </w:pPr>
    </w:p>
    <w:p w14:paraId="2C2D6CFD" w14:textId="77777777" w:rsidR="0038362C" w:rsidRDefault="0038362C" w:rsidP="00C73E0F">
      <w:pPr>
        <w:pStyle w:val="ListParagraph"/>
        <w:numPr>
          <w:ilvl w:val="0"/>
          <w:numId w:val="1"/>
        </w:numPr>
        <w:jc w:val="both"/>
        <w:rPr>
          <w:sz w:val="20"/>
          <w:szCs w:val="20"/>
        </w:rPr>
      </w:pPr>
      <w:r w:rsidRPr="0038362C">
        <w:rPr>
          <w:sz w:val="20"/>
          <w:szCs w:val="20"/>
        </w:rPr>
        <w:t>the potential markets for our products and our ability to serve those markets;</w:t>
      </w:r>
    </w:p>
    <w:p w14:paraId="65BAE440" w14:textId="77777777" w:rsidR="0038362C" w:rsidRPr="0038362C" w:rsidRDefault="0038362C" w:rsidP="000036AE">
      <w:pPr>
        <w:pStyle w:val="ListParagraph"/>
        <w:jc w:val="both"/>
        <w:rPr>
          <w:sz w:val="20"/>
          <w:szCs w:val="20"/>
        </w:rPr>
      </w:pPr>
    </w:p>
    <w:p w14:paraId="4DD349E2" w14:textId="77777777" w:rsidR="0038362C" w:rsidRDefault="0038362C" w:rsidP="00C73E0F">
      <w:pPr>
        <w:pStyle w:val="ListParagraph"/>
        <w:numPr>
          <w:ilvl w:val="0"/>
          <w:numId w:val="1"/>
        </w:numPr>
        <w:jc w:val="both"/>
        <w:rPr>
          <w:sz w:val="20"/>
          <w:szCs w:val="20"/>
        </w:rPr>
      </w:pPr>
      <w:r w:rsidRPr="0038362C">
        <w:rPr>
          <w:sz w:val="20"/>
          <w:szCs w:val="20"/>
        </w:rPr>
        <w:t>the rate and degree of market acceptance of our products and any future products;</w:t>
      </w:r>
    </w:p>
    <w:p w14:paraId="3DC64CC0" w14:textId="77777777" w:rsidR="0038362C" w:rsidRPr="0038362C" w:rsidRDefault="0038362C" w:rsidP="000036AE">
      <w:pPr>
        <w:pStyle w:val="ListParagraph"/>
        <w:jc w:val="both"/>
        <w:rPr>
          <w:sz w:val="20"/>
          <w:szCs w:val="20"/>
        </w:rPr>
      </w:pPr>
    </w:p>
    <w:p w14:paraId="7B7B3FEE" w14:textId="77777777" w:rsidR="0038362C" w:rsidRDefault="0038362C" w:rsidP="00C73E0F">
      <w:pPr>
        <w:pStyle w:val="ListParagraph"/>
        <w:numPr>
          <w:ilvl w:val="0"/>
          <w:numId w:val="1"/>
        </w:numPr>
        <w:jc w:val="both"/>
        <w:rPr>
          <w:sz w:val="20"/>
          <w:szCs w:val="20"/>
        </w:rPr>
      </w:pPr>
      <w:r w:rsidRPr="0038362C">
        <w:rPr>
          <w:sz w:val="20"/>
          <w:szCs w:val="20"/>
        </w:rPr>
        <w:t>our ability to retain key management personnel; and</w:t>
      </w:r>
    </w:p>
    <w:p w14:paraId="42509A07" w14:textId="77777777" w:rsidR="0038362C" w:rsidRPr="0038362C" w:rsidRDefault="0038362C" w:rsidP="000036AE">
      <w:pPr>
        <w:pStyle w:val="ListParagraph"/>
        <w:jc w:val="both"/>
        <w:rPr>
          <w:sz w:val="20"/>
          <w:szCs w:val="20"/>
        </w:rPr>
      </w:pPr>
    </w:p>
    <w:p w14:paraId="2931CF18" w14:textId="77777777" w:rsidR="0038362C" w:rsidRPr="0038362C" w:rsidRDefault="0038362C" w:rsidP="00C73E0F">
      <w:pPr>
        <w:pStyle w:val="ListParagraph"/>
        <w:numPr>
          <w:ilvl w:val="0"/>
          <w:numId w:val="1"/>
        </w:numPr>
        <w:jc w:val="both"/>
        <w:rPr>
          <w:sz w:val="20"/>
          <w:szCs w:val="20"/>
        </w:rPr>
      </w:pPr>
      <w:r w:rsidRPr="0038362C">
        <w:rPr>
          <w:sz w:val="20"/>
          <w:szCs w:val="20"/>
        </w:rPr>
        <w:t xml:space="preserve">regulatory developments and our compliance with applicable laws. </w:t>
      </w:r>
    </w:p>
    <w:p w14:paraId="76E2894F" w14:textId="77777777" w:rsidR="0038362C" w:rsidRPr="0038362C" w:rsidRDefault="0038362C" w:rsidP="0038362C">
      <w:pPr>
        <w:ind w:firstLine="720"/>
        <w:jc w:val="both"/>
        <w:rPr>
          <w:sz w:val="20"/>
          <w:szCs w:val="20"/>
        </w:rPr>
      </w:pPr>
    </w:p>
    <w:p w14:paraId="6BBA8160" w14:textId="77777777" w:rsidR="00CC6D29" w:rsidRDefault="00CC6D29" w:rsidP="0038362C">
      <w:pPr>
        <w:ind w:firstLine="720"/>
        <w:jc w:val="both"/>
        <w:rPr>
          <w:sz w:val="20"/>
          <w:szCs w:val="20"/>
        </w:rPr>
        <w:sectPr w:rsidR="00CC6D29" w:rsidSect="008A37E7">
          <w:pgSz w:w="12240" w:h="15840"/>
          <w:pgMar w:top="1440" w:right="1440" w:bottom="1440" w:left="1440" w:header="720" w:footer="720" w:gutter="0"/>
          <w:cols w:space="720"/>
          <w:docGrid w:linePitch="326"/>
        </w:sectPr>
      </w:pPr>
    </w:p>
    <w:p w14:paraId="6D022C72" w14:textId="77777777" w:rsidR="00AE0555" w:rsidRDefault="00AE0555">
      <w:pPr>
        <w:jc w:val="center"/>
        <w:rPr>
          <w:b/>
          <w:bCs/>
          <w:caps/>
          <w:sz w:val="20"/>
          <w:szCs w:val="20"/>
        </w:rPr>
        <w:sectPr w:rsidR="00AE0555" w:rsidSect="0038362C">
          <w:type w:val="continuous"/>
          <w:pgSz w:w="12240" w:h="15840"/>
          <w:pgMar w:top="1440" w:right="1440" w:bottom="1440" w:left="1440" w:header="720" w:footer="720" w:gutter="0"/>
          <w:cols w:space="720"/>
          <w:docGrid w:linePitch="326"/>
        </w:sectPr>
      </w:pPr>
      <w:bookmarkStart w:id="12" w:name="s_001"/>
      <w:bookmarkEnd w:id="12"/>
    </w:p>
    <w:p w14:paraId="076FF2E6" w14:textId="77777777" w:rsidR="0087113F" w:rsidRDefault="004837DC">
      <w:pPr>
        <w:jc w:val="center"/>
        <w:rPr>
          <w:sz w:val="20"/>
          <w:szCs w:val="20"/>
        </w:rPr>
      </w:pPr>
      <w:r>
        <w:rPr>
          <w:b/>
          <w:bCs/>
          <w:caps/>
          <w:sz w:val="20"/>
          <w:szCs w:val="20"/>
        </w:rPr>
        <w:lastRenderedPageBreak/>
        <w:t>USE OF PROCEEDS</w:t>
      </w:r>
    </w:p>
    <w:p w14:paraId="6CC6212B" w14:textId="77777777" w:rsidR="0087113F" w:rsidRDefault="004837DC">
      <w:pPr>
        <w:jc w:val="center"/>
        <w:rPr>
          <w:sz w:val="20"/>
          <w:szCs w:val="20"/>
        </w:rPr>
      </w:pPr>
      <w:r>
        <w:rPr>
          <w:sz w:val="20"/>
          <w:szCs w:val="20"/>
        </w:rPr>
        <w:t> </w:t>
      </w:r>
    </w:p>
    <w:p w14:paraId="07F350A2" w14:textId="5A53C744" w:rsidR="0087113F" w:rsidRDefault="004837DC">
      <w:pPr>
        <w:ind w:firstLine="720"/>
        <w:jc w:val="both"/>
        <w:rPr>
          <w:sz w:val="20"/>
          <w:szCs w:val="20"/>
        </w:rPr>
      </w:pPr>
      <w:r>
        <w:rPr>
          <w:sz w:val="20"/>
          <w:szCs w:val="20"/>
        </w:rPr>
        <w:t xml:space="preserve">We will not receive any proceeds from the sale of the shares of </w:t>
      </w:r>
      <w:r w:rsidR="00AE0555">
        <w:rPr>
          <w:sz w:val="20"/>
          <w:szCs w:val="20"/>
        </w:rPr>
        <w:t>c</w:t>
      </w:r>
      <w:r>
        <w:rPr>
          <w:sz w:val="20"/>
          <w:szCs w:val="20"/>
        </w:rPr>
        <w:t xml:space="preserve">ommon </w:t>
      </w:r>
      <w:r w:rsidR="00AE0555">
        <w:rPr>
          <w:sz w:val="20"/>
          <w:szCs w:val="20"/>
        </w:rPr>
        <w:t>s</w:t>
      </w:r>
      <w:r>
        <w:rPr>
          <w:sz w:val="20"/>
          <w:szCs w:val="20"/>
        </w:rPr>
        <w:t xml:space="preserve">tock by the </w:t>
      </w:r>
      <w:r w:rsidR="00AE0555">
        <w:rPr>
          <w:sz w:val="20"/>
          <w:szCs w:val="20"/>
        </w:rPr>
        <w:t>S</w:t>
      </w:r>
      <w:r>
        <w:rPr>
          <w:sz w:val="20"/>
          <w:szCs w:val="20"/>
        </w:rPr>
        <w:t xml:space="preserve">elling </w:t>
      </w:r>
      <w:r w:rsidR="00AE0555">
        <w:rPr>
          <w:sz w:val="20"/>
          <w:szCs w:val="20"/>
        </w:rPr>
        <w:t>Stockholder</w:t>
      </w:r>
      <w:r w:rsidR="00F07249">
        <w:rPr>
          <w:sz w:val="20"/>
          <w:szCs w:val="20"/>
        </w:rPr>
        <w:t>s</w:t>
      </w:r>
      <w:r>
        <w:rPr>
          <w:sz w:val="20"/>
          <w:szCs w:val="20"/>
        </w:rPr>
        <w:t xml:space="preserve">. All net proceeds from the sale of the shares of </w:t>
      </w:r>
      <w:r w:rsidR="00AE0555">
        <w:rPr>
          <w:sz w:val="20"/>
          <w:szCs w:val="20"/>
        </w:rPr>
        <w:t>common</w:t>
      </w:r>
      <w:r>
        <w:rPr>
          <w:sz w:val="20"/>
          <w:szCs w:val="20"/>
        </w:rPr>
        <w:t xml:space="preserve"> </w:t>
      </w:r>
      <w:r w:rsidR="00AE0555">
        <w:rPr>
          <w:sz w:val="20"/>
          <w:szCs w:val="20"/>
        </w:rPr>
        <w:t>s</w:t>
      </w:r>
      <w:r>
        <w:rPr>
          <w:sz w:val="20"/>
          <w:szCs w:val="20"/>
        </w:rPr>
        <w:t xml:space="preserve">tock covered by this prospectus will go to the </w:t>
      </w:r>
      <w:r w:rsidR="00AE0555">
        <w:rPr>
          <w:sz w:val="20"/>
          <w:szCs w:val="20"/>
        </w:rPr>
        <w:t>S</w:t>
      </w:r>
      <w:r>
        <w:rPr>
          <w:sz w:val="20"/>
          <w:szCs w:val="20"/>
        </w:rPr>
        <w:t xml:space="preserve">elling </w:t>
      </w:r>
      <w:r w:rsidR="00AE0555">
        <w:rPr>
          <w:sz w:val="20"/>
          <w:szCs w:val="20"/>
        </w:rPr>
        <w:t>S</w:t>
      </w:r>
      <w:r>
        <w:rPr>
          <w:sz w:val="20"/>
          <w:szCs w:val="20"/>
        </w:rPr>
        <w:t>tockholder</w:t>
      </w:r>
      <w:r w:rsidR="0002579B">
        <w:rPr>
          <w:sz w:val="20"/>
          <w:szCs w:val="20"/>
        </w:rPr>
        <w:t>s</w:t>
      </w:r>
      <w:r>
        <w:rPr>
          <w:sz w:val="20"/>
          <w:szCs w:val="20"/>
        </w:rPr>
        <w:t xml:space="preserve">. We expect that the </w:t>
      </w:r>
      <w:r w:rsidR="00AE0555">
        <w:rPr>
          <w:sz w:val="20"/>
          <w:szCs w:val="20"/>
        </w:rPr>
        <w:t>S</w:t>
      </w:r>
      <w:r>
        <w:rPr>
          <w:sz w:val="20"/>
          <w:szCs w:val="20"/>
        </w:rPr>
        <w:t xml:space="preserve">elling </w:t>
      </w:r>
      <w:r w:rsidR="00AE0555">
        <w:rPr>
          <w:sz w:val="20"/>
          <w:szCs w:val="20"/>
        </w:rPr>
        <w:t>Stockholder</w:t>
      </w:r>
      <w:r>
        <w:rPr>
          <w:sz w:val="20"/>
          <w:szCs w:val="20"/>
        </w:rPr>
        <w:t xml:space="preserve"> will sell their shares of </w:t>
      </w:r>
      <w:r w:rsidR="00AE0555">
        <w:rPr>
          <w:sz w:val="20"/>
          <w:szCs w:val="20"/>
        </w:rPr>
        <w:t>c</w:t>
      </w:r>
      <w:r>
        <w:rPr>
          <w:sz w:val="20"/>
          <w:szCs w:val="20"/>
        </w:rPr>
        <w:t xml:space="preserve">ommon </w:t>
      </w:r>
      <w:r w:rsidR="00AE0555">
        <w:rPr>
          <w:sz w:val="20"/>
          <w:szCs w:val="20"/>
        </w:rPr>
        <w:t>s</w:t>
      </w:r>
      <w:r>
        <w:rPr>
          <w:sz w:val="20"/>
          <w:szCs w:val="20"/>
        </w:rPr>
        <w:t>tock as described under “Plan of Distribution.”</w:t>
      </w:r>
    </w:p>
    <w:p w14:paraId="1C68FA72" w14:textId="77777777" w:rsidR="0087113F" w:rsidRDefault="004837DC">
      <w:pPr>
        <w:ind w:firstLine="720"/>
        <w:jc w:val="both"/>
        <w:rPr>
          <w:sz w:val="20"/>
          <w:szCs w:val="20"/>
        </w:rPr>
      </w:pPr>
      <w:r>
        <w:rPr>
          <w:sz w:val="20"/>
          <w:szCs w:val="20"/>
        </w:rPr>
        <w:t> </w:t>
      </w:r>
    </w:p>
    <w:p w14:paraId="025CA59C" w14:textId="78300E6F" w:rsidR="0087113F" w:rsidRDefault="004837DC">
      <w:pPr>
        <w:ind w:firstLine="720"/>
        <w:jc w:val="both"/>
        <w:rPr>
          <w:sz w:val="20"/>
          <w:szCs w:val="20"/>
        </w:rPr>
      </w:pPr>
      <w:r>
        <w:rPr>
          <w:sz w:val="20"/>
          <w:szCs w:val="20"/>
        </w:rPr>
        <w:t xml:space="preserve">We may receive proceeds from </w:t>
      </w:r>
      <w:r w:rsidR="0002579B">
        <w:rPr>
          <w:sz w:val="20"/>
          <w:szCs w:val="20"/>
        </w:rPr>
        <w:t xml:space="preserve">each of </w:t>
      </w:r>
      <w:r>
        <w:rPr>
          <w:sz w:val="20"/>
          <w:szCs w:val="20"/>
        </w:rPr>
        <w:t xml:space="preserve">the exercise of the </w:t>
      </w:r>
      <w:r w:rsidR="00747B46">
        <w:rPr>
          <w:sz w:val="20"/>
          <w:szCs w:val="20"/>
        </w:rPr>
        <w:t>Preferred Investment Option</w:t>
      </w:r>
      <w:r w:rsidR="0002579B">
        <w:rPr>
          <w:sz w:val="20"/>
          <w:szCs w:val="20"/>
        </w:rPr>
        <w:t>, the 2020 Common Warrant and the 2021 Common Warrant</w:t>
      </w:r>
      <w:r w:rsidR="00747B46">
        <w:rPr>
          <w:sz w:val="20"/>
          <w:szCs w:val="20"/>
        </w:rPr>
        <w:t xml:space="preserve"> </w:t>
      </w:r>
      <w:r>
        <w:rPr>
          <w:sz w:val="20"/>
          <w:szCs w:val="20"/>
        </w:rPr>
        <w:t xml:space="preserve">and </w:t>
      </w:r>
      <w:r w:rsidR="00AE0555">
        <w:rPr>
          <w:sz w:val="20"/>
          <w:szCs w:val="20"/>
        </w:rPr>
        <w:t xml:space="preserve">related issuance of shares of common stock. </w:t>
      </w:r>
      <w:r w:rsidR="0002579B">
        <w:rPr>
          <w:sz w:val="20"/>
          <w:szCs w:val="20"/>
        </w:rPr>
        <w:t>Each of t</w:t>
      </w:r>
      <w:r w:rsidR="00AE0555">
        <w:rPr>
          <w:sz w:val="20"/>
          <w:szCs w:val="20"/>
        </w:rPr>
        <w:t xml:space="preserve">he </w:t>
      </w:r>
      <w:r w:rsidR="00747B46">
        <w:rPr>
          <w:sz w:val="20"/>
          <w:szCs w:val="20"/>
        </w:rPr>
        <w:t>Preferred Investment Option</w:t>
      </w:r>
      <w:r w:rsidR="0002579B">
        <w:rPr>
          <w:sz w:val="20"/>
          <w:szCs w:val="20"/>
        </w:rPr>
        <w:t>, the 2020 Common Warrant and the 2021 Common Warrant</w:t>
      </w:r>
      <w:r w:rsidR="00AE0555">
        <w:rPr>
          <w:sz w:val="20"/>
          <w:szCs w:val="20"/>
        </w:rPr>
        <w:t xml:space="preserve">, however, is exercisable on a cashless basis only under certain circumstances.  </w:t>
      </w:r>
      <w:r>
        <w:rPr>
          <w:sz w:val="20"/>
          <w:szCs w:val="20"/>
        </w:rPr>
        <w:t xml:space="preserve">If </w:t>
      </w:r>
      <w:r w:rsidR="0002579B">
        <w:rPr>
          <w:sz w:val="20"/>
          <w:szCs w:val="20"/>
        </w:rPr>
        <w:t xml:space="preserve">each of </w:t>
      </w:r>
      <w:r>
        <w:rPr>
          <w:sz w:val="20"/>
          <w:szCs w:val="20"/>
        </w:rPr>
        <w:t xml:space="preserve">the </w:t>
      </w:r>
      <w:r w:rsidR="00747B46">
        <w:rPr>
          <w:sz w:val="20"/>
          <w:szCs w:val="20"/>
        </w:rPr>
        <w:t>Preferred Investment Option</w:t>
      </w:r>
      <w:r w:rsidR="0002579B">
        <w:rPr>
          <w:sz w:val="20"/>
          <w:szCs w:val="20"/>
        </w:rPr>
        <w:t>, the 2020 Common Warrant and the 2021 Common Warrant</w:t>
      </w:r>
      <w:r w:rsidR="00747B46">
        <w:rPr>
          <w:sz w:val="20"/>
          <w:szCs w:val="20"/>
        </w:rPr>
        <w:t xml:space="preserve"> </w:t>
      </w:r>
      <w:r w:rsidR="00EF2185">
        <w:rPr>
          <w:sz w:val="20"/>
          <w:szCs w:val="20"/>
        </w:rPr>
        <w:t>is</w:t>
      </w:r>
      <w:r>
        <w:rPr>
          <w:sz w:val="20"/>
          <w:szCs w:val="20"/>
        </w:rPr>
        <w:t xml:space="preserve"> exercised for cash in full, the gross proceeds would be approximately $</w:t>
      </w:r>
      <w:r w:rsidR="0002579B">
        <w:rPr>
          <w:sz w:val="20"/>
          <w:szCs w:val="20"/>
        </w:rPr>
        <w:t>21</w:t>
      </w:r>
      <w:r w:rsidR="00EF2185">
        <w:rPr>
          <w:sz w:val="20"/>
          <w:szCs w:val="20"/>
        </w:rPr>
        <w:t>.</w:t>
      </w:r>
      <w:r w:rsidR="0002579B">
        <w:rPr>
          <w:sz w:val="20"/>
          <w:szCs w:val="20"/>
        </w:rPr>
        <w:t>2</w:t>
      </w:r>
      <w:r w:rsidR="00EF2185">
        <w:rPr>
          <w:sz w:val="20"/>
          <w:szCs w:val="20"/>
        </w:rPr>
        <w:t xml:space="preserve"> million</w:t>
      </w:r>
      <w:r>
        <w:rPr>
          <w:sz w:val="20"/>
          <w:szCs w:val="20"/>
        </w:rPr>
        <w:t xml:space="preserve">. We intend to use the net proceeds from the exercise of </w:t>
      </w:r>
      <w:r w:rsidR="0002579B">
        <w:rPr>
          <w:sz w:val="20"/>
          <w:szCs w:val="20"/>
        </w:rPr>
        <w:t xml:space="preserve">each of the </w:t>
      </w:r>
      <w:r w:rsidR="00747B46">
        <w:rPr>
          <w:sz w:val="20"/>
          <w:szCs w:val="20"/>
        </w:rPr>
        <w:t>Preferred Investment Option</w:t>
      </w:r>
      <w:r w:rsidR="0002579B">
        <w:rPr>
          <w:sz w:val="20"/>
          <w:szCs w:val="20"/>
        </w:rPr>
        <w:t>, the 2020 Common Warrant and the 2021 Common Warrant</w:t>
      </w:r>
      <w:r>
        <w:rPr>
          <w:sz w:val="20"/>
          <w:szCs w:val="20"/>
        </w:rPr>
        <w:t>, if any, for general corporate purposes and working capital.</w:t>
      </w:r>
    </w:p>
    <w:p w14:paraId="3749FC02" w14:textId="77777777" w:rsidR="0087113F" w:rsidRDefault="004837DC">
      <w:pPr>
        <w:ind w:firstLine="720"/>
        <w:jc w:val="both"/>
        <w:rPr>
          <w:sz w:val="20"/>
          <w:szCs w:val="20"/>
        </w:rPr>
      </w:pPr>
      <w:r>
        <w:rPr>
          <w:sz w:val="20"/>
          <w:szCs w:val="20"/>
        </w:rPr>
        <w:t> </w:t>
      </w:r>
    </w:p>
    <w:p w14:paraId="2C55A442" w14:textId="730460E8" w:rsidR="0087113F" w:rsidRDefault="004837DC">
      <w:pPr>
        <w:ind w:firstLine="720"/>
        <w:jc w:val="both"/>
        <w:rPr>
          <w:sz w:val="20"/>
          <w:szCs w:val="20"/>
        </w:rPr>
      </w:pPr>
      <w:r>
        <w:rPr>
          <w:sz w:val="20"/>
          <w:szCs w:val="20"/>
        </w:rPr>
        <w:t xml:space="preserve">Pending any use, as described above, we intend to invest the net proceeds in high-quality, short-term, interest-bearing securities. We can make no assurances that </w:t>
      </w:r>
      <w:r w:rsidR="0002579B">
        <w:rPr>
          <w:sz w:val="20"/>
          <w:szCs w:val="20"/>
        </w:rPr>
        <w:t xml:space="preserve">any of </w:t>
      </w:r>
      <w:r>
        <w:rPr>
          <w:sz w:val="20"/>
          <w:szCs w:val="20"/>
        </w:rPr>
        <w:t xml:space="preserve">the </w:t>
      </w:r>
      <w:r w:rsidR="00747B46">
        <w:rPr>
          <w:sz w:val="20"/>
          <w:szCs w:val="20"/>
        </w:rPr>
        <w:t>Preferred Investment Option</w:t>
      </w:r>
      <w:r w:rsidR="0002579B">
        <w:rPr>
          <w:sz w:val="20"/>
          <w:szCs w:val="20"/>
        </w:rPr>
        <w:t>, the 2020 Common Warrant and the 2021 Common Warrant</w:t>
      </w:r>
      <w:r w:rsidR="00747B46">
        <w:rPr>
          <w:sz w:val="20"/>
          <w:szCs w:val="20"/>
        </w:rPr>
        <w:t xml:space="preserve"> </w:t>
      </w:r>
      <w:r>
        <w:rPr>
          <w:sz w:val="20"/>
          <w:szCs w:val="20"/>
        </w:rPr>
        <w:t xml:space="preserve">will be exercised, or if exercised, that </w:t>
      </w:r>
      <w:r w:rsidR="009F71ED">
        <w:rPr>
          <w:sz w:val="20"/>
          <w:szCs w:val="20"/>
        </w:rPr>
        <w:t>it</w:t>
      </w:r>
      <w:r>
        <w:rPr>
          <w:sz w:val="20"/>
          <w:szCs w:val="20"/>
        </w:rPr>
        <w:t xml:space="preserve"> will be exercised for cash, the quantity which will be exercised or in the period in which </w:t>
      </w:r>
      <w:r w:rsidR="009F71ED">
        <w:rPr>
          <w:sz w:val="20"/>
          <w:szCs w:val="20"/>
        </w:rPr>
        <w:t>it</w:t>
      </w:r>
      <w:r>
        <w:rPr>
          <w:sz w:val="20"/>
          <w:szCs w:val="20"/>
        </w:rPr>
        <w:t xml:space="preserve"> will be exercised.</w:t>
      </w:r>
    </w:p>
    <w:p w14:paraId="0B136F03" w14:textId="77777777" w:rsidR="00BA7232" w:rsidRDefault="00BA7232">
      <w:pPr>
        <w:ind w:firstLine="720"/>
        <w:jc w:val="both"/>
        <w:rPr>
          <w:sz w:val="20"/>
          <w:szCs w:val="20"/>
        </w:rPr>
      </w:pPr>
    </w:p>
    <w:p w14:paraId="360B44E7" w14:textId="77777777" w:rsidR="0087113F" w:rsidRDefault="004837DC">
      <w:pPr>
        <w:jc w:val="center"/>
        <w:rPr>
          <w:sz w:val="20"/>
          <w:szCs w:val="20"/>
        </w:rPr>
      </w:pPr>
      <w:bookmarkStart w:id="13" w:name="s_002"/>
      <w:bookmarkEnd w:id="13"/>
      <w:r>
        <w:rPr>
          <w:b/>
          <w:bCs/>
          <w:caps/>
          <w:sz w:val="20"/>
          <w:szCs w:val="20"/>
        </w:rPr>
        <w:t>DETERMINATION OF OFFERING PRICE</w:t>
      </w:r>
    </w:p>
    <w:p w14:paraId="695F2636" w14:textId="77777777" w:rsidR="0087113F" w:rsidRDefault="004837DC">
      <w:pPr>
        <w:jc w:val="center"/>
        <w:rPr>
          <w:sz w:val="20"/>
          <w:szCs w:val="20"/>
        </w:rPr>
      </w:pPr>
      <w:r>
        <w:rPr>
          <w:sz w:val="20"/>
          <w:szCs w:val="20"/>
        </w:rPr>
        <w:t> </w:t>
      </w:r>
    </w:p>
    <w:p w14:paraId="0249CCB9" w14:textId="0CB6D197" w:rsidR="0087113F" w:rsidRDefault="0002579B">
      <w:pPr>
        <w:ind w:firstLine="720"/>
        <w:jc w:val="both"/>
        <w:rPr>
          <w:sz w:val="20"/>
          <w:szCs w:val="20"/>
        </w:rPr>
      </w:pPr>
      <w:r>
        <w:rPr>
          <w:sz w:val="20"/>
          <w:szCs w:val="20"/>
        </w:rPr>
        <w:t xml:space="preserve">Each </w:t>
      </w:r>
      <w:r w:rsidR="009F71ED">
        <w:rPr>
          <w:sz w:val="20"/>
          <w:szCs w:val="20"/>
        </w:rPr>
        <w:t>S</w:t>
      </w:r>
      <w:r w:rsidR="004837DC">
        <w:rPr>
          <w:sz w:val="20"/>
          <w:szCs w:val="20"/>
        </w:rPr>
        <w:t xml:space="preserve">elling </w:t>
      </w:r>
      <w:r w:rsidR="009F71ED">
        <w:rPr>
          <w:sz w:val="20"/>
          <w:szCs w:val="20"/>
        </w:rPr>
        <w:t>S</w:t>
      </w:r>
      <w:r w:rsidR="004837DC">
        <w:rPr>
          <w:sz w:val="20"/>
          <w:szCs w:val="20"/>
        </w:rPr>
        <w:t xml:space="preserve">tockholder will determine at what price </w:t>
      </w:r>
      <w:r w:rsidR="009F71ED">
        <w:rPr>
          <w:sz w:val="20"/>
          <w:szCs w:val="20"/>
        </w:rPr>
        <w:t>it</w:t>
      </w:r>
      <w:r w:rsidR="004837DC">
        <w:rPr>
          <w:sz w:val="20"/>
          <w:szCs w:val="20"/>
        </w:rPr>
        <w:t xml:space="preserve"> may sell the securities offered by this prospectus, and such sales may be made at fixed prices, prevailing market prices at the time of the sale, varying prices determined at the time of sale, or negotiated prices. For more information, see “Plan of Distribution.”</w:t>
      </w:r>
    </w:p>
    <w:p w14:paraId="643F8648" w14:textId="77777777" w:rsidR="00B2423E" w:rsidRDefault="00B2423E" w:rsidP="00B2423E">
      <w:pPr>
        <w:jc w:val="both"/>
        <w:rPr>
          <w:sz w:val="20"/>
          <w:szCs w:val="20"/>
        </w:rPr>
      </w:pPr>
    </w:p>
    <w:p w14:paraId="740F7762" w14:textId="77777777" w:rsidR="00B2423E" w:rsidRDefault="00A84152" w:rsidP="00B2423E">
      <w:pPr>
        <w:jc w:val="center"/>
        <w:rPr>
          <w:sz w:val="20"/>
          <w:szCs w:val="20"/>
        </w:rPr>
      </w:pPr>
      <w:r>
        <w:rPr>
          <w:b/>
          <w:bCs/>
          <w:caps/>
          <w:sz w:val="20"/>
          <w:szCs w:val="20"/>
        </w:rPr>
        <w:t>DIVIDEND POLICY</w:t>
      </w:r>
    </w:p>
    <w:p w14:paraId="1063EBC8" w14:textId="77777777" w:rsidR="00B2423E" w:rsidRDefault="00B2423E" w:rsidP="00B2423E">
      <w:pPr>
        <w:jc w:val="center"/>
        <w:rPr>
          <w:sz w:val="20"/>
          <w:szCs w:val="20"/>
        </w:rPr>
      </w:pPr>
      <w:r>
        <w:rPr>
          <w:sz w:val="20"/>
          <w:szCs w:val="20"/>
        </w:rPr>
        <w:t> </w:t>
      </w:r>
    </w:p>
    <w:p w14:paraId="645910D3" w14:textId="77777777" w:rsidR="00B2423E" w:rsidRPr="00B2423E" w:rsidRDefault="00B2423E" w:rsidP="00B2423E">
      <w:pPr>
        <w:ind w:firstLine="720"/>
        <w:jc w:val="both"/>
        <w:rPr>
          <w:sz w:val="20"/>
          <w:szCs w:val="20"/>
        </w:rPr>
      </w:pPr>
      <w:r w:rsidRPr="00B2423E">
        <w:rPr>
          <w:sz w:val="20"/>
          <w:szCs w:val="20"/>
        </w:rPr>
        <w:t>To date, we have paid no cash dividends on our shares of common stock and we do not expect to pay cash dividends on our common stock in the foreseeable future. We intend to retain future earnings, if any, to provide funds for operations of our business. Therefore, any potential return investors may have in our common stock will be in the form of appreciation, if any, in the market value of their shares of common stock. We are not subject to any legal restrictions respecting the payment of dividends, except that we may not pay dividends if the payment would render us insolvent. Any future determination as to the payment of cash dividends on our common stock will be at the discretion of our Board of Directors.</w:t>
      </w:r>
    </w:p>
    <w:p w14:paraId="47E75F32" w14:textId="77777777" w:rsidR="00B2423E" w:rsidRDefault="00B2423E" w:rsidP="00B2423E">
      <w:pPr>
        <w:ind w:firstLine="720"/>
        <w:jc w:val="both"/>
        <w:rPr>
          <w:sz w:val="20"/>
          <w:szCs w:val="20"/>
        </w:rPr>
      </w:pPr>
    </w:p>
    <w:p w14:paraId="123BD443" w14:textId="77777777" w:rsidR="00A84152" w:rsidRDefault="00A84152" w:rsidP="00B2423E">
      <w:pPr>
        <w:ind w:firstLine="720"/>
        <w:jc w:val="both"/>
        <w:rPr>
          <w:sz w:val="20"/>
          <w:szCs w:val="20"/>
        </w:rPr>
      </w:pPr>
    </w:p>
    <w:p w14:paraId="1C4AD2AD" w14:textId="77777777" w:rsidR="00A84152" w:rsidRDefault="00A84152" w:rsidP="00B2423E">
      <w:pPr>
        <w:ind w:firstLine="720"/>
        <w:jc w:val="both"/>
        <w:rPr>
          <w:sz w:val="20"/>
          <w:szCs w:val="20"/>
        </w:rPr>
        <w:sectPr w:rsidR="00A84152" w:rsidSect="00AE0555">
          <w:pgSz w:w="12240" w:h="15840"/>
          <w:pgMar w:top="1440" w:right="1440" w:bottom="1440" w:left="1440" w:header="720" w:footer="720" w:gutter="0"/>
          <w:cols w:space="720"/>
          <w:docGrid w:linePitch="326"/>
        </w:sectPr>
      </w:pPr>
    </w:p>
    <w:p w14:paraId="7D81037F" w14:textId="77777777" w:rsidR="00A84152" w:rsidRPr="00A84152" w:rsidRDefault="00A84152" w:rsidP="00A84152">
      <w:pPr>
        <w:jc w:val="center"/>
        <w:rPr>
          <w:b/>
          <w:sz w:val="20"/>
          <w:szCs w:val="20"/>
        </w:rPr>
      </w:pPr>
      <w:r w:rsidRPr="00A84152">
        <w:rPr>
          <w:b/>
          <w:sz w:val="20"/>
          <w:szCs w:val="20"/>
        </w:rPr>
        <w:lastRenderedPageBreak/>
        <w:t>CAPITALIZATION</w:t>
      </w:r>
    </w:p>
    <w:p w14:paraId="7643875A" w14:textId="77777777" w:rsidR="00DD0E85" w:rsidRDefault="00DD0E85" w:rsidP="00745DD1">
      <w:pPr>
        <w:jc w:val="both"/>
        <w:rPr>
          <w:sz w:val="20"/>
          <w:szCs w:val="20"/>
        </w:rPr>
      </w:pPr>
    </w:p>
    <w:p w14:paraId="3C63CA74" w14:textId="0B2BFE4A" w:rsidR="00A84152" w:rsidRPr="00A84152" w:rsidRDefault="00A84152" w:rsidP="00745DD1">
      <w:pPr>
        <w:jc w:val="both"/>
        <w:rPr>
          <w:sz w:val="20"/>
          <w:szCs w:val="20"/>
        </w:rPr>
      </w:pPr>
      <w:r>
        <w:rPr>
          <w:sz w:val="20"/>
          <w:szCs w:val="20"/>
        </w:rPr>
        <w:tab/>
      </w:r>
      <w:r w:rsidRPr="00A84152">
        <w:rPr>
          <w:sz w:val="20"/>
          <w:szCs w:val="20"/>
        </w:rPr>
        <w:t xml:space="preserve">The following table sets forth our capitalization as of </w:t>
      </w:r>
      <w:r w:rsidR="00D240C8">
        <w:rPr>
          <w:sz w:val="20"/>
          <w:szCs w:val="20"/>
        </w:rPr>
        <w:t>March</w:t>
      </w:r>
      <w:r>
        <w:rPr>
          <w:sz w:val="20"/>
          <w:szCs w:val="20"/>
        </w:rPr>
        <w:t xml:space="preserve"> 3</w:t>
      </w:r>
      <w:r w:rsidR="00D240C8">
        <w:rPr>
          <w:sz w:val="20"/>
          <w:szCs w:val="20"/>
        </w:rPr>
        <w:t>1</w:t>
      </w:r>
      <w:r w:rsidRPr="00A84152">
        <w:rPr>
          <w:sz w:val="20"/>
          <w:szCs w:val="20"/>
        </w:rPr>
        <w:t>, 202</w:t>
      </w:r>
      <w:r w:rsidR="00D240C8">
        <w:rPr>
          <w:sz w:val="20"/>
          <w:szCs w:val="20"/>
        </w:rPr>
        <w:t>2</w:t>
      </w:r>
      <w:r w:rsidRPr="00A84152">
        <w:rPr>
          <w:sz w:val="20"/>
          <w:szCs w:val="20"/>
        </w:rPr>
        <w:t>:</w:t>
      </w:r>
    </w:p>
    <w:p w14:paraId="5B5AAB17" w14:textId="77777777" w:rsidR="00A84152" w:rsidRDefault="00A84152" w:rsidP="00745DD1">
      <w:pPr>
        <w:jc w:val="both"/>
        <w:rPr>
          <w:sz w:val="20"/>
          <w:szCs w:val="20"/>
        </w:rPr>
      </w:pPr>
    </w:p>
    <w:p w14:paraId="10DFAAEE" w14:textId="1E725BBD" w:rsidR="00B31B04" w:rsidRDefault="00A84152" w:rsidP="00A23EE1">
      <w:pPr>
        <w:pStyle w:val="ListParagraph"/>
        <w:numPr>
          <w:ilvl w:val="0"/>
          <w:numId w:val="9"/>
        </w:numPr>
        <w:jc w:val="both"/>
        <w:rPr>
          <w:sz w:val="20"/>
          <w:szCs w:val="20"/>
        </w:rPr>
      </w:pPr>
      <w:r w:rsidRPr="00A84152">
        <w:rPr>
          <w:sz w:val="20"/>
          <w:szCs w:val="20"/>
        </w:rPr>
        <w:t>on an actual basis; and</w:t>
      </w:r>
    </w:p>
    <w:p w14:paraId="24362433" w14:textId="77777777" w:rsidR="00DD0E85" w:rsidRPr="00A23EE1" w:rsidRDefault="00DD0E85" w:rsidP="00DD0E85">
      <w:pPr>
        <w:pStyle w:val="ListParagraph"/>
        <w:ind w:left="1080"/>
        <w:jc w:val="both"/>
        <w:rPr>
          <w:sz w:val="20"/>
          <w:szCs w:val="20"/>
        </w:rPr>
      </w:pPr>
    </w:p>
    <w:p w14:paraId="4C3AA605" w14:textId="3B98128C" w:rsidR="00B31B04" w:rsidRDefault="00B31B04" w:rsidP="00B31B04">
      <w:pPr>
        <w:pStyle w:val="ListParagraph"/>
        <w:numPr>
          <w:ilvl w:val="0"/>
          <w:numId w:val="9"/>
        </w:numPr>
        <w:jc w:val="both"/>
        <w:rPr>
          <w:sz w:val="20"/>
          <w:szCs w:val="20"/>
        </w:rPr>
      </w:pPr>
      <w:r w:rsidRPr="00301C8E">
        <w:rPr>
          <w:sz w:val="20"/>
          <w:szCs w:val="20"/>
        </w:rPr>
        <w:t xml:space="preserve">on an as adjusted basis to give effect to </w:t>
      </w:r>
      <w:r>
        <w:rPr>
          <w:sz w:val="20"/>
          <w:szCs w:val="20"/>
        </w:rPr>
        <w:t>(</w:t>
      </w:r>
      <w:r w:rsidR="007D3F7F">
        <w:rPr>
          <w:sz w:val="20"/>
          <w:szCs w:val="20"/>
        </w:rPr>
        <w:t>i</w:t>
      </w:r>
      <w:r>
        <w:rPr>
          <w:sz w:val="20"/>
          <w:szCs w:val="20"/>
        </w:rPr>
        <w:t xml:space="preserve">) </w:t>
      </w:r>
      <w:r w:rsidRPr="00301C8E">
        <w:rPr>
          <w:sz w:val="20"/>
          <w:szCs w:val="20"/>
        </w:rPr>
        <w:t xml:space="preserve">the issuance </w:t>
      </w:r>
      <w:r w:rsidR="007D3F7F">
        <w:rPr>
          <w:sz w:val="20"/>
          <w:szCs w:val="20"/>
        </w:rPr>
        <w:t xml:space="preserve">of 9,090,910 shares of common stock upon the exercise </w:t>
      </w:r>
      <w:r w:rsidRPr="00301C8E">
        <w:rPr>
          <w:sz w:val="20"/>
          <w:szCs w:val="20"/>
        </w:rPr>
        <w:t xml:space="preserve">of </w:t>
      </w:r>
      <w:r w:rsidR="007D3F7F">
        <w:rPr>
          <w:sz w:val="20"/>
          <w:szCs w:val="20"/>
        </w:rPr>
        <w:t>the Pre-Funded Warrant</w:t>
      </w:r>
      <w:r w:rsidR="00A23EE1">
        <w:rPr>
          <w:sz w:val="20"/>
          <w:szCs w:val="20"/>
        </w:rPr>
        <w:t xml:space="preserve"> issued in the Private Placement</w:t>
      </w:r>
      <w:r w:rsidR="007D3F7F">
        <w:rPr>
          <w:sz w:val="20"/>
          <w:szCs w:val="20"/>
        </w:rPr>
        <w:t xml:space="preserve">, (ii) </w:t>
      </w:r>
      <w:r w:rsidR="007D3F7F" w:rsidRPr="00301C8E">
        <w:rPr>
          <w:sz w:val="20"/>
          <w:szCs w:val="20"/>
        </w:rPr>
        <w:t xml:space="preserve">the issuance and sale by us of </w:t>
      </w:r>
      <w:r w:rsidR="007D3F7F">
        <w:rPr>
          <w:sz w:val="20"/>
          <w:szCs w:val="20"/>
        </w:rPr>
        <w:t xml:space="preserve">1,050,000 </w:t>
      </w:r>
      <w:r w:rsidR="007D3F7F" w:rsidRPr="00301C8E">
        <w:rPr>
          <w:sz w:val="20"/>
          <w:szCs w:val="20"/>
        </w:rPr>
        <w:t xml:space="preserve">shares of common stock </w:t>
      </w:r>
      <w:r w:rsidR="007D3F7F">
        <w:rPr>
          <w:sz w:val="20"/>
          <w:szCs w:val="20"/>
        </w:rPr>
        <w:t xml:space="preserve">and pre-funded warrants exercisable for 1,980,304 shares of Common Stock </w:t>
      </w:r>
      <w:r w:rsidR="00A23EE1">
        <w:rPr>
          <w:sz w:val="20"/>
          <w:szCs w:val="20"/>
        </w:rPr>
        <w:t>in the registered direct offering concurrent to the Private Placement at the offering price of $1.65 per share, and (iii)</w:t>
      </w:r>
      <w:r w:rsidR="00A23EE1" w:rsidRPr="00A23EE1">
        <w:rPr>
          <w:sz w:val="20"/>
          <w:szCs w:val="20"/>
        </w:rPr>
        <w:t xml:space="preserve"> </w:t>
      </w:r>
      <w:r w:rsidR="00A23EE1" w:rsidRPr="003D3B28">
        <w:rPr>
          <w:sz w:val="20"/>
          <w:szCs w:val="20"/>
        </w:rPr>
        <w:t>receipt of the gross proceeds from the Private Placement</w:t>
      </w:r>
      <w:r w:rsidR="00A23EE1">
        <w:rPr>
          <w:sz w:val="20"/>
          <w:szCs w:val="20"/>
        </w:rPr>
        <w:t xml:space="preserve"> and registered direct offering</w:t>
      </w:r>
      <w:r w:rsidR="00A23EE1" w:rsidRPr="003D3B28">
        <w:rPr>
          <w:sz w:val="20"/>
          <w:szCs w:val="20"/>
        </w:rPr>
        <w:t xml:space="preserve"> after deducting commissions and offering expenses payable by us and the use of proceeds therefrom</w:t>
      </w:r>
      <w:r w:rsidR="00A23EE1">
        <w:rPr>
          <w:sz w:val="20"/>
          <w:szCs w:val="20"/>
        </w:rPr>
        <w:t>.</w:t>
      </w:r>
    </w:p>
    <w:p w14:paraId="2FA80AF3" w14:textId="77777777" w:rsidR="00B31B04" w:rsidRPr="00A23EE1" w:rsidRDefault="00B31B04" w:rsidP="00A23EE1">
      <w:pPr>
        <w:jc w:val="both"/>
        <w:rPr>
          <w:sz w:val="20"/>
          <w:szCs w:val="20"/>
        </w:rPr>
      </w:pPr>
    </w:p>
    <w:p w14:paraId="15C64701" w14:textId="77777777" w:rsidR="00A84152" w:rsidRDefault="00A84152" w:rsidP="00745DD1">
      <w:pPr>
        <w:ind w:left="144" w:right="144" w:firstLine="720"/>
        <w:jc w:val="both"/>
        <w:rPr>
          <w:sz w:val="20"/>
          <w:szCs w:val="20"/>
        </w:rPr>
      </w:pPr>
      <w:r>
        <w:rPr>
          <w:sz w:val="20"/>
          <w:szCs w:val="20"/>
        </w:rPr>
        <w:t>You should read this table together with our financial statements and the related notes, and “Management’s Discussion and Analysis of Financial Condition and Results of Operations.”</w:t>
      </w:r>
    </w:p>
    <w:p w14:paraId="729EC0DC" w14:textId="77777777" w:rsidR="00A84152" w:rsidRDefault="00A84152" w:rsidP="00A84152">
      <w:pPr>
        <w:ind w:left="144" w:right="144" w:firstLine="720"/>
        <w:jc w:val="both"/>
        <w:rPr>
          <w:sz w:val="20"/>
          <w:szCs w:val="20"/>
        </w:rPr>
      </w:pPr>
    </w:p>
    <w:tbl>
      <w:tblPr>
        <w:tblStyle w:val="finTable"/>
        <w:tblW w:w="4750" w:type="pct"/>
        <w:tblCellSpacing w:w="0" w:type="dxa"/>
        <w:tblInd w:w="324" w:type="dxa"/>
        <w:tblCellMar>
          <w:left w:w="0" w:type="dxa"/>
          <w:right w:w="0" w:type="dxa"/>
        </w:tblCellMar>
        <w:tblLook w:val="05E0" w:firstRow="1" w:lastRow="1" w:firstColumn="1" w:lastColumn="1" w:noHBand="0" w:noVBand="1"/>
      </w:tblPr>
      <w:tblGrid>
        <w:gridCol w:w="6046"/>
        <w:gridCol w:w="86"/>
        <w:gridCol w:w="100"/>
        <w:gridCol w:w="1152"/>
        <w:gridCol w:w="85"/>
        <w:gridCol w:w="85"/>
        <w:gridCol w:w="101"/>
        <w:gridCol w:w="1152"/>
        <w:gridCol w:w="85"/>
      </w:tblGrid>
      <w:tr w:rsidR="00A84152" w14:paraId="0B438B03" w14:textId="77777777" w:rsidTr="000A62FB">
        <w:trPr>
          <w:cantSplit/>
          <w:tblCellSpacing w:w="0" w:type="dxa"/>
        </w:trPr>
        <w:tc>
          <w:tcPr>
            <w:tcW w:w="0" w:type="auto"/>
            <w:shd w:val="clear" w:color="auto" w:fill="auto"/>
            <w:tcMar>
              <w:top w:w="0" w:type="dxa"/>
              <w:left w:w="0" w:type="dxa"/>
              <w:bottom w:w="0" w:type="dxa"/>
              <w:right w:w="0" w:type="dxa"/>
            </w:tcMar>
            <w:vAlign w:val="bottom"/>
            <w:hideMark/>
          </w:tcPr>
          <w:p w14:paraId="4F59AD69"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3E5E67CA" w14:textId="77777777" w:rsidR="00A84152" w:rsidRDefault="00A84152" w:rsidP="00745DD1">
            <w:pPr>
              <w:rPr>
                <w:color w:val="000000"/>
                <w:sz w:val="20"/>
                <w:szCs w:val="20"/>
              </w:rPr>
            </w:pPr>
          </w:p>
        </w:tc>
        <w:tc>
          <w:tcPr>
            <w:tcW w:w="0" w:type="auto"/>
            <w:gridSpan w:val="6"/>
            <w:tcBorders>
              <w:bottom w:val="single" w:sz="12" w:space="0" w:color="000000"/>
            </w:tcBorders>
            <w:shd w:val="clear" w:color="auto" w:fill="auto"/>
            <w:tcMar>
              <w:top w:w="0" w:type="dxa"/>
              <w:left w:w="0" w:type="dxa"/>
              <w:bottom w:w="15" w:type="dxa"/>
              <w:right w:w="0" w:type="dxa"/>
            </w:tcMar>
            <w:vAlign w:val="bottom"/>
            <w:hideMark/>
          </w:tcPr>
          <w:p w14:paraId="46C097A2" w14:textId="073073F5" w:rsidR="00A84152" w:rsidRDefault="00A84152" w:rsidP="00745DD1">
            <w:pPr>
              <w:jc w:val="center"/>
              <w:rPr>
                <w:color w:val="000000"/>
                <w:sz w:val="20"/>
                <w:szCs w:val="20"/>
              </w:rPr>
            </w:pPr>
            <w:r>
              <w:rPr>
                <w:b/>
                <w:bCs/>
                <w:color w:val="000000"/>
                <w:sz w:val="20"/>
                <w:szCs w:val="20"/>
              </w:rPr>
              <w:t xml:space="preserve">As of </w:t>
            </w:r>
            <w:r w:rsidR="009B6249">
              <w:rPr>
                <w:b/>
                <w:bCs/>
                <w:color w:val="000000"/>
                <w:sz w:val="20"/>
                <w:szCs w:val="20"/>
              </w:rPr>
              <w:t>March</w:t>
            </w:r>
            <w:r>
              <w:rPr>
                <w:b/>
                <w:bCs/>
                <w:color w:val="000000"/>
                <w:sz w:val="20"/>
                <w:szCs w:val="20"/>
              </w:rPr>
              <w:t xml:space="preserve"> 3</w:t>
            </w:r>
            <w:r w:rsidR="009B6249">
              <w:rPr>
                <w:b/>
                <w:bCs/>
                <w:color w:val="000000"/>
                <w:sz w:val="20"/>
                <w:szCs w:val="20"/>
              </w:rPr>
              <w:t>1</w:t>
            </w:r>
            <w:r>
              <w:rPr>
                <w:b/>
                <w:bCs/>
                <w:color w:val="000000"/>
                <w:sz w:val="20"/>
                <w:szCs w:val="20"/>
              </w:rPr>
              <w:t>, 202</w:t>
            </w:r>
            <w:r w:rsidR="009B6249">
              <w:rPr>
                <w:b/>
                <w:bCs/>
                <w:color w:val="000000"/>
                <w:sz w:val="20"/>
                <w:szCs w:val="20"/>
              </w:rPr>
              <w:t>2</w:t>
            </w:r>
          </w:p>
          <w:p w14:paraId="6586073A" w14:textId="77777777" w:rsidR="00A84152" w:rsidRDefault="00A84152" w:rsidP="00745DD1">
            <w:pPr>
              <w:jc w:val="center"/>
              <w:rPr>
                <w:color w:val="000000"/>
                <w:sz w:val="20"/>
                <w:szCs w:val="20"/>
              </w:rPr>
            </w:pPr>
            <w:r>
              <w:rPr>
                <w:b/>
                <w:bCs/>
                <w:color w:val="000000"/>
                <w:sz w:val="20"/>
                <w:szCs w:val="20"/>
              </w:rPr>
              <w:t>(unaudited)</w:t>
            </w:r>
          </w:p>
        </w:tc>
        <w:tc>
          <w:tcPr>
            <w:tcW w:w="0" w:type="auto"/>
            <w:shd w:val="clear" w:color="auto" w:fill="auto"/>
            <w:tcMar>
              <w:top w:w="0" w:type="dxa"/>
              <w:left w:w="0" w:type="dxa"/>
              <w:bottom w:w="0" w:type="dxa"/>
              <w:right w:w="0" w:type="dxa"/>
            </w:tcMar>
            <w:vAlign w:val="bottom"/>
            <w:hideMark/>
          </w:tcPr>
          <w:p w14:paraId="61D0330E" w14:textId="77777777" w:rsidR="00A84152" w:rsidRDefault="00A84152" w:rsidP="00745DD1">
            <w:pPr>
              <w:rPr>
                <w:color w:val="000000"/>
                <w:sz w:val="20"/>
                <w:szCs w:val="20"/>
              </w:rPr>
            </w:pPr>
          </w:p>
        </w:tc>
      </w:tr>
      <w:tr w:rsidR="00A84152" w14:paraId="3B7C1461" w14:textId="77777777" w:rsidTr="000A62FB">
        <w:trPr>
          <w:cantSplit/>
          <w:tblCellSpacing w:w="0" w:type="dxa"/>
        </w:trPr>
        <w:tc>
          <w:tcPr>
            <w:tcW w:w="0" w:type="auto"/>
            <w:shd w:val="clear" w:color="auto" w:fill="auto"/>
            <w:tcMar>
              <w:top w:w="0" w:type="dxa"/>
              <w:left w:w="0" w:type="dxa"/>
              <w:bottom w:w="0" w:type="dxa"/>
              <w:right w:w="0" w:type="dxa"/>
            </w:tcMar>
            <w:vAlign w:val="bottom"/>
            <w:hideMark/>
          </w:tcPr>
          <w:p w14:paraId="3938AD49"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4E5C9007" w14:textId="77777777" w:rsidR="00A84152" w:rsidRDefault="00A84152" w:rsidP="00745DD1">
            <w:pPr>
              <w:rPr>
                <w:color w:val="000000"/>
                <w:sz w:val="20"/>
                <w:szCs w:val="20"/>
              </w:rPr>
            </w:pPr>
          </w:p>
        </w:tc>
        <w:tc>
          <w:tcPr>
            <w:tcW w:w="0" w:type="auto"/>
            <w:gridSpan w:val="2"/>
            <w:shd w:val="clear" w:color="auto" w:fill="auto"/>
            <w:tcMar>
              <w:top w:w="0" w:type="dxa"/>
              <w:left w:w="0" w:type="dxa"/>
              <w:bottom w:w="0" w:type="dxa"/>
              <w:right w:w="0" w:type="dxa"/>
            </w:tcMar>
            <w:vAlign w:val="bottom"/>
            <w:hideMark/>
          </w:tcPr>
          <w:p w14:paraId="500E3376" w14:textId="77777777" w:rsidR="00A84152" w:rsidRDefault="00A84152" w:rsidP="00745DD1">
            <w:pPr>
              <w:jc w:val="center"/>
              <w:rPr>
                <w:color w:val="000000"/>
                <w:sz w:val="20"/>
                <w:szCs w:val="20"/>
              </w:rPr>
            </w:pPr>
            <w:r>
              <w:rPr>
                <w:b/>
                <w:bCs/>
                <w:color w:val="000000"/>
                <w:sz w:val="20"/>
                <w:szCs w:val="20"/>
              </w:rPr>
              <w:t>Actual</w:t>
            </w:r>
          </w:p>
        </w:tc>
        <w:tc>
          <w:tcPr>
            <w:tcW w:w="0" w:type="auto"/>
            <w:shd w:val="clear" w:color="auto" w:fill="auto"/>
            <w:tcMar>
              <w:top w:w="0" w:type="dxa"/>
              <w:left w:w="0" w:type="dxa"/>
              <w:bottom w:w="0" w:type="dxa"/>
              <w:right w:w="0" w:type="dxa"/>
            </w:tcMar>
            <w:vAlign w:val="bottom"/>
            <w:hideMark/>
          </w:tcPr>
          <w:p w14:paraId="4BD90451"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5F877815" w14:textId="77777777" w:rsidR="00A84152" w:rsidRDefault="00A84152" w:rsidP="00745DD1">
            <w:pPr>
              <w:rPr>
                <w:color w:val="000000"/>
                <w:sz w:val="20"/>
                <w:szCs w:val="20"/>
              </w:rPr>
            </w:pPr>
          </w:p>
        </w:tc>
        <w:tc>
          <w:tcPr>
            <w:tcW w:w="0" w:type="auto"/>
            <w:gridSpan w:val="2"/>
            <w:shd w:val="clear" w:color="auto" w:fill="auto"/>
            <w:tcMar>
              <w:top w:w="0" w:type="dxa"/>
              <w:left w:w="0" w:type="dxa"/>
              <w:bottom w:w="0" w:type="dxa"/>
              <w:right w:w="0" w:type="dxa"/>
            </w:tcMar>
            <w:vAlign w:val="bottom"/>
            <w:hideMark/>
          </w:tcPr>
          <w:p w14:paraId="6B16A39B" w14:textId="3B4EF437" w:rsidR="00A84152" w:rsidRDefault="00A84152" w:rsidP="00AE1A3D">
            <w:pPr>
              <w:jc w:val="center"/>
              <w:rPr>
                <w:color w:val="000000"/>
                <w:sz w:val="20"/>
                <w:szCs w:val="20"/>
              </w:rPr>
            </w:pPr>
            <w:r>
              <w:rPr>
                <w:b/>
                <w:bCs/>
                <w:color w:val="000000"/>
                <w:sz w:val="20"/>
                <w:szCs w:val="20"/>
              </w:rPr>
              <w:t>As Adjusted</w:t>
            </w:r>
          </w:p>
        </w:tc>
        <w:tc>
          <w:tcPr>
            <w:tcW w:w="0" w:type="auto"/>
            <w:shd w:val="clear" w:color="auto" w:fill="auto"/>
            <w:tcMar>
              <w:top w:w="0" w:type="dxa"/>
              <w:left w:w="0" w:type="dxa"/>
              <w:bottom w:w="0" w:type="dxa"/>
              <w:right w:w="0" w:type="dxa"/>
            </w:tcMar>
            <w:vAlign w:val="bottom"/>
            <w:hideMark/>
          </w:tcPr>
          <w:p w14:paraId="5E8F5350" w14:textId="77777777" w:rsidR="00A84152" w:rsidRDefault="00A84152" w:rsidP="00745DD1">
            <w:pPr>
              <w:rPr>
                <w:color w:val="000000"/>
                <w:sz w:val="20"/>
                <w:szCs w:val="20"/>
              </w:rPr>
            </w:pPr>
          </w:p>
        </w:tc>
      </w:tr>
      <w:tr w:rsidR="000A62FB" w14:paraId="46D5016D" w14:textId="77777777" w:rsidTr="00745DD1">
        <w:trPr>
          <w:cantSplit/>
          <w:tblCellSpacing w:w="0" w:type="dxa"/>
        </w:trPr>
        <w:tc>
          <w:tcPr>
            <w:tcW w:w="3398" w:type="pct"/>
            <w:shd w:val="clear" w:color="auto" w:fill="auto"/>
            <w:tcMar>
              <w:top w:w="0" w:type="dxa"/>
              <w:left w:w="0" w:type="dxa"/>
              <w:bottom w:w="0" w:type="dxa"/>
              <w:right w:w="0" w:type="dxa"/>
            </w:tcMar>
            <w:vAlign w:val="bottom"/>
            <w:hideMark/>
          </w:tcPr>
          <w:p w14:paraId="2226B1CB" w14:textId="77777777" w:rsidR="00A84152" w:rsidRDefault="00A84152" w:rsidP="00745DD1">
            <w:pPr>
              <w:rPr>
                <w:color w:val="000000"/>
                <w:sz w:val="20"/>
                <w:szCs w:val="20"/>
              </w:rPr>
            </w:pPr>
            <w:r>
              <w:rPr>
                <w:color w:val="000000"/>
                <w:sz w:val="20"/>
                <w:szCs w:val="20"/>
              </w:rPr>
              <w:t>Cash and cash equivalents</w:t>
            </w:r>
          </w:p>
        </w:tc>
        <w:tc>
          <w:tcPr>
            <w:tcW w:w="48" w:type="pct"/>
            <w:shd w:val="clear" w:color="auto" w:fill="auto"/>
            <w:tcMar>
              <w:top w:w="0" w:type="dxa"/>
              <w:left w:w="0" w:type="dxa"/>
              <w:bottom w:w="0" w:type="dxa"/>
              <w:right w:w="0" w:type="dxa"/>
            </w:tcMar>
            <w:vAlign w:val="bottom"/>
            <w:hideMark/>
          </w:tcPr>
          <w:p w14:paraId="417F8972" w14:textId="77777777" w:rsidR="00A84152" w:rsidRDefault="00A84152" w:rsidP="00745DD1">
            <w:pPr>
              <w:rPr>
                <w:color w:val="000000"/>
                <w:sz w:val="20"/>
                <w:szCs w:val="20"/>
              </w:rPr>
            </w:pPr>
          </w:p>
        </w:tc>
        <w:tc>
          <w:tcPr>
            <w:tcW w:w="56" w:type="pct"/>
            <w:shd w:val="clear" w:color="auto" w:fill="auto"/>
            <w:tcMar>
              <w:top w:w="0" w:type="dxa"/>
              <w:left w:w="0" w:type="dxa"/>
              <w:bottom w:w="0" w:type="dxa"/>
              <w:right w:w="0" w:type="dxa"/>
            </w:tcMar>
            <w:vAlign w:val="bottom"/>
            <w:hideMark/>
          </w:tcPr>
          <w:p w14:paraId="54C8A5F1" w14:textId="77777777" w:rsidR="00A84152" w:rsidRDefault="00A84152" w:rsidP="00745DD1">
            <w:pPr>
              <w:rPr>
                <w:color w:val="000000"/>
                <w:sz w:val="20"/>
                <w:szCs w:val="20"/>
              </w:rPr>
            </w:pPr>
            <w:r>
              <w:rPr>
                <w:color w:val="000000"/>
                <w:sz w:val="20"/>
                <w:szCs w:val="20"/>
              </w:rPr>
              <w:t>$</w:t>
            </w:r>
          </w:p>
        </w:tc>
        <w:tc>
          <w:tcPr>
            <w:tcW w:w="648" w:type="pct"/>
            <w:shd w:val="clear" w:color="auto" w:fill="auto"/>
            <w:tcMar>
              <w:top w:w="0" w:type="dxa"/>
              <w:left w:w="0" w:type="dxa"/>
              <w:bottom w:w="0" w:type="dxa"/>
              <w:right w:w="0" w:type="dxa"/>
            </w:tcMar>
            <w:vAlign w:val="bottom"/>
            <w:hideMark/>
          </w:tcPr>
          <w:p w14:paraId="3092EBFD" w14:textId="55646961" w:rsidR="00A84152" w:rsidRDefault="009B6249" w:rsidP="00745DD1">
            <w:pPr>
              <w:jc w:val="right"/>
              <w:rPr>
                <w:color w:val="000000"/>
                <w:sz w:val="20"/>
                <w:szCs w:val="20"/>
              </w:rPr>
            </w:pPr>
            <w:r>
              <w:rPr>
                <w:color w:val="000000"/>
                <w:sz w:val="20"/>
                <w:szCs w:val="20"/>
              </w:rPr>
              <w:t>16,257,716</w:t>
            </w:r>
          </w:p>
        </w:tc>
        <w:tc>
          <w:tcPr>
            <w:tcW w:w="48" w:type="pct"/>
            <w:shd w:val="clear" w:color="auto" w:fill="auto"/>
            <w:noWrap/>
            <w:tcMar>
              <w:top w:w="0" w:type="dxa"/>
              <w:left w:w="0" w:type="dxa"/>
              <w:bottom w:w="0" w:type="dxa"/>
              <w:right w:w="0" w:type="dxa"/>
            </w:tcMar>
            <w:vAlign w:val="bottom"/>
            <w:hideMark/>
          </w:tcPr>
          <w:p w14:paraId="0F740FCC" w14:textId="77777777" w:rsidR="00A84152" w:rsidRDefault="00A84152" w:rsidP="00745DD1">
            <w:pPr>
              <w:rPr>
                <w:color w:val="000000"/>
                <w:sz w:val="20"/>
                <w:szCs w:val="20"/>
              </w:rPr>
            </w:pPr>
          </w:p>
        </w:tc>
        <w:tc>
          <w:tcPr>
            <w:tcW w:w="48" w:type="pct"/>
            <w:shd w:val="clear" w:color="auto" w:fill="auto"/>
            <w:tcMar>
              <w:top w:w="0" w:type="dxa"/>
              <w:left w:w="0" w:type="dxa"/>
              <w:bottom w:w="0" w:type="dxa"/>
              <w:right w:w="0" w:type="dxa"/>
            </w:tcMar>
            <w:vAlign w:val="bottom"/>
            <w:hideMark/>
          </w:tcPr>
          <w:p w14:paraId="728EB223" w14:textId="77777777" w:rsidR="00A84152" w:rsidRDefault="00A84152" w:rsidP="00745DD1">
            <w:pPr>
              <w:rPr>
                <w:color w:val="000000"/>
                <w:sz w:val="20"/>
                <w:szCs w:val="20"/>
              </w:rPr>
            </w:pPr>
          </w:p>
        </w:tc>
        <w:tc>
          <w:tcPr>
            <w:tcW w:w="57" w:type="pct"/>
            <w:shd w:val="clear" w:color="auto" w:fill="auto"/>
            <w:tcMar>
              <w:top w:w="0" w:type="dxa"/>
              <w:left w:w="0" w:type="dxa"/>
              <w:bottom w:w="0" w:type="dxa"/>
              <w:right w:w="0" w:type="dxa"/>
            </w:tcMar>
            <w:vAlign w:val="bottom"/>
            <w:hideMark/>
          </w:tcPr>
          <w:p w14:paraId="6754EF49" w14:textId="77777777" w:rsidR="00A84152" w:rsidRDefault="00A84152" w:rsidP="00745DD1">
            <w:pPr>
              <w:rPr>
                <w:color w:val="000000"/>
                <w:sz w:val="20"/>
                <w:szCs w:val="20"/>
              </w:rPr>
            </w:pPr>
            <w:r>
              <w:rPr>
                <w:color w:val="000000"/>
                <w:sz w:val="20"/>
                <w:szCs w:val="20"/>
              </w:rPr>
              <w:t>$</w:t>
            </w:r>
          </w:p>
        </w:tc>
        <w:tc>
          <w:tcPr>
            <w:tcW w:w="648" w:type="pct"/>
            <w:shd w:val="clear" w:color="auto" w:fill="auto"/>
            <w:tcMar>
              <w:top w:w="0" w:type="dxa"/>
              <w:left w:w="0" w:type="dxa"/>
              <w:bottom w:w="0" w:type="dxa"/>
              <w:right w:w="0" w:type="dxa"/>
            </w:tcMar>
            <w:vAlign w:val="bottom"/>
            <w:hideMark/>
          </w:tcPr>
          <w:p w14:paraId="406CA60D" w14:textId="4F2F907E" w:rsidR="00A84152" w:rsidRDefault="009B6249" w:rsidP="00745DD1">
            <w:pPr>
              <w:jc w:val="right"/>
              <w:rPr>
                <w:color w:val="000000"/>
                <w:sz w:val="20"/>
                <w:szCs w:val="20"/>
              </w:rPr>
            </w:pPr>
            <w:r>
              <w:rPr>
                <w:color w:val="000000"/>
                <w:sz w:val="20"/>
                <w:szCs w:val="20"/>
              </w:rPr>
              <w:t>34,742,719</w:t>
            </w:r>
          </w:p>
        </w:tc>
        <w:tc>
          <w:tcPr>
            <w:tcW w:w="48" w:type="pct"/>
            <w:shd w:val="clear" w:color="auto" w:fill="auto"/>
            <w:noWrap/>
            <w:tcMar>
              <w:top w:w="0" w:type="dxa"/>
              <w:left w:w="0" w:type="dxa"/>
              <w:bottom w:w="0" w:type="dxa"/>
              <w:right w:w="0" w:type="dxa"/>
            </w:tcMar>
            <w:vAlign w:val="bottom"/>
            <w:hideMark/>
          </w:tcPr>
          <w:p w14:paraId="232B1518" w14:textId="77777777" w:rsidR="00A84152" w:rsidRDefault="00A84152" w:rsidP="00745DD1">
            <w:pPr>
              <w:rPr>
                <w:color w:val="000000"/>
                <w:sz w:val="20"/>
                <w:szCs w:val="20"/>
              </w:rPr>
            </w:pPr>
          </w:p>
        </w:tc>
      </w:tr>
      <w:tr w:rsidR="000A62FB" w14:paraId="7C77935B" w14:textId="77777777" w:rsidTr="00745DD1">
        <w:trPr>
          <w:cantSplit/>
          <w:tblCellSpacing w:w="0" w:type="dxa"/>
        </w:trPr>
        <w:tc>
          <w:tcPr>
            <w:tcW w:w="0" w:type="auto"/>
            <w:shd w:val="clear" w:color="auto" w:fill="auto"/>
            <w:tcMar>
              <w:top w:w="0" w:type="dxa"/>
              <w:left w:w="0" w:type="dxa"/>
              <w:bottom w:w="0" w:type="dxa"/>
              <w:right w:w="0" w:type="dxa"/>
            </w:tcMar>
            <w:vAlign w:val="bottom"/>
            <w:hideMark/>
          </w:tcPr>
          <w:p w14:paraId="74A485EA" w14:textId="77777777" w:rsidR="00A84152" w:rsidRDefault="00A84152" w:rsidP="00745DD1">
            <w:pPr>
              <w:rPr>
                <w:color w:val="000000"/>
                <w:sz w:val="20"/>
                <w:szCs w:val="20"/>
              </w:rPr>
            </w:pPr>
            <w:r>
              <w:rPr>
                <w:color w:val="000000"/>
                <w:sz w:val="20"/>
                <w:szCs w:val="20"/>
              </w:rPr>
              <w:t>Total liabilities</w:t>
            </w:r>
          </w:p>
        </w:tc>
        <w:tc>
          <w:tcPr>
            <w:tcW w:w="48" w:type="pct"/>
            <w:shd w:val="clear" w:color="auto" w:fill="auto"/>
            <w:tcMar>
              <w:top w:w="0" w:type="dxa"/>
              <w:left w:w="0" w:type="dxa"/>
              <w:bottom w:w="0" w:type="dxa"/>
              <w:right w:w="0" w:type="dxa"/>
            </w:tcMar>
            <w:vAlign w:val="bottom"/>
            <w:hideMark/>
          </w:tcPr>
          <w:p w14:paraId="66B2619C" w14:textId="77777777" w:rsidR="00A84152" w:rsidRDefault="00A84152" w:rsidP="00745DD1">
            <w:pPr>
              <w:rPr>
                <w:color w:val="000000"/>
                <w:sz w:val="20"/>
                <w:szCs w:val="20"/>
              </w:rPr>
            </w:pPr>
          </w:p>
        </w:tc>
        <w:tc>
          <w:tcPr>
            <w:tcW w:w="56" w:type="pct"/>
            <w:shd w:val="clear" w:color="auto" w:fill="auto"/>
            <w:tcMar>
              <w:top w:w="0" w:type="dxa"/>
              <w:left w:w="0" w:type="dxa"/>
              <w:bottom w:w="0" w:type="dxa"/>
              <w:right w:w="0" w:type="dxa"/>
            </w:tcMar>
            <w:vAlign w:val="bottom"/>
            <w:hideMark/>
          </w:tcPr>
          <w:p w14:paraId="64578466" w14:textId="77777777" w:rsidR="00A84152" w:rsidRDefault="00A84152" w:rsidP="00745DD1">
            <w:pPr>
              <w:rPr>
                <w:color w:val="000000"/>
                <w:sz w:val="20"/>
                <w:szCs w:val="20"/>
              </w:rPr>
            </w:pPr>
          </w:p>
        </w:tc>
        <w:tc>
          <w:tcPr>
            <w:tcW w:w="648" w:type="pct"/>
            <w:shd w:val="clear" w:color="auto" w:fill="auto"/>
            <w:tcMar>
              <w:top w:w="0" w:type="dxa"/>
              <w:left w:w="0" w:type="dxa"/>
              <w:bottom w:w="0" w:type="dxa"/>
              <w:right w:w="0" w:type="dxa"/>
            </w:tcMar>
            <w:vAlign w:val="bottom"/>
            <w:hideMark/>
          </w:tcPr>
          <w:p w14:paraId="0C7F1805" w14:textId="605565AC" w:rsidR="00A84152" w:rsidRDefault="009B6249" w:rsidP="00745DD1">
            <w:pPr>
              <w:jc w:val="right"/>
              <w:rPr>
                <w:color w:val="000000"/>
                <w:sz w:val="20"/>
                <w:szCs w:val="20"/>
              </w:rPr>
            </w:pPr>
            <w:r>
              <w:rPr>
                <w:color w:val="000000"/>
                <w:sz w:val="20"/>
                <w:szCs w:val="20"/>
              </w:rPr>
              <w:t>5,501,103</w:t>
            </w:r>
          </w:p>
        </w:tc>
        <w:tc>
          <w:tcPr>
            <w:tcW w:w="48" w:type="pct"/>
            <w:shd w:val="clear" w:color="auto" w:fill="auto"/>
            <w:noWrap/>
            <w:tcMar>
              <w:top w:w="0" w:type="dxa"/>
              <w:left w:w="0" w:type="dxa"/>
              <w:bottom w:w="0" w:type="dxa"/>
              <w:right w:w="0" w:type="dxa"/>
            </w:tcMar>
            <w:vAlign w:val="bottom"/>
            <w:hideMark/>
          </w:tcPr>
          <w:p w14:paraId="02C93EED" w14:textId="77777777" w:rsidR="00A84152" w:rsidRDefault="00A84152" w:rsidP="00745DD1">
            <w:pPr>
              <w:rPr>
                <w:color w:val="000000"/>
                <w:sz w:val="20"/>
                <w:szCs w:val="20"/>
              </w:rPr>
            </w:pPr>
          </w:p>
        </w:tc>
        <w:tc>
          <w:tcPr>
            <w:tcW w:w="48" w:type="pct"/>
            <w:shd w:val="clear" w:color="auto" w:fill="auto"/>
            <w:tcMar>
              <w:top w:w="0" w:type="dxa"/>
              <w:left w:w="0" w:type="dxa"/>
              <w:bottom w:w="0" w:type="dxa"/>
              <w:right w:w="0" w:type="dxa"/>
            </w:tcMar>
            <w:vAlign w:val="bottom"/>
            <w:hideMark/>
          </w:tcPr>
          <w:p w14:paraId="7D7FCC08" w14:textId="77777777" w:rsidR="00A84152" w:rsidRDefault="00A84152" w:rsidP="00745DD1">
            <w:pPr>
              <w:rPr>
                <w:color w:val="000000"/>
                <w:sz w:val="20"/>
                <w:szCs w:val="20"/>
              </w:rPr>
            </w:pPr>
          </w:p>
        </w:tc>
        <w:tc>
          <w:tcPr>
            <w:tcW w:w="57" w:type="pct"/>
            <w:shd w:val="clear" w:color="auto" w:fill="auto"/>
            <w:tcMar>
              <w:top w:w="0" w:type="dxa"/>
              <w:left w:w="0" w:type="dxa"/>
              <w:bottom w:w="0" w:type="dxa"/>
              <w:right w:w="0" w:type="dxa"/>
            </w:tcMar>
            <w:vAlign w:val="bottom"/>
            <w:hideMark/>
          </w:tcPr>
          <w:p w14:paraId="2AC3491E" w14:textId="77777777" w:rsidR="00A84152" w:rsidRDefault="00A84152" w:rsidP="00745DD1">
            <w:pPr>
              <w:rPr>
                <w:color w:val="000000"/>
                <w:sz w:val="20"/>
                <w:szCs w:val="20"/>
              </w:rPr>
            </w:pPr>
          </w:p>
        </w:tc>
        <w:tc>
          <w:tcPr>
            <w:tcW w:w="648" w:type="pct"/>
            <w:shd w:val="clear" w:color="auto" w:fill="auto"/>
            <w:tcMar>
              <w:top w:w="0" w:type="dxa"/>
              <w:left w:w="0" w:type="dxa"/>
              <w:bottom w:w="0" w:type="dxa"/>
              <w:right w:w="0" w:type="dxa"/>
            </w:tcMar>
            <w:vAlign w:val="bottom"/>
            <w:hideMark/>
          </w:tcPr>
          <w:p w14:paraId="20D8D832" w14:textId="6D46D143" w:rsidR="00A84152" w:rsidRDefault="009B6249" w:rsidP="00745DD1">
            <w:pPr>
              <w:jc w:val="right"/>
              <w:rPr>
                <w:color w:val="000000"/>
                <w:sz w:val="20"/>
                <w:szCs w:val="20"/>
              </w:rPr>
            </w:pPr>
            <w:r>
              <w:rPr>
                <w:color w:val="000000"/>
                <w:sz w:val="20"/>
                <w:szCs w:val="20"/>
              </w:rPr>
              <w:t>5,501,103</w:t>
            </w:r>
          </w:p>
        </w:tc>
        <w:tc>
          <w:tcPr>
            <w:tcW w:w="48" w:type="pct"/>
            <w:shd w:val="clear" w:color="auto" w:fill="auto"/>
            <w:noWrap/>
            <w:tcMar>
              <w:top w:w="0" w:type="dxa"/>
              <w:left w:w="0" w:type="dxa"/>
              <w:bottom w:w="0" w:type="dxa"/>
              <w:right w:w="0" w:type="dxa"/>
            </w:tcMar>
            <w:vAlign w:val="bottom"/>
            <w:hideMark/>
          </w:tcPr>
          <w:p w14:paraId="39EAB6E7" w14:textId="77777777" w:rsidR="00A84152" w:rsidRDefault="00A84152" w:rsidP="00745DD1">
            <w:pPr>
              <w:rPr>
                <w:color w:val="000000"/>
                <w:sz w:val="20"/>
                <w:szCs w:val="20"/>
              </w:rPr>
            </w:pPr>
          </w:p>
        </w:tc>
      </w:tr>
      <w:tr w:rsidR="000A62FB" w14:paraId="53A1D902" w14:textId="77777777" w:rsidTr="000A62FB">
        <w:trPr>
          <w:cantSplit/>
          <w:tblCellSpacing w:w="0" w:type="dxa"/>
        </w:trPr>
        <w:tc>
          <w:tcPr>
            <w:tcW w:w="0" w:type="auto"/>
            <w:shd w:val="clear" w:color="auto" w:fill="auto"/>
            <w:tcMar>
              <w:top w:w="0" w:type="dxa"/>
              <w:left w:w="0" w:type="dxa"/>
              <w:bottom w:w="0" w:type="dxa"/>
              <w:right w:w="0" w:type="dxa"/>
            </w:tcMar>
            <w:vAlign w:val="bottom"/>
            <w:hideMark/>
          </w:tcPr>
          <w:p w14:paraId="125D094A" w14:textId="77777777" w:rsidR="00A84152" w:rsidRDefault="00A84152" w:rsidP="00745DD1">
            <w:pPr>
              <w:rPr>
                <w:color w:val="000000"/>
                <w:sz w:val="20"/>
                <w:szCs w:val="20"/>
              </w:rPr>
            </w:pPr>
            <w:r>
              <w:rPr>
                <w:color w:val="000000"/>
                <w:sz w:val="20"/>
                <w:szCs w:val="20"/>
              </w:rPr>
              <w:t>Stockholder’s equity:</w:t>
            </w:r>
          </w:p>
        </w:tc>
        <w:tc>
          <w:tcPr>
            <w:tcW w:w="0" w:type="auto"/>
            <w:shd w:val="clear" w:color="auto" w:fill="auto"/>
            <w:tcMar>
              <w:top w:w="0" w:type="dxa"/>
              <w:left w:w="0" w:type="dxa"/>
              <w:bottom w:w="0" w:type="dxa"/>
              <w:right w:w="0" w:type="dxa"/>
            </w:tcMar>
            <w:vAlign w:val="bottom"/>
            <w:hideMark/>
          </w:tcPr>
          <w:p w14:paraId="163A1FD8"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4EE471A4"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2CE8880E"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6FB85501"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0DA1F1FD"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18CD3CAC"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149D4A16" w14:textId="77777777" w:rsidR="00A84152" w:rsidRDefault="00A84152" w:rsidP="00745DD1">
            <w:pPr>
              <w:rPr>
                <w:color w:val="000000"/>
                <w:sz w:val="20"/>
                <w:szCs w:val="20"/>
              </w:rPr>
            </w:pPr>
          </w:p>
        </w:tc>
        <w:tc>
          <w:tcPr>
            <w:tcW w:w="0" w:type="auto"/>
            <w:shd w:val="clear" w:color="auto" w:fill="auto"/>
            <w:tcMar>
              <w:top w:w="0" w:type="dxa"/>
              <w:left w:w="0" w:type="dxa"/>
              <w:bottom w:w="0" w:type="dxa"/>
              <w:right w:w="0" w:type="dxa"/>
            </w:tcMar>
            <w:vAlign w:val="bottom"/>
            <w:hideMark/>
          </w:tcPr>
          <w:p w14:paraId="712FD8EC" w14:textId="77777777" w:rsidR="00A84152" w:rsidRDefault="00A84152" w:rsidP="00745DD1">
            <w:pPr>
              <w:rPr>
                <w:color w:val="000000"/>
                <w:sz w:val="20"/>
                <w:szCs w:val="20"/>
              </w:rPr>
            </w:pPr>
          </w:p>
        </w:tc>
      </w:tr>
      <w:tr w:rsidR="000A62FB" w14:paraId="3FB28AF2" w14:textId="77777777" w:rsidTr="00745DD1">
        <w:trPr>
          <w:cantSplit/>
          <w:tblCellSpacing w:w="0" w:type="dxa"/>
        </w:trPr>
        <w:tc>
          <w:tcPr>
            <w:tcW w:w="0" w:type="auto"/>
            <w:shd w:val="clear" w:color="auto" w:fill="auto"/>
            <w:tcMar>
              <w:top w:w="0" w:type="dxa"/>
              <w:left w:w="0" w:type="dxa"/>
              <w:bottom w:w="0" w:type="dxa"/>
              <w:right w:w="0" w:type="dxa"/>
            </w:tcMar>
            <w:vAlign w:val="bottom"/>
            <w:hideMark/>
          </w:tcPr>
          <w:p w14:paraId="030F0490" w14:textId="77777777" w:rsidR="00A84152" w:rsidRDefault="00A84152" w:rsidP="00745DD1">
            <w:pPr>
              <w:ind w:left="720"/>
              <w:rPr>
                <w:color w:val="000000"/>
                <w:sz w:val="20"/>
                <w:szCs w:val="20"/>
              </w:rPr>
            </w:pPr>
            <w:r>
              <w:rPr>
                <w:color w:val="000000"/>
                <w:sz w:val="20"/>
                <w:szCs w:val="20"/>
              </w:rPr>
              <w:t>Common stock</w:t>
            </w:r>
          </w:p>
        </w:tc>
        <w:tc>
          <w:tcPr>
            <w:tcW w:w="48" w:type="pct"/>
            <w:shd w:val="clear" w:color="auto" w:fill="auto"/>
            <w:tcMar>
              <w:top w:w="0" w:type="dxa"/>
              <w:left w:w="0" w:type="dxa"/>
              <w:bottom w:w="0" w:type="dxa"/>
              <w:right w:w="0" w:type="dxa"/>
            </w:tcMar>
            <w:vAlign w:val="bottom"/>
            <w:hideMark/>
          </w:tcPr>
          <w:p w14:paraId="722EABD3" w14:textId="77777777" w:rsidR="00A84152" w:rsidRDefault="00A84152" w:rsidP="00745DD1">
            <w:pPr>
              <w:rPr>
                <w:color w:val="000000"/>
                <w:sz w:val="20"/>
                <w:szCs w:val="20"/>
              </w:rPr>
            </w:pPr>
          </w:p>
        </w:tc>
        <w:tc>
          <w:tcPr>
            <w:tcW w:w="56" w:type="pct"/>
            <w:shd w:val="clear" w:color="auto" w:fill="auto"/>
            <w:tcMar>
              <w:top w:w="0" w:type="dxa"/>
              <w:left w:w="0" w:type="dxa"/>
              <w:bottom w:w="0" w:type="dxa"/>
              <w:right w:w="0" w:type="dxa"/>
            </w:tcMar>
            <w:vAlign w:val="bottom"/>
            <w:hideMark/>
          </w:tcPr>
          <w:p w14:paraId="0382C19B" w14:textId="77777777" w:rsidR="00A84152" w:rsidRDefault="00A84152" w:rsidP="00745DD1">
            <w:pPr>
              <w:rPr>
                <w:color w:val="000000"/>
                <w:sz w:val="20"/>
                <w:szCs w:val="20"/>
              </w:rPr>
            </w:pPr>
          </w:p>
        </w:tc>
        <w:tc>
          <w:tcPr>
            <w:tcW w:w="648" w:type="pct"/>
            <w:shd w:val="clear" w:color="auto" w:fill="auto"/>
            <w:tcMar>
              <w:top w:w="0" w:type="dxa"/>
              <w:left w:w="0" w:type="dxa"/>
              <w:bottom w:w="0" w:type="dxa"/>
              <w:right w:w="0" w:type="dxa"/>
            </w:tcMar>
            <w:vAlign w:val="bottom"/>
            <w:hideMark/>
          </w:tcPr>
          <w:p w14:paraId="4A4A1CC4" w14:textId="16B66BC3" w:rsidR="00A84152" w:rsidRDefault="009B6249" w:rsidP="00745DD1">
            <w:pPr>
              <w:jc w:val="right"/>
              <w:rPr>
                <w:color w:val="000000"/>
                <w:sz w:val="20"/>
                <w:szCs w:val="20"/>
              </w:rPr>
            </w:pPr>
            <w:r>
              <w:rPr>
                <w:color w:val="000000"/>
                <w:sz w:val="20"/>
                <w:szCs w:val="20"/>
              </w:rPr>
              <w:t>9,449</w:t>
            </w:r>
          </w:p>
        </w:tc>
        <w:tc>
          <w:tcPr>
            <w:tcW w:w="48" w:type="pct"/>
            <w:shd w:val="clear" w:color="auto" w:fill="auto"/>
            <w:noWrap/>
            <w:tcMar>
              <w:top w:w="0" w:type="dxa"/>
              <w:left w:w="0" w:type="dxa"/>
              <w:bottom w:w="0" w:type="dxa"/>
              <w:right w:w="0" w:type="dxa"/>
            </w:tcMar>
            <w:vAlign w:val="bottom"/>
            <w:hideMark/>
          </w:tcPr>
          <w:p w14:paraId="183E73A8" w14:textId="77777777" w:rsidR="00A84152" w:rsidRDefault="00A84152" w:rsidP="00745DD1">
            <w:pPr>
              <w:rPr>
                <w:color w:val="000000"/>
                <w:sz w:val="20"/>
                <w:szCs w:val="20"/>
              </w:rPr>
            </w:pPr>
          </w:p>
        </w:tc>
        <w:tc>
          <w:tcPr>
            <w:tcW w:w="48" w:type="pct"/>
            <w:shd w:val="clear" w:color="auto" w:fill="auto"/>
            <w:tcMar>
              <w:top w:w="0" w:type="dxa"/>
              <w:left w:w="0" w:type="dxa"/>
              <w:bottom w:w="0" w:type="dxa"/>
              <w:right w:w="0" w:type="dxa"/>
            </w:tcMar>
            <w:vAlign w:val="bottom"/>
            <w:hideMark/>
          </w:tcPr>
          <w:p w14:paraId="2EE7AF73" w14:textId="77777777" w:rsidR="00A84152" w:rsidRDefault="00A84152" w:rsidP="00745DD1">
            <w:pPr>
              <w:rPr>
                <w:color w:val="000000"/>
                <w:sz w:val="20"/>
                <w:szCs w:val="20"/>
              </w:rPr>
            </w:pPr>
          </w:p>
        </w:tc>
        <w:tc>
          <w:tcPr>
            <w:tcW w:w="57" w:type="pct"/>
            <w:shd w:val="clear" w:color="auto" w:fill="auto"/>
            <w:tcMar>
              <w:top w:w="0" w:type="dxa"/>
              <w:left w:w="0" w:type="dxa"/>
              <w:bottom w:w="0" w:type="dxa"/>
              <w:right w:w="0" w:type="dxa"/>
            </w:tcMar>
            <w:vAlign w:val="bottom"/>
            <w:hideMark/>
          </w:tcPr>
          <w:p w14:paraId="0942AA32" w14:textId="77777777" w:rsidR="00A84152" w:rsidRDefault="00A84152" w:rsidP="00745DD1">
            <w:pPr>
              <w:rPr>
                <w:color w:val="000000"/>
                <w:sz w:val="20"/>
                <w:szCs w:val="20"/>
              </w:rPr>
            </w:pPr>
          </w:p>
        </w:tc>
        <w:tc>
          <w:tcPr>
            <w:tcW w:w="648" w:type="pct"/>
            <w:shd w:val="clear" w:color="auto" w:fill="auto"/>
            <w:tcMar>
              <w:top w:w="0" w:type="dxa"/>
              <w:left w:w="0" w:type="dxa"/>
              <w:bottom w:w="0" w:type="dxa"/>
              <w:right w:w="0" w:type="dxa"/>
            </w:tcMar>
            <w:vAlign w:val="bottom"/>
            <w:hideMark/>
          </w:tcPr>
          <w:p w14:paraId="5D87E45A" w14:textId="76C3BDD9" w:rsidR="00A84152" w:rsidRDefault="009B6249" w:rsidP="00745DD1">
            <w:pPr>
              <w:jc w:val="right"/>
              <w:rPr>
                <w:color w:val="000000"/>
                <w:sz w:val="20"/>
                <w:szCs w:val="20"/>
              </w:rPr>
            </w:pPr>
            <w:r>
              <w:rPr>
                <w:color w:val="000000"/>
                <w:sz w:val="20"/>
                <w:szCs w:val="20"/>
              </w:rPr>
              <w:t>21,570</w:t>
            </w:r>
          </w:p>
        </w:tc>
        <w:tc>
          <w:tcPr>
            <w:tcW w:w="48" w:type="pct"/>
            <w:shd w:val="clear" w:color="auto" w:fill="auto"/>
            <w:noWrap/>
            <w:tcMar>
              <w:top w:w="0" w:type="dxa"/>
              <w:left w:w="0" w:type="dxa"/>
              <w:bottom w:w="0" w:type="dxa"/>
              <w:right w:w="0" w:type="dxa"/>
            </w:tcMar>
            <w:vAlign w:val="bottom"/>
            <w:hideMark/>
          </w:tcPr>
          <w:p w14:paraId="415046A2" w14:textId="77777777" w:rsidR="00A84152" w:rsidRDefault="00A84152" w:rsidP="00745DD1">
            <w:pPr>
              <w:rPr>
                <w:color w:val="000000"/>
                <w:sz w:val="20"/>
                <w:szCs w:val="20"/>
              </w:rPr>
            </w:pPr>
          </w:p>
        </w:tc>
      </w:tr>
      <w:tr w:rsidR="000A62FB" w14:paraId="12627221" w14:textId="77777777" w:rsidTr="00745DD1">
        <w:trPr>
          <w:cantSplit/>
          <w:tblCellSpacing w:w="0" w:type="dxa"/>
        </w:trPr>
        <w:tc>
          <w:tcPr>
            <w:tcW w:w="0" w:type="auto"/>
            <w:shd w:val="clear" w:color="auto" w:fill="auto"/>
            <w:tcMar>
              <w:top w:w="0" w:type="dxa"/>
              <w:left w:w="0" w:type="dxa"/>
              <w:bottom w:w="0" w:type="dxa"/>
              <w:right w:w="0" w:type="dxa"/>
            </w:tcMar>
            <w:vAlign w:val="bottom"/>
            <w:hideMark/>
          </w:tcPr>
          <w:p w14:paraId="3F893470" w14:textId="77777777" w:rsidR="00A84152" w:rsidRDefault="00A84152" w:rsidP="00745DD1">
            <w:pPr>
              <w:ind w:left="720"/>
              <w:rPr>
                <w:color w:val="000000"/>
                <w:sz w:val="20"/>
                <w:szCs w:val="20"/>
              </w:rPr>
            </w:pPr>
            <w:r>
              <w:rPr>
                <w:color w:val="000000"/>
                <w:sz w:val="20"/>
                <w:szCs w:val="20"/>
              </w:rPr>
              <w:t>Additional paid-in capital</w:t>
            </w:r>
          </w:p>
        </w:tc>
        <w:tc>
          <w:tcPr>
            <w:tcW w:w="48" w:type="pct"/>
            <w:shd w:val="clear" w:color="auto" w:fill="auto"/>
            <w:tcMar>
              <w:top w:w="0" w:type="dxa"/>
              <w:left w:w="0" w:type="dxa"/>
              <w:bottom w:w="0" w:type="dxa"/>
              <w:right w:w="0" w:type="dxa"/>
            </w:tcMar>
            <w:vAlign w:val="bottom"/>
            <w:hideMark/>
          </w:tcPr>
          <w:p w14:paraId="0DAD9451" w14:textId="77777777" w:rsidR="00A84152" w:rsidRDefault="00A84152" w:rsidP="00745DD1">
            <w:pPr>
              <w:rPr>
                <w:color w:val="000000"/>
                <w:sz w:val="20"/>
                <w:szCs w:val="20"/>
              </w:rPr>
            </w:pPr>
          </w:p>
        </w:tc>
        <w:tc>
          <w:tcPr>
            <w:tcW w:w="56" w:type="pct"/>
            <w:shd w:val="clear" w:color="auto" w:fill="auto"/>
            <w:tcMar>
              <w:top w:w="0" w:type="dxa"/>
              <w:left w:w="0" w:type="dxa"/>
              <w:bottom w:w="0" w:type="dxa"/>
              <w:right w:w="0" w:type="dxa"/>
            </w:tcMar>
            <w:vAlign w:val="bottom"/>
            <w:hideMark/>
          </w:tcPr>
          <w:p w14:paraId="571FA2EB" w14:textId="77777777" w:rsidR="00A84152" w:rsidRDefault="00A84152" w:rsidP="00745DD1">
            <w:pPr>
              <w:rPr>
                <w:color w:val="000000"/>
                <w:sz w:val="20"/>
                <w:szCs w:val="20"/>
              </w:rPr>
            </w:pPr>
          </w:p>
        </w:tc>
        <w:tc>
          <w:tcPr>
            <w:tcW w:w="648" w:type="pct"/>
            <w:shd w:val="clear" w:color="auto" w:fill="auto"/>
            <w:tcMar>
              <w:top w:w="0" w:type="dxa"/>
              <w:left w:w="0" w:type="dxa"/>
              <w:bottom w:w="0" w:type="dxa"/>
              <w:right w:w="0" w:type="dxa"/>
            </w:tcMar>
            <w:vAlign w:val="bottom"/>
            <w:hideMark/>
          </w:tcPr>
          <w:p w14:paraId="73B9F3C0" w14:textId="6716B452" w:rsidR="00A84152" w:rsidRDefault="009B6249" w:rsidP="00745DD1">
            <w:pPr>
              <w:jc w:val="right"/>
              <w:rPr>
                <w:color w:val="000000"/>
                <w:sz w:val="20"/>
                <w:szCs w:val="20"/>
              </w:rPr>
            </w:pPr>
            <w:r>
              <w:rPr>
                <w:color w:val="000000"/>
                <w:sz w:val="20"/>
                <w:szCs w:val="20"/>
              </w:rPr>
              <w:t>78,147,616</w:t>
            </w:r>
          </w:p>
        </w:tc>
        <w:tc>
          <w:tcPr>
            <w:tcW w:w="48" w:type="pct"/>
            <w:shd w:val="clear" w:color="auto" w:fill="auto"/>
            <w:noWrap/>
            <w:tcMar>
              <w:top w:w="0" w:type="dxa"/>
              <w:left w:w="0" w:type="dxa"/>
              <w:bottom w:w="0" w:type="dxa"/>
              <w:right w:w="0" w:type="dxa"/>
            </w:tcMar>
            <w:vAlign w:val="bottom"/>
            <w:hideMark/>
          </w:tcPr>
          <w:p w14:paraId="3FC8F98C" w14:textId="77777777" w:rsidR="00A84152" w:rsidRDefault="00A84152" w:rsidP="00745DD1">
            <w:pPr>
              <w:rPr>
                <w:color w:val="000000"/>
                <w:sz w:val="20"/>
                <w:szCs w:val="20"/>
              </w:rPr>
            </w:pPr>
          </w:p>
        </w:tc>
        <w:tc>
          <w:tcPr>
            <w:tcW w:w="48" w:type="pct"/>
            <w:shd w:val="clear" w:color="auto" w:fill="auto"/>
            <w:tcMar>
              <w:top w:w="0" w:type="dxa"/>
              <w:left w:w="0" w:type="dxa"/>
              <w:bottom w:w="0" w:type="dxa"/>
              <w:right w:w="0" w:type="dxa"/>
            </w:tcMar>
            <w:vAlign w:val="bottom"/>
            <w:hideMark/>
          </w:tcPr>
          <w:p w14:paraId="1C1A3FCF" w14:textId="77777777" w:rsidR="00A84152" w:rsidRDefault="00A84152" w:rsidP="00745DD1">
            <w:pPr>
              <w:rPr>
                <w:color w:val="000000"/>
                <w:sz w:val="20"/>
                <w:szCs w:val="20"/>
              </w:rPr>
            </w:pPr>
          </w:p>
        </w:tc>
        <w:tc>
          <w:tcPr>
            <w:tcW w:w="57" w:type="pct"/>
            <w:shd w:val="clear" w:color="auto" w:fill="auto"/>
            <w:tcMar>
              <w:top w:w="0" w:type="dxa"/>
              <w:left w:w="0" w:type="dxa"/>
              <w:bottom w:w="0" w:type="dxa"/>
              <w:right w:w="0" w:type="dxa"/>
            </w:tcMar>
            <w:vAlign w:val="bottom"/>
            <w:hideMark/>
          </w:tcPr>
          <w:p w14:paraId="360EBAC5" w14:textId="77777777" w:rsidR="00A84152" w:rsidRDefault="00A84152" w:rsidP="00745DD1">
            <w:pPr>
              <w:rPr>
                <w:color w:val="000000"/>
                <w:sz w:val="20"/>
                <w:szCs w:val="20"/>
              </w:rPr>
            </w:pPr>
          </w:p>
        </w:tc>
        <w:tc>
          <w:tcPr>
            <w:tcW w:w="648" w:type="pct"/>
            <w:shd w:val="clear" w:color="auto" w:fill="auto"/>
            <w:tcMar>
              <w:top w:w="0" w:type="dxa"/>
              <w:left w:w="0" w:type="dxa"/>
              <w:bottom w:w="0" w:type="dxa"/>
              <w:right w:w="0" w:type="dxa"/>
            </w:tcMar>
            <w:vAlign w:val="bottom"/>
            <w:hideMark/>
          </w:tcPr>
          <w:p w14:paraId="6E1FF7D9" w14:textId="5A792D0E" w:rsidR="00A84152" w:rsidRDefault="009B6249" w:rsidP="00745DD1">
            <w:pPr>
              <w:jc w:val="right"/>
              <w:rPr>
                <w:color w:val="000000"/>
                <w:sz w:val="20"/>
                <w:szCs w:val="20"/>
              </w:rPr>
            </w:pPr>
            <w:r>
              <w:rPr>
                <w:color w:val="000000"/>
                <w:sz w:val="20"/>
                <w:szCs w:val="20"/>
              </w:rPr>
              <w:t>96,620,498</w:t>
            </w:r>
          </w:p>
        </w:tc>
        <w:tc>
          <w:tcPr>
            <w:tcW w:w="48" w:type="pct"/>
            <w:shd w:val="clear" w:color="auto" w:fill="auto"/>
            <w:noWrap/>
            <w:tcMar>
              <w:top w:w="0" w:type="dxa"/>
              <w:left w:w="0" w:type="dxa"/>
              <w:bottom w:w="0" w:type="dxa"/>
              <w:right w:w="0" w:type="dxa"/>
            </w:tcMar>
            <w:vAlign w:val="bottom"/>
            <w:hideMark/>
          </w:tcPr>
          <w:p w14:paraId="5B742954" w14:textId="77777777" w:rsidR="00A84152" w:rsidRDefault="00A84152" w:rsidP="00745DD1">
            <w:pPr>
              <w:rPr>
                <w:color w:val="000000"/>
                <w:sz w:val="20"/>
                <w:szCs w:val="20"/>
              </w:rPr>
            </w:pPr>
          </w:p>
        </w:tc>
      </w:tr>
      <w:tr w:rsidR="000A62FB" w14:paraId="460B3085" w14:textId="77777777" w:rsidTr="00745DD1">
        <w:trPr>
          <w:cantSplit/>
          <w:tblCellSpacing w:w="0" w:type="dxa"/>
        </w:trPr>
        <w:tc>
          <w:tcPr>
            <w:tcW w:w="0" w:type="auto"/>
            <w:shd w:val="clear" w:color="auto" w:fill="auto"/>
            <w:tcMar>
              <w:top w:w="0" w:type="dxa"/>
              <w:left w:w="0" w:type="dxa"/>
              <w:bottom w:w="0" w:type="dxa"/>
              <w:right w:w="0" w:type="dxa"/>
            </w:tcMar>
            <w:vAlign w:val="bottom"/>
            <w:hideMark/>
          </w:tcPr>
          <w:p w14:paraId="65C12411" w14:textId="77777777" w:rsidR="00A84152" w:rsidRDefault="00A84152" w:rsidP="00745DD1">
            <w:pPr>
              <w:ind w:left="720"/>
              <w:rPr>
                <w:color w:val="000000"/>
                <w:sz w:val="20"/>
                <w:szCs w:val="20"/>
              </w:rPr>
            </w:pPr>
            <w:r>
              <w:rPr>
                <w:color w:val="000000"/>
                <w:sz w:val="20"/>
                <w:szCs w:val="20"/>
              </w:rPr>
              <w:t>Accumulated deficit</w:t>
            </w:r>
          </w:p>
        </w:tc>
        <w:tc>
          <w:tcPr>
            <w:tcW w:w="48" w:type="pct"/>
            <w:shd w:val="clear" w:color="auto" w:fill="auto"/>
            <w:tcMar>
              <w:top w:w="0" w:type="dxa"/>
              <w:left w:w="0" w:type="dxa"/>
              <w:bottom w:w="0" w:type="dxa"/>
              <w:right w:w="0" w:type="dxa"/>
            </w:tcMar>
            <w:vAlign w:val="bottom"/>
            <w:hideMark/>
          </w:tcPr>
          <w:p w14:paraId="3D919657" w14:textId="77777777" w:rsidR="00A84152" w:rsidRDefault="00A84152" w:rsidP="00745DD1">
            <w:pPr>
              <w:rPr>
                <w:color w:val="000000"/>
                <w:sz w:val="20"/>
                <w:szCs w:val="20"/>
              </w:rPr>
            </w:pPr>
          </w:p>
        </w:tc>
        <w:tc>
          <w:tcPr>
            <w:tcW w:w="56" w:type="pct"/>
            <w:shd w:val="clear" w:color="auto" w:fill="auto"/>
            <w:tcMar>
              <w:top w:w="0" w:type="dxa"/>
              <w:left w:w="0" w:type="dxa"/>
              <w:bottom w:w="0" w:type="dxa"/>
              <w:right w:w="0" w:type="dxa"/>
            </w:tcMar>
            <w:vAlign w:val="bottom"/>
            <w:hideMark/>
          </w:tcPr>
          <w:p w14:paraId="15414C3E" w14:textId="77777777" w:rsidR="00A84152" w:rsidRDefault="00A84152" w:rsidP="00745DD1">
            <w:pPr>
              <w:rPr>
                <w:color w:val="000000"/>
                <w:sz w:val="20"/>
                <w:szCs w:val="20"/>
              </w:rPr>
            </w:pPr>
          </w:p>
        </w:tc>
        <w:tc>
          <w:tcPr>
            <w:tcW w:w="648" w:type="pct"/>
            <w:shd w:val="clear" w:color="auto" w:fill="auto"/>
            <w:tcMar>
              <w:top w:w="0" w:type="dxa"/>
              <w:left w:w="0" w:type="dxa"/>
              <w:bottom w:w="0" w:type="dxa"/>
              <w:right w:w="0" w:type="dxa"/>
            </w:tcMar>
            <w:vAlign w:val="bottom"/>
            <w:hideMark/>
          </w:tcPr>
          <w:p w14:paraId="0516A8B0" w14:textId="056A819C" w:rsidR="00A84152" w:rsidRDefault="00745DD1" w:rsidP="00745DD1">
            <w:pPr>
              <w:jc w:val="right"/>
              <w:rPr>
                <w:color w:val="000000"/>
                <w:sz w:val="20"/>
                <w:szCs w:val="20"/>
              </w:rPr>
            </w:pPr>
            <w:r>
              <w:rPr>
                <w:color w:val="000000"/>
                <w:sz w:val="20"/>
                <w:szCs w:val="20"/>
              </w:rPr>
              <w:t>(</w:t>
            </w:r>
            <w:r w:rsidR="009B6249">
              <w:rPr>
                <w:color w:val="000000"/>
                <w:sz w:val="20"/>
                <w:szCs w:val="20"/>
              </w:rPr>
              <w:t>66,803,413)</w:t>
            </w:r>
          </w:p>
        </w:tc>
        <w:tc>
          <w:tcPr>
            <w:tcW w:w="48" w:type="pct"/>
            <w:shd w:val="clear" w:color="auto" w:fill="auto"/>
            <w:noWrap/>
            <w:tcMar>
              <w:top w:w="0" w:type="dxa"/>
              <w:left w:w="0" w:type="dxa"/>
              <w:bottom w:w="0" w:type="dxa"/>
              <w:right w:w="0" w:type="dxa"/>
            </w:tcMar>
            <w:vAlign w:val="bottom"/>
            <w:hideMark/>
          </w:tcPr>
          <w:p w14:paraId="51522A53" w14:textId="77777777" w:rsidR="00A84152" w:rsidRDefault="00A84152" w:rsidP="00745DD1">
            <w:pPr>
              <w:rPr>
                <w:color w:val="000000"/>
                <w:sz w:val="20"/>
                <w:szCs w:val="20"/>
              </w:rPr>
            </w:pPr>
          </w:p>
        </w:tc>
        <w:tc>
          <w:tcPr>
            <w:tcW w:w="48" w:type="pct"/>
            <w:shd w:val="clear" w:color="auto" w:fill="auto"/>
            <w:tcMar>
              <w:top w:w="0" w:type="dxa"/>
              <w:left w:w="0" w:type="dxa"/>
              <w:bottom w:w="0" w:type="dxa"/>
              <w:right w:w="0" w:type="dxa"/>
            </w:tcMar>
            <w:vAlign w:val="bottom"/>
            <w:hideMark/>
          </w:tcPr>
          <w:p w14:paraId="582E8971" w14:textId="77777777" w:rsidR="00A84152" w:rsidRDefault="00A84152" w:rsidP="00745DD1">
            <w:pPr>
              <w:rPr>
                <w:color w:val="000000"/>
                <w:sz w:val="20"/>
                <w:szCs w:val="20"/>
              </w:rPr>
            </w:pPr>
          </w:p>
        </w:tc>
        <w:tc>
          <w:tcPr>
            <w:tcW w:w="57" w:type="pct"/>
            <w:shd w:val="clear" w:color="auto" w:fill="auto"/>
            <w:tcMar>
              <w:top w:w="0" w:type="dxa"/>
              <w:left w:w="0" w:type="dxa"/>
              <w:bottom w:w="0" w:type="dxa"/>
              <w:right w:w="0" w:type="dxa"/>
            </w:tcMar>
            <w:vAlign w:val="bottom"/>
            <w:hideMark/>
          </w:tcPr>
          <w:p w14:paraId="0C5BA559" w14:textId="77777777" w:rsidR="00A84152" w:rsidRDefault="00A84152" w:rsidP="00745DD1">
            <w:pPr>
              <w:rPr>
                <w:color w:val="000000"/>
                <w:sz w:val="20"/>
                <w:szCs w:val="20"/>
              </w:rPr>
            </w:pPr>
          </w:p>
        </w:tc>
        <w:tc>
          <w:tcPr>
            <w:tcW w:w="648" w:type="pct"/>
            <w:shd w:val="clear" w:color="auto" w:fill="auto"/>
            <w:tcMar>
              <w:top w:w="0" w:type="dxa"/>
              <w:left w:w="0" w:type="dxa"/>
              <w:bottom w:w="0" w:type="dxa"/>
              <w:right w:w="0" w:type="dxa"/>
            </w:tcMar>
            <w:vAlign w:val="bottom"/>
            <w:hideMark/>
          </w:tcPr>
          <w:p w14:paraId="32E2ED06" w14:textId="7640B6D7" w:rsidR="00A84152" w:rsidRDefault="002651F3" w:rsidP="00745DD1">
            <w:pPr>
              <w:jc w:val="right"/>
              <w:rPr>
                <w:color w:val="000000"/>
                <w:sz w:val="20"/>
                <w:szCs w:val="20"/>
              </w:rPr>
            </w:pPr>
            <w:r>
              <w:rPr>
                <w:color w:val="000000"/>
                <w:sz w:val="20"/>
                <w:szCs w:val="20"/>
              </w:rPr>
              <w:t>(</w:t>
            </w:r>
            <w:r w:rsidR="009B6249">
              <w:rPr>
                <w:color w:val="000000"/>
                <w:sz w:val="20"/>
                <w:szCs w:val="20"/>
              </w:rPr>
              <w:t>66,803,413</w:t>
            </w:r>
            <w:r>
              <w:rPr>
                <w:color w:val="000000"/>
                <w:sz w:val="20"/>
                <w:szCs w:val="20"/>
              </w:rPr>
              <w:t>)</w:t>
            </w:r>
          </w:p>
        </w:tc>
        <w:tc>
          <w:tcPr>
            <w:tcW w:w="48" w:type="pct"/>
            <w:shd w:val="clear" w:color="auto" w:fill="auto"/>
            <w:noWrap/>
            <w:tcMar>
              <w:top w:w="0" w:type="dxa"/>
              <w:left w:w="0" w:type="dxa"/>
              <w:bottom w:w="0" w:type="dxa"/>
              <w:right w:w="0" w:type="dxa"/>
            </w:tcMar>
            <w:vAlign w:val="bottom"/>
            <w:hideMark/>
          </w:tcPr>
          <w:p w14:paraId="46ABC0AB" w14:textId="77777777" w:rsidR="00A84152" w:rsidRDefault="00A84152" w:rsidP="00745DD1">
            <w:pPr>
              <w:rPr>
                <w:color w:val="000000"/>
                <w:sz w:val="20"/>
                <w:szCs w:val="20"/>
              </w:rPr>
            </w:pPr>
          </w:p>
        </w:tc>
      </w:tr>
      <w:tr w:rsidR="000A62FB" w14:paraId="380FA3D5" w14:textId="77777777" w:rsidTr="00745DD1">
        <w:trPr>
          <w:cantSplit/>
          <w:tblCellSpacing w:w="0" w:type="dxa"/>
        </w:trPr>
        <w:tc>
          <w:tcPr>
            <w:tcW w:w="0" w:type="auto"/>
            <w:shd w:val="clear" w:color="auto" w:fill="auto"/>
            <w:tcMar>
              <w:top w:w="0" w:type="dxa"/>
              <w:left w:w="0" w:type="dxa"/>
              <w:bottom w:w="0" w:type="dxa"/>
              <w:right w:w="0" w:type="dxa"/>
            </w:tcMar>
            <w:vAlign w:val="bottom"/>
            <w:hideMark/>
          </w:tcPr>
          <w:p w14:paraId="36513456" w14:textId="77777777" w:rsidR="00A84152" w:rsidRDefault="00A84152" w:rsidP="00745DD1">
            <w:pPr>
              <w:ind w:left="720"/>
              <w:rPr>
                <w:color w:val="000000"/>
                <w:sz w:val="20"/>
                <w:szCs w:val="20"/>
              </w:rPr>
            </w:pPr>
            <w:r>
              <w:rPr>
                <w:color w:val="000000"/>
                <w:sz w:val="20"/>
                <w:szCs w:val="20"/>
              </w:rPr>
              <w:t>Total stockholders’ equity</w:t>
            </w:r>
          </w:p>
        </w:tc>
        <w:tc>
          <w:tcPr>
            <w:tcW w:w="48" w:type="pct"/>
            <w:shd w:val="clear" w:color="auto" w:fill="auto"/>
            <w:tcMar>
              <w:top w:w="0" w:type="dxa"/>
              <w:left w:w="0" w:type="dxa"/>
              <w:bottom w:w="0" w:type="dxa"/>
              <w:right w:w="0" w:type="dxa"/>
            </w:tcMar>
            <w:vAlign w:val="bottom"/>
            <w:hideMark/>
          </w:tcPr>
          <w:p w14:paraId="64518ECC" w14:textId="77777777" w:rsidR="00A84152" w:rsidRDefault="00A84152" w:rsidP="00745DD1">
            <w:pPr>
              <w:rPr>
                <w:color w:val="000000"/>
                <w:sz w:val="20"/>
                <w:szCs w:val="20"/>
              </w:rPr>
            </w:pPr>
          </w:p>
        </w:tc>
        <w:tc>
          <w:tcPr>
            <w:tcW w:w="56" w:type="pct"/>
            <w:shd w:val="clear" w:color="auto" w:fill="auto"/>
            <w:tcMar>
              <w:top w:w="0" w:type="dxa"/>
              <w:left w:w="0" w:type="dxa"/>
              <w:bottom w:w="0" w:type="dxa"/>
              <w:right w:w="0" w:type="dxa"/>
            </w:tcMar>
            <w:vAlign w:val="bottom"/>
            <w:hideMark/>
          </w:tcPr>
          <w:p w14:paraId="27E013DC" w14:textId="77777777" w:rsidR="00A84152" w:rsidRDefault="00A84152" w:rsidP="00745DD1">
            <w:pPr>
              <w:rPr>
                <w:color w:val="000000"/>
                <w:sz w:val="20"/>
                <w:szCs w:val="20"/>
              </w:rPr>
            </w:pPr>
            <w:r>
              <w:rPr>
                <w:color w:val="000000"/>
                <w:sz w:val="20"/>
                <w:szCs w:val="20"/>
              </w:rPr>
              <w:t>$</w:t>
            </w:r>
          </w:p>
        </w:tc>
        <w:tc>
          <w:tcPr>
            <w:tcW w:w="648" w:type="pct"/>
            <w:shd w:val="clear" w:color="auto" w:fill="auto"/>
            <w:tcMar>
              <w:top w:w="0" w:type="dxa"/>
              <w:left w:w="0" w:type="dxa"/>
              <w:bottom w:w="0" w:type="dxa"/>
              <w:right w:w="0" w:type="dxa"/>
            </w:tcMar>
            <w:vAlign w:val="bottom"/>
            <w:hideMark/>
          </w:tcPr>
          <w:p w14:paraId="5A669A0A" w14:textId="7EEF575E" w:rsidR="00A84152" w:rsidRDefault="009B6249" w:rsidP="002651F3">
            <w:pPr>
              <w:jc w:val="right"/>
              <w:rPr>
                <w:color w:val="000000"/>
                <w:sz w:val="20"/>
                <w:szCs w:val="20"/>
              </w:rPr>
            </w:pPr>
            <w:r>
              <w:rPr>
                <w:color w:val="000000"/>
                <w:sz w:val="20"/>
                <w:szCs w:val="20"/>
              </w:rPr>
              <w:t>16,854,755</w:t>
            </w:r>
          </w:p>
        </w:tc>
        <w:tc>
          <w:tcPr>
            <w:tcW w:w="48" w:type="pct"/>
            <w:shd w:val="clear" w:color="auto" w:fill="auto"/>
            <w:noWrap/>
            <w:tcMar>
              <w:top w:w="0" w:type="dxa"/>
              <w:left w:w="0" w:type="dxa"/>
              <w:bottom w:w="0" w:type="dxa"/>
              <w:right w:w="0" w:type="dxa"/>
            </w:tcMar>
            <w:vAlign w:val="bottom"/>
            <w:hideMark/>
          </w:tcPr>
          <w:p w14:paraId="2D305789" w14:textId="77777777" w:rsidR="00A84152" w:rsidRDefault="00A84152" w:rsidP="00745DD1">
            <w:pPr>
              <w:rPr>
                <w:color w:val="000000"/>
                <w:sz w:val="20"/>
                <w:szCs w:val="20"/>
              </w:rPr>
            </w:pPr>
          </w:p>
        </w:tc>
        <w:tc>
          <w:tcPr>
            <w:tcW w:w="48" w:type="pct"/>
            <w:shd w:val="clear" w:color="auto" w:fill="auto"/>
            <w:tcMar>
              <w:top w:w="0" w:type="dxa"/>
              <w:left w:w="0" w:type="dxa"/>
              <w:bottom w:w="0" w:type="dxa"/>
              <w:right w:w="0" w:type="dxa"/>
            </w:tcMar>
            <w:vAlign w:val="bottom"/>
            <w:hideMark/>
          </w:tcPr>
          <w:p w14:paraId="329AFDCF" w14:textId="77777777" w:rsidR="00A84152" w:rsidRDefault="00A84152" w:rsidP="00745DD1">
            <w:pPr>
              <w:rPr>
                <w:color w:val="000000"/>
                <w:sz w:val="20"/>
                <w:szCs w:val="20"/>
              </w:rPr>
            </w:pPr>
          </w:p>
        </w:tc>
        <w:tc>
          <w:tcPr>
            <w:tcW w:w="57" w:type="pct"/>
            <w:shd w:val="clear" w:color="auto" w:fill="auto"/>
            <w:tcMar>
              <w:top w:w="0" w:type="dxa"/>
              <w:left w:w="0" w:type="dxa"/>
              <w:bottom w:w="0" w:type="dxa"/>
              <w:right w:w="0" w:type="dxa"/>
            </w:tcMar>
            <w:vAlign w:val="bottom"/>
            <w:hideMark/>
          </w:tcPr>
          <w:p w14:paraId="7F07BC45" w14:textId="77777777" w:rsidR="00A84152" w:rsidRDefault="00A84152" w:rsidP="00745DD1">
            <w:pPr>
              <w:rPr>
                <w:color w:val="000000"/>
                <w:sz w:val="20"/>
                <w:szCs w:val="20"/>
              </w:rPr>
            </w:pPr>
            <w:r>
              <w:rPr>
                <w:color w:val="000000"/>
                <w:sz w:val="20"/>
                <w:szCs w:val="20"/>
              </w:rPr>
              <w:t>$</w:t>
            </w:r>
          </w:p>
        </w:tc>
        <w:tc>
          <w:tcPr>
            <w:tcW w:w="648" w:type="pct"/>
            <w:shd w:val="clear" w:color="auto" w:fill="auto"/>
            <w:tcMar>
              <w:top w:w="0" w:type="dxa"/>
              <w:left w:w="0" w:type="dxa"/>
              <w:bottom w:w="0" w:type="dxa"/>
              <w:right w:w="0" w:type="dxa"/>
            </w:tcMar>
            <w:vAlign w:val="bottom"/>
            <w:hideMark/>
          </w:tcPr>
          <w:p w14:paraId="66CEAD9B" w14:textId="2123E294" w:rsidR="00A84152" w:rsidRDefault="009B6249" w:rsidP="00745DD1">
            <w:pPr>
              <w:jc w:val="right"/>
              <w:rPr>
                <w:color w:val="000000"/>
                <w:sz w:val="20"/>
                <w:szCs w:val="20"/>
              </w:rPr>
            </w:pPr>
            <w:r>
              <w:rPr>
                <w:color w:val="000000"/>
                <w:sz w:val="20"/>
                <w:szCs w:val="20"/>
              </w:rPr>
              <w:t>35,339,758</w:t>
            </w:r>
          </w:p>
        </w:tc>
        <w:tc>
          <w:tcPr>
            <w:tcW w:w="48" w:type="pct"/>
            <w:shd w:val="clear" w:color="auto" w:fill="auto"/>
            <w:noWrap/>
            <w:tcMar>
              <w:top w:w="0" w:type="dxa"/>
              <w:left w:w="0" w:type="dxa"/>
              <w:bottom w:w="0" w:type="dxa"/>
              <w:right w:w="0" w:type="dxa"/>
            </w:tcMar>
            <w:vAlign w:val="bottom"/>
            <w:hideMark/>
          </w:tcPr>
          <w:p w14:paraId="21E70DF8" w14:textId="77777777" w:rsidR="00A84152" w:rsidRDefault="00A84152" w:rsidP="00745DD1">
            <w:pPr>
              <w:rPr>
                <w:color w:val="000000"/>
                <w:sz w:val="20"/>
                <w:szCs w:val="20"/>
              </w:rPr>
            </w:pPr>
          </w:p>
        </w:tc>
      </w:tr>
    </w:tbl>
    <w:p w14:paraId="4B0CF9D2" w14:textId="77586FB1" w:rsidR="00A84152" w:rsidRDefault="00A84152" w:rsidP="00A84152">
      <w:pPr>
        <w:rPr>
          <w:sz w:val="20"/>
          <w:szCs w:val="20"/>
        </w:rPr>
      </w:pPr>
    </w:p>
    <w:p w14:paraId="24BCDD40" w14:textId="77777777" w:rsidR="009B6249" w:rsidRPr="00301C8E" w:rsidRDefault="009B6249" w:rsidP="009B6249">
      <w:pPr>
        <w:ind w:firstLine="720"/>
        <w:jc w:val="both"/>
        <w:rPr>
          <w:sz w:val="20"/>
          <w:szCs w:val="20"/>
        </w:rPr>
      </w:pPr>
      <w:r w:rsidRPr="00301C8E">
        <w:rPr>
          <w:sz w:val="20"/>
          <w:szCs w:val="20"/>
        </w:rPr>
        <w:t xml:space="preserve">The table and discussion above are based on </w:t>
      </w:r>
      <w:r>
        <w:rPr>
          <w:sz w:val="20"/>
          <w:szCs w:val="20"/>
        </w:rPr>
        <w:t>9,449,025</w:t>
      </w:r>
      <w:r w:rsidRPr="00301C8E">
        <w:rPr>
          <w:sz w:val="20"/>
          <w:szCs w:val="20"/>
        </w:rPr>
        <w:t xml:space="preserve"> shares of common stock outstanding as of </w:t>
      </w:r>
      <w:r>
        <w:rPr>
          <w:sz w:val="20"/>
          <w:szCs w:val="20"/>
        </w:rPr>
        <w:t>March 31</w:t>
      </w:r>
      <w:r w:rsidRPr="00301C8E">
        <w:rPr>
          <w:sz w:val="20"/>
          <w:szCs w:val="20"/>
        </w:rPr>
        <w:t>, 202</w:t>
      </w:r>
      <w:r>
        <w:rPr>
          <w:sz w:val="20"/>
          <w:szCs w:val="20"/>
        </w:rPr>
        <w:t>2</w:t>
      </w:r>
      <w:r w:rsidRPr="00301C8E">
        <w:rPr>
          <w:sz w:val="20"/>
          <w:szCs w:val="20"/>
        </w:rPr>
        <w:t xml:space="preserve">, and </w:t>
      </w:r>
      <w:r>
        <w:rPr>
          <w:sz w:val="20"/>
          <w:szCs w:val="20"/>
        </w:rPr>
        <w:t>21,570,239</w:t>
      </w:r>
      <w:r w:rsidRPr="00301C8E">
        <w:rPr>
          <w:sz w:val="20"/>
          <w:szCs w:val="20"/>
        </w:rPr>
        <w:t xml:space="preserve"> shares as adjusted, and do not include, as of that date:</w:t>
      </w:r>
    </w:p>
    <w:p w14:paraId="7C80B896" w14:textId="77777777" w:rsidR="009B6249" w:rsidRPr="00301C8E" w:rsidRDefault="009B6249" w:rsidP="009B6249">
      <w:pPr>
        <w:ind w:left="144" w:right="144"/>
        <w:rPr>
          <w:sz w:val="20"/>
          <w:szCs w:val="20"/>
        </w:rPr>
      </w:pPr>
      <w:r w:rsidRPr="00301C8E">
        <w:rPr>
          <w:sz w:val="20"/>
          <w:szCs w:val="20"/>
        </w:rPr>
        <w:t> </w:t>
      </w:r>
    </w:p>
    <w:tbl>
      <w:tblPr>
        <w:tblW w:w="5000" w:type="pct"/>
        <w:tblCellSpacing w:w="0" w:type="dxa"/>
        <w:tblCellMar>
          <w:left w:w="0" w:type="dxa"/>
          <w:right w:w="0" w:type="dxa"/>
        </w:tblCellMar>
        <w:tblLook w:val="04A0" w:firstRow="1" w:lastRow="0" w:firstColumn="1" w:lastColumn="0" w:noHBand="0" w:noVBand="1"/>
      </w:tblPr>
      <w:tblGrid>
        <w:gridCol w:w="513"/>
        <w:gridCol w:w="170"/>
        <w:gridCol w:w="8677"/>
      </w:tblGrid>
      <w:tr w:rsidR="009B6249" w:rsidRPr="00301C8E" w14:paraId="2A500426" w14:textId="77777777" w:rsidTr="004F5282">
        <w:trPr>
          <w:tblCellSpacing w:w="0" w:type="dxa"/>
        </w:trPr>
        <w:tc>
          <w:tcPr>
            <w:tcW w:w="274" w:type="pct"/>
          </w:tcPr>
          <w:p w14:paraId="48B4F077" w14:textId="77777777" w:rsidR="009B6249" w:rsidRPr="00301C8E" w:rsidRDefault="009B6249" w:rsidP="004F5282"/>
        </w:tc>
        <w:tc>
          <w:tcPr>
            <w:tcW w:w="91" w:type="pct"/>
          </w:tcPr>
          <w:p w14:paraId="6079E057" w14:textId="77777777" w:rsidR="009B6249" w:rsidRPr="00301C8E" w:rsidRDefault="009B6249" w:rsidP="004F5282">
            <w:pPr>
              <w:jc w:val="both"/>
              <w:rPr>
                <w:sz w:val="20"/>
                <w:szCs w:val="20"/>
              </w:rPr>
            </w:pPr>
            <w:r w:rsidRPr="00301C8E">
              <w:rPr>
                <w:sz w:val="20"/>
                <w:szCs w:val="20"/>
              </w:rPr>
              <w:t>●</w:t>
            </w:r>
          </w:p>
        </w:tc>
        <w:tc>
          <w:tcPr>
            <w:tcW w:w="4635" w:type="pct"/>
          </w:tcPr>
          <w:p w14:paraId="3EA06503" w14:textId="654AA486" w:rsidR="009B6249" w:rsidRPr="00136D17" w:rsidRDefault="009B6249" w:rsidP="00C546CD">
            <w:pPr>
              <w:jc w:val="both"/>
              <w:rPr>
                <w:sz w:val="20"/>
                <w:szCs w:val="20"/>
              </w:rPr>
            </w:pPr>
            <w:r w:rsidRPr="009277A9">
              <w:rPr>
                <w:sz w:val="20"/>
                <w:szCs w:val="20"/>
              </w:rPr>
              <w:t xml:space="preserve">12,121,214 shares of common stock issuable upon the exercise of the Preferred Investment Option with </w:t>
            </w:r>
            <w:r w:rsidR="00C546CD">
              <w:rPr>
                <w:sz w:val="20"/>
                <w:szCs w:val="20"/>
              </w:rPr>
              <w:t xml:space="preserve">an </w:t>
            </w:r>
            <w:r w:rsidRPr="009277A9">
              <w:rPr>
                <w:sz w:val="20"/>
                <w:szCs w:val="20"/>
              </w:rPr>
              <w:t>exercise price of $1.65 per share</w:t>
            </w:r>
            <w:r>
              <w:rPr>
                <w:sz w:val="20"/>
                <w:szCs w:val="20"/>
              </w:rPr>
              <w:t>;</w:t>
            </w:r>
          </w:p>
        </w:tc>
      </w:tr>
      <w:tr w:rsidR="009B6249" w:rsidRPr="00301C8E" w14:paraId="05B333B5" w14:textId="77777777" w:rsidTr="004F5282">
        <w:trPr>
          <w:tblCellSpacing w:w="0" w:type="dxa"/>
        </w:trPr>
        <w:tc>
          <w:tcPr>
            <w:tcW w:w="274" w:type="pct"/>
          </w:tcPr>
          <w:p w14:paraId="5ABBFA66" w14:textId="77777777" w:rsidR="009B6249" w:rsidRPr="00301C8E" w:rsidRDefault="009B6249" w:rsidP="004F5282">
            <w:r w:rsidRPr="00301C8E">
              <w:t> </w:t>
            </w:r>
          </w:p>
        </w:tc>
        <w:tc>
          <w:tcPr>
            <w:tcW w:w="91" w:type="pct"/>
          </w:tcPr>
          <w:p w14:paraId="7881F7AA" w14:textId="77777777" w:rsidR="009B6249" w:rsidRPr="00301C8E" w:rsidRDefault="009B6249" w:rsidP="004F5282">
            <w:pPr>
              <w:jc w:val="both"/>
              <w:rPr>
                <w:sz w:val="20"/>
                <w:szCs w:val="20"/>
              </w:rPr>
            </w:pPr>
            <w:r w:rsidRPr="00301C8E">
              <w:rPr>
                <w:sz w:val="20"/>
                <w:szCs w:val="20"/>
              </w:rPr>
              <w:t>●</w:t>
            </w:r>
          </w:p>
        </w:tc>
        <w:tc>
          <w:tcPr>
            <w:tcW w:w="4635" w:type="pct"/>
          </w:tcPr>
          <w:p w14:paraId="2D072214" w14:textId="77777777" w:rsidR="009B6249" w:rsidRPr="00301C8E" w:rsidRDefault="009B6249" w:rsidP="004F5282">
            <w:pPr>
              <w:jc w:val="both"/>
              <w:rPr>
                <w:sz w:val="20"/>
                <w:szCs w:val="20"/>
              </w:rPr>
            </w:pPr>
            <w:r>
              <w:rPr>
                <w:sz w:val="20"/>
                <w:szCs w:val="20"/>
              </w:rPr>
              <w:t>5,884,115</w:t>
            </w:r>
            <w:r w:rsidRPr="00136D17">
              <w:rPr>
                <w:sz w:val="20"/>
                <w:szCs w:val="20"/>
              </w:rPr>
              <w:t xml:space="preserve"> shares of common stock issuable upon the exercise of other outstanding warrants with a weighted average exercise price of $</w:t>
            </w:r>
            <w:r>
              <w:rPr>
                <w:sz w:val="20"/>
                <w:szCs w:val="20"/>
              </w:rPr>
              <w:t>4.19</w:t>
            </w:r>
            <w:r w:rsidRPr="00136D17">
              <w:rPr>
                <w:sz w:val="20"/>
                <w:szCs w:val="20"/>
              </w:rPr>
              <w:t xml:space="preserve"> per share; and</w:t>
            </w:r>
          </w:p>
        </w:tc>
      </w:tr>
      <w:tr w:rsidR="009B6249" w:rsidRPr="00301C8E" w14:paraId="0F179FB2" w14:textId="77777777" w:rsidTr="004F5282">
        <w:trPr>
          <w:tblCellSpacing w:w="0" w:type="dxa"/>
        </w:trPr>
        <w:tc>
          <w:tcPr>
            <w:tcW w:w="274" w:type="pct"/>
          </w:tcPr>
          <w:p w14:paraId="46D36372" w14:textId="77777777" w:rsidR="009B6249" w:rsidRPr="00301C8E" w:rsidRDefault="009B6249" w:rsidP="004F5282">
            <w:r w:rsidRPr="00301C8E">
              <w:t> </w:t>
            </w:r>
          </w:p>
        </w:tc>
        <w:tc>
          <w:tcPr>
            <w:tcW w:w="91" w:type="pct"/>
          </w:tcPr>
          <w:p w14:paraId="369AEB33" w14:textId="77777777" w:rsidR="009B6249" w:rsidRPr="00301C8E" w:rsidRDefault="009B6249" w:rsidP="004F5282">
            <w:pPr>
              <w:jc w:val="both"/>
              <w:rPr>
                <w:sz w:val="20"/>
                <w:szCs w:val="20"/>
              </w:rPr>
            </w:pPr>
            <w:r w:rsidRPr="00301C8E">
              <w:rPr>
                <w:sz w:val="20"/>
                <w:szCs w:val="20"/>
              </w:rPr>
              <w:t>●</w:t>
            </w:r>
          </w:p>
        </w:tc>
        <w:tc>
          <w:tcPr>
            <w:tcW w:w="4635" w:type="pct"/>
          </w:tcPr>
          <w:p w14:paraId="703DD4BF" w14:textId="77777777" w:rsidR="009B6249" w:rsidRPr="00301C8E" w:rsidRDefault="009B6249" w:rsidP="004F5282">
            <w:pPr>
              <w:jc w:val="both"/>
              <w:rPr>
                <w:sz w:val="20"/>
                <w:szCs w:val="20"/>
              </w:rPr>
            </w:pPr>
            <w:r w:rsidRPr="00136D17">
              <w:rPr>
                <w:sz w:val="20"/>
                <w:szCs w:val="20"/>
              </w:rPr>
              <w:t>1,500,000 shares of common stock which are reserved for issuance under our 2020 Stock Incentive Plan, of which 602,000 shares of common stock are issuable upon exercise of outstanding options at an average exercise price of $2.79 per share</w:t>
            </w:r>
            <w:r w:rsidRPr="00301C8E">
              <w:rPr>
                <w:sz w:val="20"/>
                <w:szCs w:val="20"/>
              </w:rPr>
              <w:t>.</w:t>
            </w:r>
          </w:p>
        </w:tc>
      </w:tr>
    </w:tbl>
    <w:p w14:paraId="538524C5" w14:textId="77777777" w:rsidR="00745DD1" w:rsidRPr="00745DD1" w:rsidRDefault="00745DD1" w:rsidP="00745DD1">
      <w:pPr>
        <w:pStyle w:val="ListParagraph"/>
        <w:rPr>
          <w:sz w:val="20"/>
          <w:szCs w:val="20"/>
        </w:rPr>
      </w:pPr>
    </w:p>
    <w:p w14:paraId="35E08889" w14:textId="77777777" w:rsidR="00745DD1" w:rsidRDefault="00745DD1" w:rsidP="00745DD1">
      <w:pPr>
        <w:rPr>
          <w:sz w:val="20"/>
          <w:szCs w:val="20"/>
        </w:rPr>
        <w:sectPr w:rsidR="00745DD1" w:rsidSect="00AE0555">
          <w:pgSz w:w="12240" w:h="15840"/>
          <w:pgMar w:top="1440" w:right="1440" w:bottom="1440" w:left="1440" w:header="720" w:footer="720" w:gutter="0"/>
          <w:cols w:space="720"/>
          <w:docGrid w:linePitch="326"/>
        </w:sectPr>
      </w:pPr>
    </w:p>
    <w:p w14:paraId="01E2C9FD" w14:textId="77777777" w:rsidR="00745DD1" w:rsidRDefault="00745DD1" w:rsidP="00745DD1">
      <w:pPr>
        <w:jc w:val="center"/>
        <w:rPr>
          <w:b/>
          <w:sz w:val="20"/>
          <w:szCs w:val="20"/>
        </w:rPr>
      </w:pPr>
      <w:r>
        <w:rPr>
          <w:b/>
          <w:sz w:val="20"/>
          <w:szCs w:val="20"/>
        </w:rPr>
        <w:lastRenderedPageBreak/>
        <w:t>BUSINESS</w:t>
      </w:r>
    </w:p>
    <w:p w14:paraId="746B96B2" w14:textId="77777777" w:rsidR="00745DD1" w:rsidRDefault="00745DD1" w:rsidP="00745DD1">
      <w:pPr>
        <w:jc w:val="center"/>
        <w:rPr>
          <w:b/>
          <w:sz w:val="20"/>
          <w:szCs w:val="20"/>
        </w:rPr>
      </w:pPr>
    </w:p>
    <w:p w14:paraId="5E8115D0" w14:textId="77777777" w:rsidR="00745DD1" w:rsidRPr="003221AE" w:rsidRDefault="00745DD1" w:rsidP="003E5A31">
      <w:pPr>
        <w:jc w:val="both"/>
        <w:rPr>
          <w:b/>
          <w:sz w:val="20"/>
          <w:szCs w:val="20"/>
        </w:rPr>
      </w:pPr>
      <w:r w:rsidRPr="003221AE">
        <w:rPr>
          <w:b/>
          <w:sz w:val="20"/>
          <w:szCs w:val="20"/>
        </w:rPr>
        <w:t xml:space="preserve">Overview </w:t>
      </w:r>
    </w:p>
    <w:p w14:paraId="192EB3BE" w14:textId="77777777" w:rsidR="00745DD1" w:rsidRPr="003221AE" w:rsidRDefault="00745DD1" w:rsidP="003E5A31">
      <w:pPr>
        <w:jc w:val="both"/>
        <w:rPr>
          <w:sz w:val="20"/>
          <w:szCs w:val="20"/>
        </w:rPr>
      </w:pPr>
    </w:p>
    <w:p w14:paraId="2FB23812" w14:textId="1DC540D2" w:rsidR="00745DD1" w:rsidRPr="003221AE" w:rsidRDefault="00E329B2" w:rsidP="003E5A31">
      <w:pPr>
        <w:ind w:firstLine="720"/>
        <w:jc w:val="both"/>
        <w:rPr>
          <w:bCs/>
          <w:sz w:val="20"/>
          <w:szCs w:val="20"/>
        </w:rPr>
      </w:pPr>
      <w:proofErr w:type="spellStart"/>
      <w:r w:rsidRPr="00E329B2">
        <w:rPr>
          <w:bCs/>
          <w:sz w:val="20"/>
          <w:szCs w:val="20"/>
        </w:rPr>
        <w:t>GeoVax</w:t>
      </w:r>
      <w:proofErr w:type="spellEnd"/>
      <w:r w:rsidRPr="00E329B2">
        <w:rPr>
          <w:bCs/>
          <w:sz w:val="20"/>
          <w:szCs w:val="20"/>
        </w:rPr>
        <w:t xml:space="preserve"> is a clinical-stage biotechnology company developing human vaccines and immunotherapies against infectious diseases and cancer using novel proprietary platforms. </w:t>
      </w:r>
      <w:proofErr w:type="spellStart"/>
      <w:r w:rsidRPr="00E329B2">
        <w:rPr>
          <w:bCs/>
          <w:sz w:val="20"/>
          <w:szCs w:val="20"/>
        </w:rPr>
        <w:t>GeoVax’s</w:t>
      </w:r>
      <w:proofErr w:type="spellEnd"/>
      <w:r w:rsidRPr="00E329B2">
        <w:rPr>
          <w:bCs/>
          <w:sz w:val="20"/>
          <w:szCs w:val="20"/>
        </w:rPr>
        <w:t xml:space="preserve"> product pipeline includes ongoing human clinical trials in COVID-19</w:t>
      </w:r>
      <w:r w:rsidR="0054300C">
        <w:rPr>
          <w:bCs/>
          <w:sz w:val="20"/>
          <w:szCs w:val="20"/>
        </w:rPr>
        <w:t xml:space="preserve"> and</w:t>
      </w:r>
      <w:r w:rsidRPr="00E329B2">
        <w:rPr>
          <w:bCs/>
          <w:sz w:val="20"/>
          <w:szCs w:val="20"/>
        </w:rPr>
        <w:t xml:space="preserve"> head and neck cancer. Additional research and development programs include preventive vaccines against Zika Virus, hemorrhagic fever viruses (Ebola, Sudan, Marburg, and Lassa) and malaria, as well as immunotherapies for multiple solid tumors. Our portfolio of wholly owned, co-owned, and in-licensed intellectual property, stands at over 70 granted or pending patent applications spread over 20 patent families.</w:t>
      </w:r>
    </w:p>
    <w:p w14:paraId="631DDF48" w14:textId="77777777" w:rsidR="00745DD1" w:rsidRPr="003221AE" w:rsidRDefault="00745DD1" w:rsidP="003E5A31">
      <w:pPr>
        <w:jc w:val="both"/>
        <w:rPr>
          <w:sz w:val="20"/>
          <w:szCs w:val="20"/>
        </w:rPr>
      </w:pPr>
    </w:p>
    <w:p w14:paraId="0C0BB7B5" w14:textId="77777777" w:rsidR="00745DD1" w:rsidRPr="003221AE" w:rsidRDefault="00745DD1" w:rsidP="003E5A31">
      <w:pPr>
        <w:jc w:val="both"/>
        <w:rPr>
          <w:sz w:val="20"/>
          <w:szCs w:val="20"/>
        </w:rPr>
      </w:pPr>
      <w:r w:rsidRPr="003221AE">
        <w:rPr>
          <w:b/>
          <w:bCs/>
          <w:sz w:val="20"/>
          <w:szCs w:val="20"/>
        </w:rPr>
        <w:t>Our Product Development Pipeline</w:t>
      </w:r>
    </w:p>
    <w:p w14:paraId="38935978" w14:textId="77777777" w:rsidR="00745DD1" w:rsidRPr="003221AE" w:rsidRDefault="00745DD1" w:rsidP="003E5A31">
      <w:pPr>
        <w:jc w:val="both"/>
        <w:rPr>
          <w:sz w:val="20"/>
          <w:szCs w:val="20"/>
        </w:rPr>
      </w:pPr>
    </w:p>
    <w:p w14:paraId="07DC2BB6" w14:textId="77777777" w:rsidR="00745DD1" w:rsidRPr="003221AE" w:rsidRDefault="00745DD1" w:rsidP="003E5A31">
      <w:pPr>
        <w:ind w:firstLine="720"/>
        <w:jc w:val="both"/>
        <w:rPr>
          <w:sz w:val="20"/>
          <w:szCs w:val="20"/>
        </w:rPr>
      </w:pPr>
      <w:r w:rsidRPr="003221AE">
        <w:rPr>
          <w:sz w:val="20"/>
          <w:szCs w:val="20"/>
        </w:rPr>
        <w:t>We are currently developing a number of vaccines and immunotherapies for prevention or treatment of infectious diseases and cancers. The table below summarizes the status of our product development programs, which are discussed in greater detail in the following pages.</w:t>
      </w:r>
    </w:p>
    <w:p w14:paraId="248593CD" w14:textId="77777777" w:rsidR="00745DD1" w:rsidRPr="003221AE" w:rsidRDefault="00745DD1" w:rsidP="003E5A31">
      <w:pPr>
        <w:jc w:val="both"/>
        <w:rPr>
          <w:sz w:val="20"/>
          <w:szCs w:val="20"/>
        </w:rPr>
      </w:pPr>
    </w:p>
    <w:tbl>
      <w:tblPr>
        <w:tblW w:w="4968" w:type="pct"/>
        <w:tblInd w:w="149" w:type="dxa"/>
        <w:tblLayout w:type="fixed"/>
        <w:tblCellMar>
          <w:left w:w="0" w:type="dxa"/>
          <w:right w:w="0" w:type="dxa"/>
        </w:tblCellMar>
        <w:tblLook w:val="04A0" w:firstRow="1" w:lastRow="0" w:firstColumn="1" w:lastColumn="0" w:noHBand="0" w:noVBand="1"/>
      </w:tblPr>
      <w:tblGrid>
        <w:gridCol w:w="4441"/>
        <w:gridCol w:w="2342"/>
        <w:gridCol w:w="2517"/>
      </w:tblGrid>
      <w:tr w:rsidR="00745DD1" w:rsidRPr="003221AE" w14:paraId="2895332D" w14:textId="77777777" w:rsidTr="0054300C">
        <w:tc>
          <w:tcPr>
            <w:tcW w:w="2388" w:type="pct"/>
            <w:tcMar>
              <w:top w:w="5" w:type="dxa"/>
              <w:left w:w="5" w:type="dxa"/>
              <w:bottom w:w="5" w:type="dxa"/>
              <w:right w:w="5" w:type="dxa"/>
            </w:tcMar>
            <w:hideMark/>
          </w:tcPr>
          <w:p w14:paraId="3383D92B" w14:textId="77777777" w:rsidR="00745DD1" w:rsidRPr="003221AE" w:rsidRDefault="00745DD1" w:rsidP="003E5A31">
            <w:pPr>
              <w:jc w:val="both"/>
              <w:rPr>
                <w:sz w:val="20"/>
                <w:szCs w:val="20"/>
              </w:rPr>
            </w:pPr>
            <w:r w:rsidRPr="003221AE">
              <w:rPr>
                <w:b/>
                <w:bCs/>
                <w:sz w:val="20"/>
                <w:szCs w:val="20"/>
                <w:u w:val="single"/>
              </w:rPr>
              <w:t>Indication</w:t>
            </w:r>
          </w:p>
        </w:tc>
        <w:tc>
          <w:tcPr>
            <w:tcW w:w="1259" w:type="pct"/>
            <w:tcMar>
              <w:top w:w="5" w:type="dxa"/>
              <w:left w:w="5" w:type="dxa"/>
              <w:bottom w:w="5" w:type="dxa"/>
              <w:right w:w="5" w:type="dxa"/>
            </w:tcMar>
            <w:hideMark/>
          </w:tcPr>
          <w:p w14:paraId="642F1B37" w14:textId="77777777" w:rsidR="00745DD1" w:rsidRPr="003221AE" w:rsidRDefault="00745DD1" w:rsidP="003E5A31">
            <w:pPr>
              <w:jc w:val="both"/>
              <w:rPr>
                <w:sz w:val="20"/>
                <w:szCs w:val="20"/>
              </w:rPr>
            </w:pPr>
            <w:r w:rsidRPr="003221AE">
              <w:rPr>
                <w:b/>
                <w:bCs/>
                <w:sz w:val="20"/>
                <w:szCs w:val="20"/>
                <w:u w:val="single"/>
              </w:rPr>
              <w:t>Product Candidate</w:t>
            </w:r>
          </w:p>
        </w:tc>
        <w:tc>
          <w:tcPr>
            <w:tcW w:w="1353" w:type="pct"/>
            <w:tcMar>
              <w:top w:w="5" w:type="dxa"/>
              <w:left w:w="5" w:type="dxa"/>
              <w:bottom w:w="5" w:type="dxa"/>
              <w:right w:w="5" w:type="dxa"/>
            </w:tcMar>
            <w:hideMark/>
          </w:tcPr>
          <w:p w14:paraId="7E33E997" w14:textId="77777777" w:rsidR="00745DD1" w:rsidRPr="003221AE" w:rsidRDefault="00745DD1" w:rsidP="003E5A31">
            <w:pPr>
              <w:jc w:val="both"/>
              <w:rPr>
                <w:sz w:val="20"/>
                <w:szCs w:val="20"/>
              </w:rPr>
            </w:pPr>
            <w:r w:rsidRPr="003221AE">
              <w:rPr>
                <w:b/>
                <w:bCs/>
                <w:sz w:val="20"/>
                <w:szCs w:val="20"/>
                <w:u w:val="single"/>
              </w:rPr>
              <w:t>Current Status</w:t>
            </w:r>
          </w:p>
        </w:tc>
      </w:tr>
      <w:tr w:rsidR="00745DD1" w:rsidRPr="003221AE" w14:paraId="7FC098E6" w14:textId="77777777" w:rsidTr="0054300C">
        <w:tc>
          <w:tcPr>
            <w:tcW w:w="2388" w:type="pct"/>
            <w:tcMar>
              <w:top w:w="5" w:type="dxa"/>
              <w:left w:w="5" w:type="dxa"/>
              <w:bottom w:w="5" w:type="dxa"/>
              <w:right w:w="5" w:type="dxa"/>
            </w:tcMar>
            <w:hideMark/>
          </w:tcPr>
          <w:p w14:paraId="7ED91FC8" w14:textId="77777777" w:rsidR="00745DD1" w:rsidRPr="003221AE" w:rsidRDefault="00745DD1" w:rsidP="003E5A31">
            <w:pPr>
              <w:jc w:val="both"/>
              <w:rPr>
                <w:b/>
                <w:bCs/>
                <w:sz w:val="20"/>
                <w:szCs w:val="20"/>
              </w:rPr>
            </w:pPr>
            <w:r w:rsidRPr="003221AE">
              <w:rPr>
                <w:b/>
                <w:bCs/>
                <w:sz w:val="20"/>
                <w:szCs w:val="20"/>
                <w:u w:val="single"/>
              </w:rPr>
              <w:t>Coronavirus Vaccines</w:t>
            </w:r>
          </w:p>
        </w:tc>
        <w:tc>
          <w:tcPr>
            <w:tcW w:w="1259" w:type="pct"/>
            <w:tcMar>
              <w:top w:w="5" w:type="dxa"/>
              <w:left w:w="5" w:type="dxa"/>
              <w:bottom w:w="5" w:type="dxa"/>
              <w:right w:w="5" w:type="dxa"/>
            </w:tcMar>
            <w:hideMark/>
          </w:tcPr>
          <w:p w14:paraId="6AA54513" w14:textId="77777777" w:rsidR="00745DD1" w:rsidRPr="003221AE" w:rsidRDefault="00745DD1" w:rsidP="003E5A31">
            <w:pPr>
              <w:jc w:val="both"/>
              <w:rPr>
                <w:sz w:val="20"/>
                <w:szCs w:val="20"/>
              </w:rPr>
            </w:pPr>
          </w:p>
        </w:tc>
        <w:tc>
          <w:tcPr>
            <w:tcW w:w="1353" w:type="pct"/>
            <w:tcMar>
              <w:top w:w="5" w:type="dxa"/>
              <w:left w:w="5" w:type="dxa"/>
              <w:bottom w:w="5" w:type="dxa"/>
              <w:right w:w="5" w:type="dxa"/>
            </w:tcMar>
            <w:hideMark/>
          </w:tcPr>
          <w:p w14:paraId="6157C8D6" w14:textId="77777777" w:rsidR="00745DD1" w:rsidRPr="003221AE" w:rsidRDefault="00745DD1" w:rsidP="003E5A31">
            <w:pPr>
              <w:jc w:val="both"/>
              <w:rPr>
                <w:sz w:val="20"/>
                <w:szCs w:val="20"/>
              </w:rPr>
            </w:pPr>
            <w:r w:rsidRPr="003221AE">
              <w:rPr>
                <w:sz w:val="20"/>
                <w:szCs w:val="20"/>
              </w:rPr>
              <w:t xml:space="preserve"> </w:t>
            </w:r>
          </w:p>
        </w:tc>
      </w:tr>
      <w:tr w:rsidR="00745DD1" w:rsidRPr="003221AE" w14:paraId="61EFE36E" w14:textId="77777777" w:rsidTr="0054300C">
        <w:tc>
          <w:tcPr>
            <w:tcW w:w="2388" w:type="pct"/>
            <w:tcMar>
              <w:top w:w="5" w:type="dxa"/>
              <w:left w:w="5" w:type="dxa"/>
              <w:bottom w:w="5" w:type="dxa"/>
              <w:right w:w="5" w:type="dxa"/>
            </w:tcMar>
            <w:hideMark/>
          </w:tcPr>
          <w:p w14:paraId="1AB6A39F" w14:textId="77777777" w:rsidR="00745DD1" w:rsidRPr="003221AE" w:rsidRDefault="00745DD1" w:rsidP="003E5A31">
            <w:pPr>
              <w:jc w:val="both"/>
              <w:rPr>
                <w:sz w:val="20"/>
                <w:szCs w:val="20"/>
              </w:rPr>
            </w:pPr>
            <w:r w:rsidRPr="003221AE">
              <w:rPr>
                <w:sz w:val="20"/>
                <w:szCs w:val="20"/>
              </w:rPr>
              <w:t>COVID-19 (Booster to mRNA)</w:t>
            </w:r>
          </w:p>
        </w:tc>
        <w:tc>
          <w:tcPr>
            <w:tcW w:w="1259" w:type="pct"/>
            <w:tcMar>
              <w:top w:w="5" w:type="dxa"/>
              <w:left w:w="5" w:type="dxa"/>
              <w:bottom w:w="5" w:type="dxa"/>
              <w:right w:w="5" w:type="dxa"/>
            </w:tcMar>
            <w:hideMark/>
          </w:tcPr>
          <w:p w14:paraId="6BAFCC2C" w14:textId="77777777" w:rsidR="00745DD1" w:rsidRPr="003221AE" w:rsidRDefault="00745DD1" w:rsidP="003E5A31">
            <w:pPr>
              <w:jc w:val="both"/>
              <w:rPr>
                <w:sz w:val="20"/>
                <w:szCs w:val="20"/>
              </w:rPr>
            </w:pPr>
            <w:r w:rsidRPr="003221AE">
              <w:rPr>
                <w:sz w:val="20"/>
                <w:szCs w:val="20"/>
              </w:rPr>
              <w:t>GEO-CM04S1</w:t>
            </w:r>
          </w:p>
        </w:tc>
        <w:tc>
          <w:tcPr>
            <w:tcW w:w="1353" w:type="pct"/>
            <w:tcMar>
              <w:top w:w="5" w:type="dxa"/>
              <w:left w:w="5" w:type="dxa"/>
              <w:bottom w:w="5" w:type="dxa"/>
              <w:right w:w="5" w:type="dxa"/>
            </w:tcMar>
            <w:hideMark/>
          </w:tcPr>
          <w:p w14:paraId="5238A3C7" w14:textId="77777777" w:rsidR="00745DD1" w:rsidRPr="003221AE" w:rsidRDefault="00745DD1" w:rsidP="003E5A31">
            <w:pPr>
              <w:jc w:val="both"/>
              <w:rPr>
                <w:sz w:val="20"/>
                <w:szCs w:val="20"/>
              </w:rPr>
            </w:pPr>
            <w:r w:rsidRPr="003221AE">
              <w:rPr>
                <w:sz w:val="20"/>
                <w:szCs w:val="20"/>
              </w:rPr>
              <w:t>Clinical - Phase 2</w:t>
            </w:r>
          </w:p>
        </w:tc>
      </w:tr>
      <w:tr w:rsidR="00745DD1" w:rsidRPr="003221AE" w14:paraId="5952C8EE" w14:textId="77777777" w:rsidTr="0054300C">
        <w:tc>
          <w:tcPr>
            <w:tcW w:w="2388" w:type="pct"/>
            <w:tcMar>
              <w:top w:w="5" w:type="dxa"/>
              <w:left w:w="5" w:type="dxa"/>
              <w:bottom w:w="5" w:type="dxa"/>
              <w:right w:w="5" w:type="dxa"/>
            </w:tcMar>
          </w:tcPr>
          <w:p w14:paraId="4AF4E081" w14:textId="77777777" w:rsidR="00745DD1" w:rsidRPr="003221AE" w:rsidRDefault="00745DD1" w:rsidP="003E5A31">
            <w:pPr>
              <w:jc w:val="both"/>
              <w:rPr>
                <w:sz w:val="20"/>
                <w:szCs w:val="20"/>
              </w:rPr>
            </w:pPr>
            <w:r w:rsidRPr="003221AE">
              <w:rPr>
                <w:sz w:val="20"/>
                <w:szCs w:val="20"/>
              </w:rPr>
              <w:t>COVID-19 (Primary vaccine for immunocompromised patients)</w:t>
            </w:r>
          </w:p>
        </w:tc>
        <w:tc>
          <w:tcPr>
            <w:tcW w:w="1259" w:type="pct"/>
            <w:tcMar>
              <w:top w:w="5" w:type="dxa"/>
              <w:left w:w="5" w:type="dxa"/>
              <w:bottom w:w="5" w:type="dxa"/>
              <w:right w:w="5" w:type="dxa"/>
            </w:tcMar>
          </w:tcPr>
          <w:p w14:paraId="2F55A422" w14:textId="77777777" w:rsidR="00745DD1" w:rsidRPr="003221AE" w:rsidRDefault="00745DD1" w:rsidP="003E5A31">
            <w:pPr>
              <w:jc w:val="both"/>
              <w:rPr>
                <w:sz w:val="20"/>
                <w:szCs w:val="20"/>
              </w:rPr>
            </w:pPr>
            <w:r w:rsidRPr="003221AE">
              <w:rPr>
                <w:sz w:val="20"/>
                <w:szCs w:val="20"/>
              </w:rPr>
              <w:t>GEO-CM04S1</w:t>
            </w:r>
          </w:p>
        </w:tc>
        <w:tc>
          <w:tcPr>
            <w:tcW w:w="1353" w:type="pct"/>
            <w:tcMar>
              <w:top w:w="5" w:type="dxa"/>
              <w:left w:w="5" w:type="dxa"/>
              <w:bottom w:w="5" w:type="dxa"/>
              <w:right w:w="5" w:type="dxa"/>
            </w:tcMar>
          </w:tcPr>
          <w:p w14:paraId="03867C14" w14:textId="77777777" w:rsidR="00745DD1" w:rsidRPr="003221AE" w:rsidRDefault="00745DD1" w:rsidP="003E5A31">
            <w:pPr>
              <w:jc w:val="both"/>
              <w:rPr>
                <w:sz w:val="20"/>
                <w:szCs w:val="20"/>
              </w:rPr>
            </w:pPr>
            <w:r w:rsidRPr="003221AE">
              <w:rPr>
                <w:sz w:val="20"/>
                <w:szCs w:val="20"/>
              </w:rPr>
              <w:t>Clinical - Phase 2</w:t>
            </w:r>
          </w:p>
        </w:tc>
      </w:tr>
      <w:tr w:rsidR="00745DD1" w:rsidRPr="003221AE" w14:paraId="63D2E3FF" w14:textId="77777777" w:rsidTr="0054300C">
        <w:tc>
          <w:tcPr>
            <w:tcW w:w="2388" w:type="pct"/>
            <w:tcMar>
              <w:top w:w="5" w:type="dxa"/>
              <w:left w:w="5" w:type="dxa"/>
              <w:bottom w:w="5" w:type="dxa"/>
              <w:right w:w="5" w:type="dxa"/>
            </w:tcMar>
            <w:hideMark/>
          </w:tcPr>
          <w:p w14:paraId="57F33F1B" w14:textId="77777777" w:rsidR="00745DD1" w:rsidRPr="003221AE" w:rsidRDefault="00745DD1" w:rsidP="003E5A31">
            <w:pPr>
              <w:jc w:val="both"/>
              <w:rPr>
                <w:sz w:val="20"/>
                <w:szCs w:val="20"/>
              </w:rPr>
            </w:pPr>
            <w:r w:rsidRPr="003221AE">
              <w:rPr>
                <w:sz w:val="20"/>
                <w:szCs w:val="20"/>
              </w:rPr>
              <w:t>Pan Coronavirus</w:t>
            </w:r>
          </w:p>
        </w:tc>
        <w:tc>
          <w:tcPr>
            <w:tcW w:w="1259" w:type="pct"/>
            <w:tcMar>
              <w:top w:w="5" w:type="dxa"/>
              <w:left w:w="5" w:type="dxa"/>
              <w:bottom w:w="5" w:type="dxa"/>
              <w:right w:w="5" w:type="dxa"/>
            </w:tcMar>
            <w:hideMark/>
          </w:tcPr>
          <w:p w14:paraId="29C8D72F" w14:textId="77777777" w:rsidR="00745DD1" w:rsidRPr="003221AE" w:rsidRDefault="00745DD1" w:rsidP="003E5A31">
            <w:pPr>
              <w:jc w:val="both"/>
              <w:rPr>
                <w:sz w:val="20"/>
                <w:szCs w:val="20"/>
              </w:rPr>
            </w:pPr>
            <w:r w:rsidRPr="003221AE">
              <w:rPr>
                <w:sz w:val="20"/>
                <w:szCs w:val="20"/>
              </w:rPr>
              <w:t>GEO-CM02</w:t>
            </w:r>
          </w:p>
        </w:tc>
        <w:tc>
          <w:tcPr>
            <w:tcW w:w="1353" w:type="pct"/>
            <w:tcMar>
              <w:top w:w="5" w:type="dxa"/>
              <w:left w:w="5" w:type="dxa"/>
              <w:bottom w:w="5" w:type="dxa"/>
              <w:right w:w="5" w:type="dxa"/>
            </w:tcMar>
            <w:hideMark/>
          </w:tcPr>
          <w:p w14:paraId="18F400E4" w14:textId="77777777" w:rsidR="00745DD1" w:rsidRPr="003221AE" w:rsidRDefault="00745DD1" w:rsidP="003E5A31">
            <w:pPr>
              <w:jc w:val="both"/>
              <w:rPr>
                <w:sz w:val="20"/>
                <w:szCs w:val="20"/>
              </w:rPr>
            </w:pPr>
            <w:r w:rsidRPr="003221AE">
              <w:rPr>
                <w:sz w:val="20"/>
                <w:szCs w:val="20"/>
              </w:rPr>
              <w:t>Preclinical/IND-Enabling</w:t>
            </w:r>
          </w:p>
        </w:tc>
      </w:tr>
      <w:tr w:rsidR="00745DD1" w:rsidRPr="003221AE" w14:paraId="2F6D1E6C" w14:textId="77777777" w:rsidTr="0054300C">
        <w:tc>
          <w:tcPr>
            <w:tcW w:w="2388" w:type="pct"/>
            <w:tcMar>
              <w:top w:w="5" w:type="dxa"/>
              <w:left w:w="5" w:type="dxa"/>
              <w:bottom w:w="5" w:type="dxa"/>
              <w:right w:w="5" w:type="dxa"/>
            </w:tcMar>
          </w:tcPr>
          <w:p w14:paraId="2C819E2E" w14:textId="77777777" w:rsidR="00745DD1" w:rsidRPr="003221AE" w:rsidRDefault="00745DD1" w:rsidP="003E5A31">
            <w:pPr>
              <w:jc w:val="both"/>
              <w:rPr>
                <w:b/>
                <w:bCs/>
                <w:sz w:val="20"/>
                <w:szCs w:val="20"/>
                <w:u w:val="single"/>
              </w:rPr>
            </w:pPr>
            <w:r w:rsidRPr="003221AE">
              <w:rPr>
                <w:b/>
                <w:bCs/>
                <w:sz w:val="20"/>
                <w:szCs w:val="20"/>
                <w:u w:val="single"/>
              </w:rPr>
              <w:t>Cancer Immunotherapy</w:t>
            </w:r>
          </w:p>
        </w:tc>
        <w:tc>
          <w:tcPr>
            <w:tcW w:w="1259" w:type="pct"/>
            <w:tcMar>
              <w:top w:w="5" w:type="dxa"/>
              <w:left w:w="5" w:type="dxa"/>
              <w:bottom w:w="5" w:type="dxa"/>
              <w:right w:w="5" w:type="dxa"/>
            </w:tcMar>
          </w:tcPr>
          <w:p w14:paraId="039E1DCF" w14:textId="77777777" w:rsidR="00745DD1" w:rsidRPr="003221AE" w:rsidRDefault="00745DD1" w:rsidP="003E5A31">
            <w:pPr>
              <w:jc w:val="both"/>
              <w:rPr>
                <w:sz w:val="20"/>
                <w:szCs w:val="20"/>
              </w:rPr>
            </w:pPr>
          </w:p>
        </w:tc>
        <w:tc>
          <w:tcPr>
            <w:tcW w:w="1353" w:type="pct"/>
            <w:tcMar>
              <w:top w:w="5" w:type="dxa"/>
              <w:left w:w="5" w:type="dxa"/>
              <w:bottom w:w="5" w:type="dxa"/>
              <w:right w:w="5" w:type="dxa"/>
            </w:tcMar>
          </w:tcPr>
          <w:p w14:paraId="63EA5288" w14:textId="77777777" w:rsidR="00745DD1" w:rsidRPr="003221AE" w:rsidRDefault="00745DD1" w:rsidP="003E5A31">
            <w:pPr>
              <w:jc w:val="both"/>
              <w:rPr>
                <w:sz w:val="20"/>
                <w:szCs w:val="20"/>
              </w:rPr>
            </w:pPr>
          </w:p>
        </w:tc>
      </w:tr>
      <w:tr w:rsidR="00745DD1" w:rsidRPr="003221AE" w14:paraId="17EC9C1E" w14:textId="77777777" w:rsidTr="0054300C">
        <w:tc>
          <w:tcPr>
            <w:tcW w:w="2388" w:type="pct"/>
            <w:tcMar>
              <w:top w:w="5" w:type="dxa"/>
              <w:left w:w="5" w:type="dxa"/>
              <w:bottom w:w="5" w:type="dxa"/>
              <w:right w:w="5" w:type="dxa"/>
            </w:tcMar>
          </w:tcPr>
          <w:p w14:paraId="0834E81C" w14:textId="77777777" w:rsidR="00745DD1" w:rsidRPr="003221AE" w:rsidRDefault="00745DD1" w:rsidP="003E5A31">
            <w:pPr>
              <w:jc w:val="both"/>
              <w:rPr>
                <w:sz w:val="20"/>
                <w:szCs w:val="20"/>
              </w:rPr>
            </w:pPr>
            <w:r w:rsidRPr="003221AE">
              <w:rPr>
                <w:sz w:val="20"/>
                <w:szCs w:val="20"/>
              </w:rPr>
              <w:t>Solid Tumors (Advanced Head and Neck Cancer)*</w:t>
            </w:r>
          </w:p>
        </w:tc>
        <w:tc>
          <w:tcPr>
            <w:tcW w:w="1259" w:type="pct"/>
            <w:tcMar>
              <w:top w:w="5" w:type="dxa"/>
              <w:left w:w="5" w:type="dxa"/>
              <w:bottom w:w="5" w:type="dxa"/>
              <w:right w:w="5" w:type="dxa"/>
            </w:tcMar>
          </w:tcPr>
          <w:p w14:paraId="70B92999" w14:textId="77777777" w:rsidR="00745DD1" w:rsidRPr="003221AE" w:rsidRDefault="00745DD1" w:rsidP="003E5A31">
            <w:pPr>
              <w:jc w:val="both"/>
              <w:rPr>
                <w:sz w:val="20"/>
                <w:szCs w:val="20"/>
              </w:rPr>
            </w:pPr>
            <w:proofErr w:type="spellStart"/>
            <w:r w:rsidRPr="003221AE">
              <w:rPr>
                <w:bCs/>
                <w:sz w:val="20"/>
                <w:szCs w:val="20"/>
              </w:rPr>
              <w:t>Gedeptin</w:t>
            </w:r>
            <w:proofErr w:type="spellEnd"/>
            <w:r w:rsidRPr="003221AE">
              <w:rPr>
                <w:bCs/>
                <w:sz w:val="20"/>
                <w:szCs w:val="20"/>
                <w:vertAlign w:val="superscript"/>
              </w:rPr>
              <w:t>®</w:t>
            </w:r>
          </w:p>
        </w:tc>
        <w:tc>
          <w:tcPr>
            <w:tcW w:w="1353" w:type="pct"/>
            <w:tcMar>
              <w:top w:w="5" w:type="dxa"/>
              <w:left w:w="5" w:type="dxa"/>
              <w:bottom w:w="5" w:type="dxa"/>
              <w:right w:w="5" w:type="dxa"/>
            </w:tcMar>
          </w:tcPr>
          <w:p w14:paraId="0A7DD1F7" w14:textId="77777777" w:rsidR="00745DD1" w:rsidRPr="003221AE" w:rsidRDefault="00745DD1" w:rsidP="003E5A31">
            <w:pPr>
              <w:jc w:val="both"/>
              <w:rPr>
                <w:sz w:val="20"/>
                <w:szCs w:val="20"/>
              </w:rPr>
            </w:pPr>
            <w:r w:rsidRPr="003221AE">
              <w:rPr>
                <w:sz w:val="20"/>
                <w:szCs w:val="20"/>
              </w:rPr>
              <w:t>Clinical - Phase 1/2</w:t>
            </w:r>
          </w:p>
        </w:tc>
      </w:tr>
      <w:tr w:rsidR="00745DD1" w:rsidRPr="003221AE" w14:paraId="2BDFB4FD" w14:textId="77777777" w:rsidTr="0054300C">
        <w:tc>
          <w:tcPr>
            <w:tcW w:w="2388" w:type="pct"/>
            <w:tcMar>
              <w:top w:w="5" w:type="dxa"/>
              <w:left w:w="5" w:type="dxa"/>
              <w:bottom w:w="5" w:type="dxa"/>
              <w:right w:w="5" w:type="dxa"/>
            </w:tcMar>
          </w:tcPr>
          <w:p w14:paraId="6B2DE4E4" w14:textId="77777777" w:rsidR="00745DD1" w:rsidRPr="003221AE" w:rsidRDefault="00745DD1" w:rsidP="003E5A31">
            <w:pPr>
              <w:jc w:val="both"/>
              <w:rPr>
                <w:sz w:val="20"/>
                <w:szCs w:val="20"/>
              </w:rPr>
            </w:pPr>
            <w:r w:rsidRPr="003221AE">
              <w:rPr>
                <w:sz w:val="20"/>
                <w:szCs w:val="20"/>
              </w:rPr>
              <w:t>Solid Tumors (MUC1)</w:t>
            </w:r>
          </w:p>
        </w:tc>
        <w:tc>
          <w:tcPr>
            <w:tcW w:w="1259" w:type="pct"/>
            <w:tcMar>
              <w:top w:w="5" w:type="dxa"/>
              <w:left w:w="5" w:type="dxa"/>
              <w:bottom w:w="5" w:type="dxa"/>
              <w:right w:w="5" w:type="dxa"/>
            </w:tcMar>
          </w:tcPr>
          <w:p w14:paraId="5AB2EF4B" w14:textId="77777777" w:rsidR="00745DD1" w:rsidRPr="003221AE" w:rsidRDefault="00745DD1" w:rsidP="003E5A31">
            <w:pPr>
              <w:jc w:val="both"/>
              <w:rPr>
                <w:sz w:val="20"/>
                <w:szCs w:val="20"/>
              </w:rPr>
            </w:pPr>
            <w:r w:rsidRPr="003221AE">
              <w:rPr>
                <w:sz w:val="20"/>
                <w:szCs w:val="20"/>
              </w:rPr>
              <w:t>MVA-VLP-MUC1</w:t>
            </w:r>
          </w:p>
        </w:tc>
        <w:tc>
          <w:tcPr>
            <w:tcW w:w="1353" w:type="pct"/>
            <w:tcMar>
              <w:top w:w="5" w:type="dxa"/>
              <w:left w:w="5" w:type="dxa"/>
              <w:bottom w:w="5" w:type="dxa"/>
              <w:right w:w="5" w:type="dxa"/>
            </w:tcMar>
          </w:tcPr>
          <w:p w14:paraId="1D9302D0" w14:textId="77777777" w:rsidR="00745DD1" w:rsidRPr="003221AE" w:rsidRDefault="00745DD1" w:rsidP="003E5A31">
            <w:pPr>
              <w:jc w:val="both"/>
              <w:rPr>
                <w:sz w:val="20"/>
                <w:szCs w:val="20"/>
              </w:rPr>
            </w:pPr>
            <w:r w:rsidRPr="003221AE">
              <w:rPr>
                <w:sz w:val="20"/>
                <w:szCs w:val="20"/>
              </w:rPr>
              <w:t>Preclinical/IND-Enabling</w:t>
            </w:r>
          </w:p>
        </w:tc>
      </w:tr>
      <w:tr w:rsidR="00745DD1" w:rsidRPr="003221AE" w14:paraId="270D1280" w14:textId="77777777" w:rsidTr="0054300C">
        <w:tc>
          <w:tcPr>
            <w:tcW w:w="2388" w:type="pct"/>
            <w:tcMar>
              <w:top w:w="5" w:type="dxa"/>
              <w:left w:w="5" w:type="dxa"/>
              <w:bottom w:w="5" w:type="dxa"/>
              <w:right w:w="5" w:type="dxa"/>
            </w:tcMar>
          </w:tcPr>
          <w:p w14:paraId="402F1611" w14:textId="77777777" w:rsidR="00745DD1" w:rsidRPr="003221AE" w:rsidRDefault="00745DD1" w:rsidP="003E5A31">
            <w:pPr>
              <w:jc w:val="both"/>
              <w:rPr>
                <w:b/>
                <w:bCs/>
                <w:sz w:val="20"/>
                <w:szCs w:val="20"/>
                <w:u w:val="single"/>
              </w:rPr>
            </w:pPr>
            <w:r w:rsidRPr="003221AE">
              <w:rPr>
                <w:b/>
                <w:bCs/>
                <w:sz w:val="20"/>
                <w:szCs w:val="20"/>
                <w:u w:val="single"/>
              </w:rPr>
              <w:t>Other Infectious Disease Vaccines</w:t>
            </w:r>
          </w:p>
        </w:tc>
        <w:tc>
          <w:tcPr>
            <w:tcW w:w="1259" w:type="pct"/>
            <w:tcMar>
              <w:top w:w="5" w:type="dxa"/>
              <w:left w:w="5" w:type="dxa"/>
              <w:bottom w:w="5" w:type="dxa"/>
              <w:right w:w="5" w:type="dxa"/>
            </w:tcMar>
          </w:tcPr>
          <w:p w14:paraId="696E60F1" w14:textId="77777777" w:rsidR="00745DD1" w:rsidRPr="003221AE" w:rsidRDefault="00745DD1" w:rsidP="003E5A31">
            <w:pPr>
              <w:jc w:val="both"/>
              <w:rPr>
                <w:sz w:val="20"/>
                <w:szCs w:val="20"/>
              </w:rPr>
            </w:pPr>
          </w:p>
        </w:tc>
        <w:tc>
          <w:tcPr>
            <w:tcW w:w="1353" w:type="pct"/>
            <w:tcMar>
              <w:top w:w="5" w:type="dxa"/>
              <w:left w:w="5" w:type="dxa"/>
              <w:bottom w:w="5" w:type="dxa"/>
              <w:right w:w="5" w:type="dxa"/>
            </w:tcMar>
          </w:tcPr>
          <w:p w14:paraId="4A89E46D" w14:textId="77777777" w:rsidR="00745DD1" w:rsidRPr="003221AE" w:rsidRDefault="00745DD1" w:rsidP="003E5A31">
            <w:pPr>
              <w:jc w:val="both"/>
              <w:rPr>
                <w:sz w:val="20"/>
                <w:szCs w:val="20"/>
              </w:rPr>
            </w:pPr>
          </w:p>
        </w:tc>
      </w:tr>
      <w:tr w:rsidR="00745DD1" w:rsidRPr="003221AE" w14:paraId="73B4376D" w14:textId="77777777" w:rsidTr="0054300C">
        <w:tc>
          <w:tcPr>
            <w:tcW w:w="2388" w:type="pct"/>
            <w:tcMar>
              <w:top w:w="5" w:type="dxa"/>
              <w:left w:w="5" w:type="dxa"/>
              <w:bottom w:w="5" w:type="dxa"/>
              <w:right w:w="5" w:type="dxa"/>
            </w:tcMar>
            <w:hideMark/>
          </w:tcPr>
          <w:p w14:paraId="19EE2833" w14:textId="77777777" w:rsidR="00745DD1" w:rsidRPr="003221AE" w:rsidRDefault="00745DD1" w:rsidP="003E5A31">
            <w:pPr>
              <w:jc w:val="both"/>
              <w:rPr>
                <w:sz w:val="20"/>
                <w:szCs w:val="20"/>
              </w:rPr>
            </w:pPr>
            <w:r w:rsidRPr="003221AE">
              <w:rPr>
                <w:sz w:val="20"/>
                <w:szCs w:val="20"/>
              </w:rPr>
              <w:t>Zika**</w:t>
            </w:r>
          </w:p>
        </w:tc>
        <w:tc>
          <w:tcPr>
            <w:tcW w:w="1259" w:type="pct"/>
            <w:tcMar>
              <w:top w:w="5" w:type="dxa"/>
              <w:left w:w="5" w:type="dxa"/>
              <w:bottom w:w="5" w:type="dxa"/>
              <w:right w:w="5" w:type="dxa"/>
            </w:tcMar>
            <w:hideMark/>
          </w:tcPr>
          <w:p w14:paraId="6088E911" w14:textId="77777777" w:rsidR="00745DD1" w:rsidRPr="003221AE" w:rsidRDefault="00745DD1" w:rsidP="003E5A31">
            <w:pPr>
              <w:jc w:val="both"/>
              <w:rPr>
                <w:sz w:val="20"/>
                <w:szCs w:val="20"/>
              </w:rPr>
            </w:pPr>
            <w:r w:rsidRPr="003221AE">
              <w:rPr>
                <w:sz w:val="20"/>
                <w:szCs w:val="20"/>
              </w:rPr>
              <w:t>GEO-ZM02</w:t>
            </w:r>
          </w:p>
        </w:tc>
        <w:tc>
          <w:tcPr>
            <w:tcW w:w="1353" w:type="pct"/>
            <w:tcMar>
              <w:top w:w="5" w:type="dxa"/>
              <w:left w:w="5" w:type="dxa"/>
              <w:bottom w:w="5" w:type="dxa"/>
              <w:right w:w="5" w:type="dxa"/>
            </w:tcMar>
            <w:hideMark/>
          </w:tcPr>
          <w:p w14:paraId="7F622862" w14:textId="77777777" w:rsidR="00745DD1" w:rsidRPr="003221AE" w:rsidRDefault="00745DD1" w:rsidP="003E5A31">
            <w:pPr>
              <w:jc w:val="both"/>
              <w:rPr>
                <w:sz w:val="20"/>
                <w:szCs w:val="20"/>
              </w:rPr>
            </w:pPr>
            <w:r w:rsidRPr="003221AE">
              <w:rPr>
                <w:sz w:val="20"/>
                <w:szCs w:val="20"/>
              </w:rPr>
              <w:t>Preclinical/IND-Enabling</w:t>
            </w:r>
          </w:p>
        </w:tc>
      </w:tr>
      <w:tr w:rsidR="00745DD1" w:rsidRPr="003221AE" w14:paraId="1D649555" w14:textId="77777777" w:rsidTr="0054300C">
        <w:tc>
          <w:tcPr>
            <w:tcW w:w="2388" w:type="pct"/>
            <w:tcMar>
              <w:top w:w="5" w:type="dxa"/>
              <w:left w:w="5" w:type="dxa"/>
              <w:bottom w:w="5" w:type="dxa"/>
              <w:right w:w="5" w:type="dxa"/>
            </w:tcMar>
            <w:hideMark/>
          </w:tcPr>
          <w:p w14:paraId="63BF4C4D" w14:textId="77777777" w:rsidR="00745DD1" w:rsidRPr="003221AE" w:rsidRDefault="00745DD1" w:rsidP="003E5A31">
            <w:pPr>
              <w:jc w:val="both"/>
              <w:rPr>
                <w:sz w:val="20"/>
                <w:szCs w:val="20"/>
              </w:rPr>
            </w:pPr>
            <w:r w:rsidRPr="003221AE">
              <w:rPr>
                <w:sz w:val="20"/>
                <w:szCs w:val="20"/>
              </w:rPr>
              <w:t>Ebola, Marburg, Sudan**</w:t>
            </w:r>
          </w:p>
        </w:tc>
        <w:tc>
          <w:tcPr>
            <w:tcW w:w="1259" w:type="pct"/>
            <w:tcMar>
              <w:top w:w="5" w:type="dxa"/>
              <w:left w:w="5" w:type="dxa"/>
              <w:bottom w:w="5" w:type="dxa"/>
              <w:right w:w="5" w:type="dxa"/>
            </w:tcMar>
            <w:hideMark/>
          </w:tcPr>
          <w:p w14:paraId="3CDF21FB" w14:textId="77777777" w:rsidR="00745DD1" w:rsidRPr="003221AE" w:rsidRDefault="00745DD1" w:rsidP="003E5A31">
            <w:pPr>
              <w:jc w:val="both"/>
              <w:rPr>
                <w:sz w:val="20"/>
                <w:szCs w:val="20"/>
              </w:rPr>
            </w:pPr>
            <w:r w:rsidRPr="003221AE">
              <w:rPr>
                <w:sz w:val="20"/>
                <w:szCs w:val="20"/>
              </w:rPr>
              <w:t>GEO-EM01</w:t>
            </w:r>
          </w:p>
        </w:tc>
        <w:tc>
          <w:tcPr>
            <w:tcW w:w="1353" w:type="pct"/>
            <w:tcMar>
              <w:top w:w="5" w:type="dxa"/>
              <w:left w:w="5" w:type="dxa"/>
              <w:bottom w:w="5" w:type="dxa"/>
              <w:right w:w="5" w:type="dxa"/>
            </w:tcMar>
            <w:hideMark/>
          </w:tcPr>
          <w:p w14:paraId="57276543" w14:textId="77777777" w:rsidR="00745DD1" w:rsidRPr="003221AE" w:rsidRDefault="00745DD1" w:rsidP="003E5A31">
            <w:pPr>
              <w:jc w:val="both"/>
              <w:rPr>
                <w:sz w:val="20"/>
                <w:szCs w:val="20"/>
              </w:rPr>
            </w:pPr>
            <w:r w:rsidRPr="003221AE">
              <w:rPr>
                <w:sz w:val="20"/>
                <w:szCs w:val="20"/>
              </w:rPr>
              <w:t>Preclinical/IND-Enabling</w:t>
            </w:r>
          </w:p>
        </w:tc>
      </w:tr>
      <w:tr w:rsidR="00745DD1" w:rsidRPr="003221AE" w14:paraId="317949FE" w14:textId="77777777" w:rsidTr="0054300C">
        <w:tc>
          <w:tcPr>
            <w:tcW w:w="2388" w:type="pct"/>
            <w:tcMar>
              <w:top w:w="5" w:type="dxa"/>
              <w:left w:w="5" w:type="dxa"/>
              <w:bottom w:w="5" w:type="dxa"/>
              <w:right w:w="5" w:type="dxa"/>
            </w:tcMar>
            <w:hideMark/>
          </w:tcPr>
          <w:p w14:paraId="36C19720" w14:textId="77777777" w:rsidR="00745DD1" w:rsidRPr="003221AE" w:rsidRDefault="00745DD1" w:rsidP="003E5A31">
            <w:pPr>
              <w:jc w:val="both"/>
              <w:rPr>
                <w:sz w:val="20"/>
                <w:szCs w:val="20"/>
              </w:rPr>
            </w:pPr>
            <w:r w:rsidRPr="003221AE">
              <w:rPr>
                <w:sz w:val="20"/>
                <w:szCs w:val="20"/>
              </w:rPr>
              <w:t>Lassa Fever**</w:t>
            </w:r>
          </w:p>
        </w:tc>
        <w:tc>
          <w:tcPr>
            <w:tcW w:w="1259" w:type="pct"/>
            <w:tcMar>
              <w:top w:w="5" w:type="dxa"/>
              <w:left w:w="5" w:type="dxa"/>
              <w:bottom w:w="5" w:type="dxa"/>
              <w:right w:w="5" w:type="dxa"/>
            </w:tcMar>
            <w:hideMark/>
          </w:tcPr>
          <w:p w14:paraId="3BCF77C6" w14:textId="77777777" w:rsidR="00745DD1" w:rsidRPr="003221AE" w:rsidRDefault="00745DD1" w:rsidP="003E5A31">
            <w:pPr>
              <w:jc w:val="both"/>
              <w:rPr>
                <w:sz w:val="20"/>
                <w:szCs w:val="20"/>
              </w:rPr>
            </w:pPr>
            <w:r w:rsidRPr="003221AE">
              <w:rPr>
                <w:sz w:val="20"/>
                <w:szCs w:val="20"/>
              </w:rPr>
              <w:t>GEO-LM01</w:t>
            </w:r>
          </w:p>
        </w:tc>
        <w:tc>
          <w:tcPr>
            <w:tcW w:w="1353" w:type="pct"/>
            <w:tcMar>
              <w:top w:w="5" w:type="dxa"/>
              <w:left w:w="5" w:type="dxa"/>
              <w:bottom w:w="5" w:type="dxa"/>
              <w:right w:w="5" w:type="dxa"/>
            </w:tcMar>
            <w:hideMark/>
          </w:tcPr>
          <w:p w14:paraId="2132B5E8" w14:textId="77777777" w:rsidR="00745DD1" w:rsidRPr="003221AE" w:rsidRDefault="00745DD1" w:rsidP="003E5A31">
            <w:pPr>
              <w:jc w:val="both"/>
              <w:rPr>
                <w:sz w:val="20"/>
                <w:szCs w:val="20"/>
              </w:rPr>
            </w:pPr>
            <w:r w:rsidRPr="003221AE">
              <w:rPr>
                <w:sz w:val="20"/>
                <w:szCs w:val="20"/>
              </w:rPr>
              <w:t>Exploratory</w:t>
            </w:r>
          </w:p>
        </w:tc>
      </w:tr>
      <w:tr w:rsidR="00745DD1" w:rsidRPr="003221AE" w14:paraId="67E331F3" w14:textId="77777777" w:rsidTr="0054300C">
        <w:tc>
          <w:tcPr>
            <w:tcW w:w="2388" w:type="pct"/>
            <w:tcMar>
              <w:top w:w="5" w:type="dxa"/>
              <w:left w:w="5" w:type="dxa"/>
              <w:bottom w:w="5" w:type="dxa"/>
              <w:right w:w="5" w:type="dxa"/>
            </w:tcMar>
            <w:hideMark/>
          </w:tcPr>
          <w:p w14:paraId="15185E68" w14:textId="77777777" w:rsidR="00745DD1" w:rsidRPr="003221AE" w:rsidRDefault="00745DD1" w:rsidP="003E5A31">
            <w:pPr>
              <w:jc w:val="both"/>
              <w:rPr>
                <w:sz w:val="20"/>
                <w:szCs w:val="20"/>
              </w:rPr>
            </w:pPr>
            <w:r w:rsidRPr="003221AE">
              <w:rPr>
                <w:sz w:val="20"/>
                <w:szCs w:val="20"/>
              </w:rPr>
              <w:t>Malaria**</w:t>
            </w:r>
          </w:p>
        </w:tc>
        <w:tc>
          <w:tcPr>
            <w:tcW w:w="1259" w:type="pct"/>
            <w:tcMar>
              <w:top w:w="5" w:type="dxa"/>
              <w:left w:w="5" w:type="dxa"/>
              <w:bottom w:w="5" w:type="dxa"/>
              <w:right w:w="5" w:type="dxa"/>
            </w:tcMar>
            <w:hideMark/>
          </w:tcPr>
          <w:p w14:paraId="62EA7A0B" w14:textId="77777777" w:rsidR="00745DD1" w:rsidRPr="003221AE" w:rsidRDefault="00745DD1" w:rsidP="003E5A31">
            <w:pPr>
              <w:jc w:val="both"/>
              <w:rPr>
                <w:sz w:val="20"/>
                <w:szCs w:val="20"/>
              </w:rPr>
            </w:pPr>
            <w:r w:rsidRPr="003221AE">
              <w:rPr>
                <w:sz w:val="20"/>
                <w:szCs w:val="20"/>
              </w:rPr>
              <w:t>GEO-MM02</w:t>
            </w:r>
          </w:p>
        </w:tc>
        <w:tc>
          <w:tcPr>
            <w:tcW w:w="1353" w:type="pct"/>
            <w:tcMar>
              <w:top w:w="5" w:type="dxa"/>
              <w:left w:w="5" w:type="dxa"/>
              <w:bottom w:w="5" w:type="dxa"/>
              <w:right w:w="5" w:type="dxa"/>
            </w:tcMar>
            <w:hideMark/>
          </w:tcPr>
          <w:p w14:paraId="5858F606" w14:textId="77777777" w:rsidR="00745DD1" w:rsidRPr="003221AE" w:rsidRDefault="00745DD1" w:rsidP="003E5A31">
            <w:pPr>
              <w:jc w:val="both"/>
              <w:rPr>
                <w:sz w:val="20"/>
                <w:szCs w:val="20"/>
              </w:rPr>
            </w:pPr>
            <w:r w:rsidRPr="003221AE">
              <w:rPr>
                <w:sz w:val="20"/>
                <w:szCs w:val="20"/>
              </w:rPr>
              <w:t>Exploratory</w:t>
            </w:r>
          </w:p>
        </w:tc>
      </w:tr>
    </w:tbl>
    <w:p w14:paraId="12001517" w14:textId="77777777" w:rsidR="00745DD1" w:rsidRPr="003221AE" w:rsidRDefault="00745DD1" w:rsidP="003E5A31">
      <w:pPr>
        <w:jc w:val="both"/>
        <w:rPr>
          <w:i/>
          <w:iCs/>
          <w:sz w:val="20"/>
          <w:szCs w:val="20"/>
        </w:rPr>
      </w:pPr>
      <w:r w:rsidRPr="003221AE">
        <w:rPr>
          <w:i/>
          <w:iCs/>
          <w:sz w:val="20"/>
          <w:szCs w:val="20"/>
        </w:rPr>
        <w:t>---------------</w:t>
      </w:r>
    </w:p>
    <w:p w14:paraId="2835D6B8" w14:textId="77777777" w:rsidR="00745DD1" w:rsidRPr="003221AE" w:rsidRDefault="00745DD1" w:rsidP="003E5A31">
      <w:pPr>
        <w:jc w:val="both"/>
        <w:rPr>
          <w:i/>
          <w:iCs/>
          <w:sz w:val="20"/>
          <w:szCs w:val="20"/>
        </w:rPr>
      </w:pPr>
      <w:r w:rsidRPr="003221AE">
        <w:rPr>
          <w:i/>
          <w:iCs/>
          <w:sz w:val="20"/>
          <w:szCs w:val="20"/>
        </w:rPr>
        <w:t>* Orphan Drug status granted</w:t>
      </w:r>
    </w:p>
    <w:p w14:paraId="347B0FA2" w14:textId="77777777" w:rsidR="00745DD1" w:rsidRPr="003221AE" w:rsidRDefault="00745DD1" w:rsidP="003E5A31">
      <w:pPr>
        <w:jc w:val="both"/>
        <w:rPr>
          <w:i/>
          <w:iCs/>
          <w:sz w:val="20"/>
          <w:szCs w:val="20"/>
        </w:rPr>
      </w:pPr>
      <w:r w:rsidRPr="003221AE">
        <w:rPr>
          <w:i/>
          <w:iCs/>
          <w:sz w:val="20"/>
          <w:szCs w:val="20"/>
        </w:rPr>
        <w:t>** Indication within FDA Priority Review Voucher program</w:t>
      </w:r>
    </w:p>
    <w:p w14:paraId="70139BEE" w14:textId="77777777" w:rsidR="00745DD1" w:rsidRPr="003221AE" w:rsidRDefault="00745DD1" w:rsidP="003E5A31">
      <w:pPr>
        <w:jc w:val="both"/>
        <w:rPr>
          <w:sz w:val="20"/>
          <w:szCs w:val="20"/>
        </w:rPr>
      </w:pPr>
    </w:p>
    <w:p w14:paraId="18B2B453" w14:textId="77777777" w:rsidR="0054300C" w:rsidRPr="0054300C" w:rsidRDefault="0054300C" w:rsidP="0054300C">
      <w:pPr>
        <w:rPr>
          <w:sz w:val="20"/>
          <w:szCs w:val="20"/>
        </w:rPr>
      </w:pPr>
      <w:r w:rsidRPr="0054300C">
        <w:rPr>
          <w:b/>
          <w:bCs/>
          <w:sz w:val="20"/>
          <w:szCs w:val="20"/>
        </w:rPr>
        <w:t>Our Coronavirus Vaccine Programs</w:t>
      </w:r>
    </w:p>
    <w:p w14:paraId="1ABCA59A" w14:textId="77777777" w:rsidR="0054300C" w:rsidRPr="0054300C" w:rsidRDefault="0054300C" w:rsidP="0054300C">
      <w:pPr>
        <w:rPr>
          <w:b/>
          <w:bCs/>
          <w:sz w:val="20"/>
          <w:szCs w:val="20"/>
        </w:rPr>
      </w:pPr>
    </w:p>
    <w:p w14:paraId="5229C96E" w14:textId="77777777" w:rsidR="0054300C" w:rsidRPr="0054300C" w:rsidRDefault="0054300C" w:rsidP="0054300C">
      <w:pPr>
        <w:rPr>
          <w:sz w:val="20"/>
          <w:szCs w:val="20"/>
        </w:rPr>
      </w:pPr>
      <w:r w:rsidRPr="0054300C">
        <w:rPr>
          <w:sz w:val="20"/>
          <w:szCs w:val="20"/>
        </w:rPr>
        <w:t xml:space="preserve">COVID-19, caused by SARS-CoV-2, has rapidly swept throughout the world. The World Health Organization (WHO) declared COVID-19 a public health emergency of international concern and, as of early March 2022, has reported more than 425 million cases and nearly 6 million deaths worldwide. </w:t>
      </w:r>
    </w:p>
    <w:p w14:paraId="28215B8D" w14:textId="77777777" w:rsidR="0054300C" w:rsidRPr="0054300C" w:rsidRDefault="0054300C" w:rsidP="0054300C">
      <w:pPr>
        <w:rPr>
          <w:sz w:val="20"/>
          <w:szCs w:val="20"/>
        </w:rPr>
      </w:pPr>
    </w:p>
    <w:p w14:paraId="22C1FADA" w14:textId="77777777" w:rsidR="0054300C" w:rsidRPr="0054300C" w:rsidRDefault="0054300C" w:rsidP="0054300C">
      <w:pPr>
        <w:rPr>
          <w:sz w:val="20"/>
          <w:szCs w:val="20"/>
        </w:rPr>
      </w:pPr>
      <w:r w:rsidRPr="0054300C">
        <w:rPr>
          <w:sz w:val="20"/>
          <w:szCs w:val="20"/>
        </w:rPr>
        <w:t xml:space="preserve">There are currently twenty-four vaccines authorized for use in one or more countries around the world, including three in the United States. These vaccines are primarily designed to induce antibodies specific for the S protein of SARS-CoV-2 but rely on different mechanisms for presentation or expression of the S antigen, including recombinant proteins, whole inactivated virus, defective adenovirus vectors (three different types) or mRNA. Antiviral drugs and </w:t>
      </w:r>
      <w:proofErr w:type="spellStart"/>
      <w:r w:rsidRPr="0054300C">
        <w:rPr>
          <w:sz w:val="20"/>
          <w:szCs w:val="20"/>
        </w:rPr>
        <w:t>mAbs</w:t>
      </w:r>
      <w:proofErr w:type="spellEnd"/>
      <w:r w:rsidRPr="0054300C">
        <w:rPr>
          <w:sz w:val="20"/>
          <w:szCs w:val="20"/>
        </w:rPr>
        <w:t xml:space="preserve"> currently have limited availability and effectiveness. According to the U.S. Centers for Disease Control and Prevention (CDC), estimates of COVID-19 mRNA vaccine effectiveness have declined in recent months because of waning vaccine induced immunity over time, possible increased immune evasion by SARS-CoV-2 variants, or a combination of these and other factors.</w:t>
      </w:r>
    </w:p>
    <w:p w14:paraId="06C153BE" w14:textId="77777777" w:rsidR="0054300C" w:rsidRPr="0054300C" w:rsidRDefault="0054300C" w:rsidP="0054300C">
      <w:pPr>
        <w:rPr>
          <w:sz w:val="20"/>
          <w:szCs w:val="20"/>
        </w:rPr>
      </w:pPr>
    </w:p>
    <w:p w14:paraId="41B64BA2" w14:textId="77777777" w:rsidR="0054300C" w:rsidRPr="0054300C" w:rsidRDefault="0054300C" w:rsidP="0054300C">
      <w:pPr>
        <w:rPr>
          <w:sz w:val="20"/>
          <w:szCs w:val="20"/>
        </w:rPr>
      </w:pPr>
      <w:r w:rsidRPr="0054300C">
        <w:rPr>
          <w:sz w:val="20"/>
          <w:szCs w:val="20"/>
        </w:rPr>
        <w:t xml:space="preserve">SARS-CoV-2 is an enveloped, single-stranded, positive-sense RNA virus belonging to the family </w:t>
      </w:r>
      <w:proofErr w:type="spellStart"/>
      <w:r w:rsidRPr="0054300C">
        <w:rPr>
          <w:i/>
          <w:iCs/>
          <w:sz w:val="20"/>
          <w:szCs w:val="20"/>
        </w:rPr>
        <w:t>Coronavidae</w:t>
      </w:r>
      <w:proofErr w:type="spellEnd"/>
      <w:r w:rsidRPr="0054300C">
        <w:rPr>
          <w:sz w:val="20"/>
          <w:szCs w:val="20"/>
        </w:rPr>
        <w:t xml:space="preserve"> within the genus beta-coronavirus. The genome of </w:t>
      </w:r>
      <w:bookmarkStart w:id="14" w:name="_Hlk96695575"/>
      <w:r w:rsidRPr="0054300C">
        <w:rPr>
          <w:sz w:val="20"/>
          <w:szCs w:val="20"/>
        </w:rPr>
        <w:t>SARS-CoV-2</w:t>
      </w:r>
      <w:bookmarkEnd w:id="14"/>
      <w:r w:rsidRPr="0054300C">
        <w:rPr>
          <w:sz w:val="20"/>
          <w:szCs w:val="20"/>
        </w:rPr>
        <w:t xml:space="preserve"> encodes one large Spike (“S”) protein that plays a pivotal role during viral attachment to the host receptor and entry into host cells. The S protein is the major principal target for vaccines against human coronavirus, including SARS-CoV-2. Neutralizing antibodies targeting the receptor binding domain (“RBD”) subunit of the S protein block the virus from binding to host cells. </w:t>
      </w:r>
      <w:r w:rsidRPr="0054300C">
        <w:rPr>
          <w:sz w:val="20"/>
          <w:szCs w:val="20"/>
        </w:rPr>
        <w:lastRenderedPageBreak/>
        <w:t xml:space="preserve">Over 90% of all neutralizing antibodies produced in response to infection are directed to the RBD subunit, and </w:t>
      </w:r>
      <w:proofErr w:type="spellStart"/>
      <w:r w:rsidRPr="0054300C">
        <w:rPr>
          <w:sz w:val="20"/>
          <w:szCs w:val="20"/>
        </w:rPr>
        <w:t>mAbs</w:t>
      </w:r>
      <w:proofErr w:type="spellEnd"/>
      <w:r w:rsidRPr="0054300C">
        <w:rPr>
          <w:sz w:val="20"/>
          <w:szCs w:val="20"/>
        </w:rPr>
        <w:t xml:space="preserve"> that have shown therapeutic activity target epitopes on the RBD. </w:t>
      </w:r>
    </w:p>
    <w:p w14:paraId="098054C1" w14:textId="77777777" w:rsidR="0054300C" w:rsidRPr="0054300C" w:rsidRDefault="0054300C" w:rsidP="0054300C">
      <w:pPr>
        <w:rPr>
          <w:sz w:val="20"/>
          <w:szCs w:val="20"/>
        </w:rPr>
      </w:pPr>
    </w:p>
    <w:p w14:paraId="1B402DDB" w14:textId="77777777" w:rsidR="0054300C" w:rsidRPr="0054300C" w:rsidRDefault="0054300C" w:rsidP="0054300C">
      <w:pPr>
        <w:rPr>
          <w:b/>
          <w:bCs/>
          <w:sz w:val="20"/>
          <w:szCs w:val="20"/>
        </w:rPr>
      </w:pPr>
      <w:r w:rsidRPr="0054300C">
        <w:rPr>
          <w:b/>
          <w:bCs/>
          <w:sz w:val="20"/>
          <w:szCs w:val="20"/>
        </w:rPr>
        <w:t xml:space="preserve">GEO-CM04S1 for Immunocompromised Patients – </w:t>
      </w:r>
      <w:bookmarkStart w:id="15" w:name="_Hlk94093616"/>
      <w:r w:rsidRPr="0054300C">
        <w:rPr>
          <w:sz w:val="20"/>
          <w:szCs w:val="20"/>
        </w:rPr>
        <w:t xml:space="preserve">The CDC </w:t>
      </w:r>
      <w:bookmarkEnd w:id="15"/>
      <w:r w:rsidRPr="0054300C">
        <w:rPr>
          <w:sz w:val="20"/>
          <w:szCs w:val="20"/>
        </w:rPr>
        <w:t>lists immunocompromised patients, including patients who have received therapeutic procedures for hematologic malignancy, as high risk for SARS-CoV-2 disease. SARS-CoV-2 infection is expected to be very serious in this vulnerable population of hematology patients, including autologous (auto) and allogeneic (</w:t>
      </w:r>
      <w:proofErr w:type="spellStart"/>
      <w:r w:rsidRPr="0054300C">
        <w:rPr>
          <w:sz w:val="20"/>
          <w:szCs w:val="20"/>
        </w:rPr>
        <w:t>allo</w:t>
      </w:r>
      <w:proofErr w:type="spellEnd"/>
      <w:r w:rsidRPr="0054300C">
        <w:rPr>
          <w:sz w:val="20"/>
          <w:szCs w:val="20"/>
        </w:rPr>
        <w:t xml:space="preserve">) hematopoietic cell transplant (HCT), and recipients of chimeric antigen receptor (CAR)-T cell therapies. Given the serious impact of other respiratory viruses in this vulnerable patient population, it is anticipated that hematology recipients of cell therapy may develop severe clinical disease, profoundly impacting the therapy outcomes, such as morbidity and survival. There is very limited data and multiple critical gaps in our knowledge of the epidemiology and clinical manifestations of </w:t>
      </w:r>
      <w:bookmarkStart w:id="16" w:name="_Hlk96698857"/>
      <w:r w:rsidRPr="0054300C">
        <w:rPr>
          <w:sz w:val="20"/>
          <w:szCs w:val="20"/>
        </w:rPr>
        <w:t>SARS-CoV-2</w:t>
      </w:r>
      <w:bookmarkEnd w:id="16"/>
      <w:r w:rsidRPr="0054300C">
        <w:rPr>
          <w:sz w:val="20"/>
          <w:szCs w:val="20"/>
        </w:rPr>
        <w:t xml:space="preserve">in hematology patients as no clinical trial of an approved vaccine has focused on immunocompromised patients. Thus, the efficacy and safety of a SARS-CoV-2 vaccine has not been established in the different immunocompromised patient populations and it is possible that candidate SARS-CoV-2 vaccines may differ in their efficacy and safety for these patients. </w:t>
      </w:r>
    </w:p>
    <w:p w14:paraId="082BF7D0" w14:textId="77777777" w:rsidR="0054300C" w:rsidRPr="0054300C" w:rsidRDefault="0054300C" w:rsidP="0054300C">
      <w:pPr>
        <w:rPr>
          <w:sz w:val="20"/>
          <w:szCs w:val="20"/>
        </w:rPr>
      </w:pPr>
    </w:p>
    <w:p w14:paraId="19CEA475" w14:textId="77777777" w:rsidR="0054300C" w:rsidRPr="0054300C" w:rsidRDefault="0054300C" w:rsidP="0054300C">
      <w:pPr>
        <w:rPr>
          <w:bCs/>
          <w:sz w:val="20"/>
          <w:szCs w:val="20"/>
        </w:rPr>
      </w:pPr>
      <w:bookmarkStart w:id="17" w:name="_Hlk94091305"/>
      <w:r w:rsidRPr="0054300C">
        <w:rPr>
          <w:sz w:val="20"/>
          <w:szCs w:val="20"/>
        </w:rPr>
        <w:t>Our vaccine candidate, GEO-CM04S1 (formerly referred to as COH04S1), is based on a synthetic, attenuated Modified Vaccinia Ankara (</w:t>
      </w:r>
      <w:proofErr w:type="spellStart"/>
      <w:r w:rsidRPr="0054300C">
        <w:rPr>
          <w:sz w:val="20"/>
          <w:szCs w:val="20"/>
        </w:rPr>
        <w:t>sMVA</w:t>
      </w:r>
      <w:proofErr w:type="spellEnd"/>
      <w:r w:rsidRPr="0054300C">
        <w:rPr>
          <w:sz w:val="20"/>
          <w:szCs w:val="20"/>
        </w:rPr>
        <w:t>) vector expressing both spike (S) and nucleocapsid (N) antigens of the SARS-CoV-2 virus and was initially developed at City of Hope (COH) for immunocompromised patients</w:t>
      </w:r>
      <w:bookmarkEnd w:id="17"/>
      <w:r w:rsidRPr="0054300C">
        <w:rPr>
          <w:sz w:val="20"/>
          <w:szCs w:val="20"/>
        </w:rPr>
        <w:t xml:space="preserve">. In a placebo-controlled Phase 1 clinical trial of healthy adults conducted by COH, GEO-CM04S1 was shown to be safe and immunogenic. In November 2021, </w:t>
      </w:r>
      <w:proofErr w:type="spellStart"/>
      <w:r w:rsidRPr="0054300C">
        <w:rPr>
          <w:sz w:val="20"/>
          <w:szCs w:val="20"/>
        </w:rPr>
        <w:t>GeoVax</w:t>
      </w:r>
      <w:proofErr w:type="spellEnd"/>
      <w:r w:rsidRPr="0054300C">
        <w:rPr>
          <w:sz w:val="20"/>
          <w:szCs w:val="20"/>
        </w:rPr>
        <w:t xml:space="preserve"> entered into a </w:t>
      </w:r>
      <w:bookmarkStart w:id="18" w:name="_Hlk91761845"/>
      <w:r w:rsidRPr="0054300C">
        <w:rPr>
          <w:sz w:val="20"/>
          <w:szCs w:val="20"/>
        </w:rPr>
        <w:t>license agreement</w:t>
      </w:r>
      <w:r w:rsidRPr="0054300C">
        <w:rPr>
          <w:bCs/>
          <w:sz w:val="20"/>
          <w:szCs w:val="20"/>
        </w:rPr>
        <w:t xml:space="preserve"> with COH, granting </w:t>
      </w:r>
      <w:proofErr w:type="spellStart"/>
      <w:r w:rsidRPr="0054300C">
        <w:rPr>
          <w:bCs/>
          <w:sz w:val="20"/>
          <w:szCs w:val="20"/>
        </w:rPr>
        <w:t>GeoVax</w:t>
      </w:r>
      <w:proofErr w:type="spellEnd"/>
      <w:r w:rsidRPr="0054300C">
        <w:rPr>
          <w:bCs/>
          <w:sz w:val="20"/>
          <w:szCs w:val="20"/>
        </w:rPr>
        <w:t xml:space="preserve"> exclusive worldwide rights to further develop and commercialize the vaccine.</w:t>
      </w:r>
    </w:p>
    <w:bookmarkEnd w:id="18"/>
    <w:p w14:paraId="2787D155" w14:textId="77777777" w:rsidR="0054300C" w:rsidRPr="0054300C" w:rsidRDefault="0054300C" w:rsidP="0054300C">
      <w:pPr>
        <w:rPr>
          <w:sz w:val="20"/>
          <w:szCs w:val="20"/>
        </w:rPr>
      </w:pPr>
    </w:p>
    <w:p w14:paraId="20765F88" w14:textId="77777777" w:rsidR="0054300C" w:rsidRPr="0054300C" w:rsidRDefault="0054300C" w:rsidP="0054300C">
      <w:pPr>
        <w:rPr>
          <w:bCs/>
          <w:sz w:val="20"/>
          <w:szCs w:val="20"/>
        </w:rPr>
      </w:pPr>
      <w:bookmarkStart w:id="19" w:name="_Hlk91754170"/>
      <w:r w:rsidRPr="0054300C">
        <w:rPr>
          <w:bCs/>
          <w:sz w:val="20"/>
          <w:szCs w:val="20"/>
        </w:rPr>
        <w:t xml:space="preserve">GEO-CM04S1 </w:t>
      </w:r>
      <w:bookmarkEnd w:id="19"/>
      <w:r w:rsidRPr="0054300C">
        <w:rPr>
          <w:bCs/>
          <w:sz w:val="20"/>
          <w:szCs w:val="20"/>
        </w:rPr>
        <w:t xml:space="preserve">is being studied in an ongoing Phase 2 clinical trial (NCT04977024) to evaluate its safety and immunogenicity, compared to the Pfizer/BioNTech mRNA-based vaccine, in patients who have previously received either an allogeneic hematopoietic cell transplant, an autologous hematopoietic cell transplant or chimeric antigen receptor (CAR) T cell therapy. GEO-CM04S1 </w:t>
      </w:r>
      <w:r w:rsidRPr="0054300C">
        <w:rPr>
          <w:sz w:val="20"/>
          <w:szCs w:val="20"/>
        </w:rPr>
        <w:t xml:space="preserve">is the only SARS-CoV-2vaccine that includes both S and </w:t>
      </w:r>
      <w:proofErr w:type="spellStart"/>
      <w:r w:rsidRPr="0054300C">
        <w:rPr>
          <w:sz w:val="20"/>
          <w:szCs w:val="20"/>
        </w:rPr>
        <w:t>Nproteins</w:t>
      </w:r>
      <w:proofErr w:type="spellEnd"/>
      <w:r w:rsidRPr="0054300C">
        <w:rPr>
          <w:sz w:val="20"/>
          <w:szCs w:val="20"/>
        </w:rPr>
        <w:t xml:space="preserve"> to advance to a Phase 2 trial in cancer patients. MVA-vector based vaccines tend to produce an immune response quickly – in less than 14 days – with only mild side effects. </w:t>
      </w:r>
      <w:r w:rsidRPr="0054300C">
        <w:rPr>
          <w:bCs/>
          <w:sz w:val="20"/>
          <w:szCs w:val="20"/>
        </w:rPr>
        <w:t xml:space="preserve">The trial is also the first to compare an investigational multi-antigenic </w:t>
      </w:r>
      <w:r w:rsidRPr="0054300C">
        <w:rPr>
          <w:sz w:val="20"/>
          <w:szCs w:val="20"/>
        </w:rPr>
        <w:t>SARS-CoV-2</w:t>
      </w:r>
      <w:r w:rsidRPr="0054300C">
        <w:rPr>
          <w:bCs/>
          <w:sz w:val="20"/>
          <w:szCs w:val="20"/>
        </w:rPr>
        <w:t xml:space="preserve">vaccine to the current Food and Drug Administration (FDA)-approved mRNA vaccine from Pfizer/BioNTech in people who are immunocompromised. Such patients have often shown a weak antibody response after receiving currently available COVID-19 vaccines. </w:t>
      </w:r>
    </w:p>
    <w:p w14:paraId="783B99FA" w14:textId="77777777" w:rsidR="0054300C" w:rsidRPr="0054300C" w:rsidRDefault="0054300C" w:rsidP="0054300C">
      <w:pPr>
        <w:rPr>
          <w:bCs/>
          <w:sz w:val="20"/>
          <w:szCs w:val="20"/>
        </w:rPr>
      </w:pPr>
    </w:p>
    <w:p w14:paraId="218F0728" w14:textId="77777777" w:rsidR="0054300C" w:rsidRPr="0054300C" w:rsidRDefault="0054300C" w:rsidP="0054300C">
      <w:pPr>
        <w:rPr>
          <w:sz w:val="20"/>
          <w:szCs w:val="20"/>
        </w:rPr>
      </w:pPr>
      <w:r w:rsidRPr="0054300C">
        <w:rPr>
          <w:b/>
          <w:sz w:val="20"/>
          <w:szCs w:val="20"/>
        </w:rPr>
        <w:t>GEO-CM04S1 as a Booster Vaccine</w:t>
      </w:r>
      <w:r w:rsidRPr="0054300C">
        <w:rPr>
          <w:bCs/>
          <w:sz w:val="20"/>
          <w:szCs w:val="20"/>
        </w:rPr>
        <w:t xml:space="preserve"> – In December 2021, patient enrollment began for the Phase 2 portion of a Phase 1/2 trial (NCT04639466) of GEO-CM0461, evaluating its use as a universal booster vaccine to current FDA-approved two-shot mRNA vaccines from Pfizer/BioNTech and Moderna.</w:t>
      </w:r>
      <w:r w:rsidRPr="0054300C">
        <w:rPr>
          <w:sz w:val="20"/>
          <w:szCs w:val="20"/>
        </w:rPr>
        <w:t xml:space="preserve"> The clinical trial, titled “Phase 1/2 Dose Escalation Study to Evaluate the Safety and Biologically Effective Dose of COH04S1, a Synthetic MVA-based SARS-CoV-2 Vaccine, Administered as One or Two Injections or as a Booster to Healthy Adult Volunteers” is being conducted at COH. </w:t>
      </w:r>
    </w:p>
    <w:p w14:paraId="07123C69" w14:textId="77777777" w:rsidR="0054300C" w:rsidRPr="0054300C" w:rsidRDefault="0054300C" w:rsidP="0054300C">
      <w:pPr>
        <w:rPr>
          <w:sz w:val="20"/>
          <w:szCs w:val="20"/>
        </w:rPr>
      </w:pPr>
    </w:p>
    <w:p w14:paraId="61A4486E" w14:textId="77777777" w:rsidR="0054300C" w:rsidRPr="0054300C" w:rsidRDefault="0054300C" w:rsidP="0054300C">
      <w:pPr>
        <w:rPr>
          <w:sz w:val="20"/>
          <w:szCs w:val="20"/>
        </w:rPr>
      </w:pPr>
      <w:r w:rsidRPr="0054300C">
        <w:rPr>
          <w:sz w:val="20"/>
          <w:szCs w:val="20"/>
        </w:rPr>
        <w:t xml:space="preserve">Because GEO-CM04S1 is designed to stimulate potent humoral and cellular immune responses against both the S and N proteins of SARS-CoV-2, </w:t>
      </w:r>
      <w:proofErr w:type="spellStart"/>
      <w:r w:rsidRPr="0054300C">
        <w:rPr>
          <w:sz w:val="20"/>
          <w:szCs w:val="20"/>
        </w:rPr>
        <w:t>GeoVax</w:t>
      </w:r>
      <w:proofErr w:type="spellEnd"/>
      <w:r w:rsidRPr="0054300C">
        <w:rPr>
          <w:sz w:val="20"/>
          <w:szCs w:val="20"/>
        </w:rPr>
        <w:t xml:space="preserve"> believes its administration as a booster will provide additional antigenic targets to the immune system resulting in a broader immune response. The </w:t>
      </w:r>
      <w:r w:rsidRPr="0054300C">
        <w:rPr>
          <w:bCs/>
          <w:sz w:val="20"/>
          <w:szCs w:val="20"/>
        </w:rPr>
        <w:t xml:space="preserve">GEO-CM0461 </w:t>
      </w:r>
      <w:r w:rsidRPr="0054300C">
        <w:rPr>
          <w:sz w:val="20"/>
          <w:szCs w:val="20"/>
        </w:rPr>
        <w:t xml:space="preserve">vaccine’s MVA backbone may also be more effective at inducing immunity since MVA is known to strongly induce T cell responses even in a background of immunosuppression. In addition, </w:t>
      </w:r>
      <w:r w:rsidRPr="0054300C">
        <w:rPr>
          <w:bCs/>
          <w:sz w:val="20"/>
          <w:szCs w:val="20"/>
        </w:rPr>
        <w:t>GEO-CM04S1</w:t>
      </w:r>
      <w:r w:rsidRPr="0054300C">
        <w:rPr>
          <w:sz w:val="20"/>
          <w:szCs w:val="20"/>
        </w:rPr>
        <w:t xml:space="preserve"> may offer greater protection against the significant sequence variation observed with the S antigen and durability of immunity, which is well established for MVA.</w:t>
      </w:r>
    </w:p>
    <w:p w14:paraId="767B9E51" w14:textId="77777777" w:rsidR="0054300C" w:rsidRPr="0054300C" w:rsidRDefault="0054300C" w:rsidP="0054300C">
      <w:pPr>
        <w:rPr>
          <w:sz w:val="20"/>
          <w:szCs w:val="20"/>
        </w:rPr>
      </w:pPr>
    </w:p>
    <w:p w14:paraId="7F757B03" w14:textId="77777777" w:rsidR="0054300C" w:rsidRPr="0054300C" w:rsidRDefault="0054300C" w:rsidP="0054300C">
      <w:pPr>
        <w:rPr>
          <w:sz w:val="20"/>
          <w:szCs w:val="20"/>
        </w:rPr>
      </w:pPr>
      <w:r w:rsidRPr="0054300C">
        <w:rPr>
          <w:sz w:val="20"/>
          <w:szCs w:val="20"/>
        </w:rPr>
        <w:t>The Phase 1 portion of the trial was designed as a dose-escalation safety study in healthy individuals between the ages of 18 to 55, who had not been previously infected with SARS-CoV-2. The primary objectives were to evaluate the safety, tolerability and immunogenicity of the GEO-CM04S1 in healthy volunteers who were administered the vaccine at three different dose levels by intramuscular (IM) injection. Follow-up studies of the volunteers are continuing in order to better assess duration of immune responses. Scientific presentations and publications of the Phase 1 trial results are planned for early 2022.</w:t>
      </w:r>
    </w:p>
    <w:p w14:paraId="58FD3061" w14:textId="77777777" w:rsidR="0054300C" w:rsidRPr="0054300C" w:rsidRDefault="0054300C" w:rsidP="0054300C">
      <w:pPr>
        <w:rPr>
          <w:sz w:val="20"/>
          <w:szCs w:val="20"/>
        </w:rPr>
      </w:pPr>
    </w:p>
    <w:p w14:paraId="0435D0AF" w14:textId="77777777" w:rsidR="0054300C" w:rsidRPr="0054300C" w:rsidRDefault="0054300C" w:rsidP="0054300C">
      <w:pPr>
        <w:rPr>
          <w:sz w:val="20"/>
          <w:szCs w:val="20"/>
        </w:rPr>
      </w:pPr>
      <w:r w:rsidRPr="0054300C">
        <w:rPr>
          <w:sz w:val="20"/>
          <w:szCs w:val="20"/>
        </w:rPr>
        <w:t xml:space="preserve">The Phase 2 booster study, for which vaccination is ongoing, will include 60 healthy individuals, 18 years of age and older, who were previously vaccinated with the two-dose regimen of one of the FDA-approved SARS-CoV-2 </w:t>
      </w:r>
      <w:r w:rsidRPr="0054300C">
        <w:rPr>
          <w:sz w:val="20"/>
          <w:szCs w:val="20"/>
        </w:rPr>
        <w:lastRenderedPageBreak/>
        <w:t>mRNA vaccines, manufactured by either Pfizer/</w:t>
      </w:r>
      <w:proofErr w:type="spellStart"/>
      <w:r w:rsidRPr="0054300C">
        <w:rPr>
          <w:sz w:val="20"/>
          <w:szCs w:val="20"/>
        </w:rPr>
        <w:t>BioNtech</w:t>
      </w:r>
      <w:proofErr w:type="spellEnd"/>
      <w:r w:rsidRPr="0054300C">
        <w:rPr>
          <w:sz w:val="20"/>
          <w:szCs w:val="20"/>
        </w:rPr>
        <w:t xml:space="preserve"> or Moderna. The study is designed as a dose-escalation trial to specifically evaluate the safety profile and immunogenicity of COH04S1 as a booster. The immunological responses measured throughout the study will include the level of SARS-CoV-2 neutralizing antibodies against SARS-CoV-2 variants of concern (VOC), including the Omicron VOC, as well as specific T-cell responses.</w:t>
      </w:r>
    </w:p>
    <w:p w14:paraId="1F937C14" w14:textId="77777777" w:rsidR="0054300C" w:rsidRPr="0054300C" w:rsidRDefault="0054300C" w:rsidP="0054300C">
      <w:pPr>
        <w:rPr>
          <w:sz w:val="20"/>
          <w:szCs w:val="20"/>
        </w:rPr>
      </w:pPr>
    </w:p>
    <w:p w14:paraId="780BCF13" w14:textId="77777777" w:rsidR="0054300C" w:rsidRPr="0054300C" w:rsidRDefault="0054300C" w:rsidP="0054300C">
      <w:pPr>
        <w:rPr>
          <w:sz w:val="20"/>
          <w:szCs w:val="20"/>
        </w:rPr>
      </w:pPr>
      <w:r w:rsidRPr="0054300C">
        <w:rPr>
          <w:b/>
          <w:bCs/>
          <w:sz w:val="20"/>
          <w:szCs w:val="20"/>
        </w:rPr>
        <w:t>GEO-CM02 as a Pan-Coronavirus Vaccine</w:t>
      </w:r>
      <w:r w:rsidRPr="0054300C">
        <w:rPr>
          <w:sz w:val="20"/>
          <w:szCs w:val="20"/>
        </w:rPr>
        <w:t xml:space="preserve"> – First-generation SARS-CoV-2 vaccines were rapidly developed and have proven highly efficacious in the human population.  Most of these first-generation vaccines were designed to encode the S protein of the SARS-CoV-2 virus with the goal of inducing high levels of neutralizing antibodies. However, potential limitations of narrowly focusing on the S protein are becoming apparent with emerging variants capable of partially escaping neutralization by vaccine induced antibodies, as has been seen with the Omicron variant. Thus, the effectiveness of these vaccines against new SARS-CoV-2 variants and future coronavirus spillover events remains of immense concern.</w:t>
      </w:r>
    </w:p>
    <w:p w14:paraId="7813F480" w14:textId="77777777" w:rsidR="0054300C" w:rsidRPr="0054300C" w:rsidRDefault="0054300C" w:rsidP="0054300C">
      <w:pPr>
        <w:rPr>
          <w:sz w:val="20"/>
          <w:szCs w:val="20"/>
        </w:rPr>
      </w:pPr>
    </w:p>
    <w:p w14:paraId="3097C238" w14:textId="77777777" w:rsidR="0054300C" w:rsidRPr="0054300C" w:rsidRDefault="0054300C" w:rsidP="0054300C">
      <w:pPr>
        <w:rPr>
          <w:sz w:val="20"/>
          <w:szCs w:val="20"/>
        </w:rPr>
      </w:pPr>
      <w:r w:rsidRPr="0054300C">
        <w:rPr>
          <w:sz w:val="20"/>
          <w:szCs w:val="20"/>
        </w:rPr>
        <w:t>Using its novel Modified Virus Ankara - Virus Like Particle (GV-MVA-VLP</w:t>
      </w:r>
      <w:r w:rsidRPr="0054300C">
        <w:rPr>
          <w:sz w:val="20"/>
          <w:szCs w:val="20"/>
          <w:vertAlign w:val="superscript"/>
        </w:rPr>
        <w:t>TM</w:t>
      </w:r>
      <w:r w:rsidRPr="0054300C">
        <w:rPr>
          <w:sz w:val="20"/>
          <w:szCs w:val="20"/>
        </w:rPr>
        <w:t xml:space="preserve">) platform, </w:t>
      </w:r>
      <w:proofErr w:type="spellStart"/>
      <w:r w:rsidRPr="0054300C">
        <w:rPr>
          <w:sz w:val="20"/>
          <w:szCs w:val="20"/>
        </w:rPr>
        <w:t>GeoVax</w:t>
      </w:r>
      <w:proofErr w:type="spellEnd"/>
      <w:r w:rsidRPr="0054300C">
        <w:rPr>
          <w:sz w:val="20"/>
          <w:szCs w:val="20"/>
        </w:rPr>
        <w:t xml:space="preserve"> has developed a design strategy for vaccines expected to induce broader immunity through inclusion of multiple, genetically conserved structural and nonstructural proteins from the target pathogen. The GV-MVA-VLP</w:t>
      </w:r>
      <w:r w:rsidRPr="0054300C">
        <w:rPr>
          <w:sz w:val="20"/>
          <w:szCs w:val="20"/>
          <w:vertAlign w:val="superscript"/>
        </w:rPr>
        <w:t>TM</w:t>
      </w:r>
      <w:r w:rsidRPr="0054300C">
        <w:rPr>
          <w:sz w:val="20"/>
          <w:szCs w:val="20"/>
        </w:rPr>
        <w:t xml:space="preserve"> platform is known to induce a balanced antibody and cellular (T-cells) response against the multiple encoded immunogens, potentially limiting immune escape by emerging variants. Expression of the SARS-CoV-2 spike (S), membrane (M) and envelope (E) proteins by MVA supports the </w:t>
      </w:r>
      <w:r w:rsidRPr="0054300C">
        <w:rPr>
          <w:i/>
          <w:iCs/>
          <w:sz w:val="20"/>
          <w:szCs w:val="20"/>
        </w:rPr>
        <w:t>in vivo</w:t>
      </w:r>
      <w:r w:rsidRPr="0054300C">
        <w:rPr>
          <w:sz w:val="20"/>
          <w:szCs w:val="20"/>
        </w:rPr>
        <w:t xml:space="preserve"> formation of virus like particles (VLPs), which induce both antibody and T-cell responses. Incorporation of other sequence-conserved structural and nonstructural proteins will provide targets for T-cell responses to increase the breadth and function of vaccine-induced immune responses. This strategy provides the basis for generating a universal vaccine with augmented potential to alleviate the burden of disease caused by circulating coronaviruses. Unique compared to other vaccines approved or under development, the </w:t>
      </w:r>
      <w:proofErr w:type="spellStart"/>
      <w:r w:rsidRPr="0054300C">
        <w:rPr>
          <w:sz w:val="20"/>
          <w:szCs w:val="20"/>
        </w:rPr>
        <w:t>GeoVax</w:t>
      </w:r>
      <w:proofErr w:type="spellEnd"/>
      <w:r w:rsidRPr="0054300C">
        <w:rPr>
          <w:sz w:val="20"/>
          <w:szCs w:val="20"/>
        </w:rPr>
        <w:t xml:space="preserve"> vaccine candidates are therefore specifically designed to provide a broader and more long-lived level of protective immunity against SARS-CoV-2 which should protect against emerging variants while avoiding the potential side effects that can limit vaccine utility and acceptance.</w:t>
      </w:r>
    </w:p>
    <w:p w14:paraId="4902B197" w14:textId="77777777" w:rsidR="0054300C" w:rsidRPr="0054300C" w:rsidRDefault="0054300C" w:rsidP="0054300C">
      <w:pPr>
        <w:rPr>
          <w:sz w:val="20"/>
          <w:szCs w:val="20"/>
        </w:rPr>
      </w:pPr>
    </w:p>
    <w:p w14:paraId="0763C021" w14:textId="77777777" w:rsidR="0054300C" w:rsidRPr="0054300C" w:rsidRDefault="0054300C" w:rsidP="0054300C">
      <w:pPr>
        <w:rPr>
          <w:sz w:val="20"/>
          <w:szCs w:val="20"/>
        </w:rPr>
      </w:pPr>
      <w:proofErr w:type="spellStart"/>
      <w:r w:rsidRPr="0054300C">
        <w:rPr>
          <w:sz w:val="20"/>
          <w:szCs w:val="20"/>
        </w:rPr>
        <w:t>GeoVax’s</w:t>
      </w:r>
      <w:proofErr w:type="spellEnd"/>
      <w:r w:rsidRPr="0054300C">
        <w:rPr>
          <w:sz w:val="20"/>
          <w:szCs w:val="20"/>
        </w:rPr>
        <w:t xml:space="preserve"> lead vaccine candidate (GEO-CM02) encodes the S protein as the antibody target and the M and E proteins as T-cell targets. The combination of S, M and E protein expression supports </w:t>
      </w:r>
      <w:r w:rsidRPr="0054300C">
        <w:rPr>
          <w:i/>
          <w:iCs/>
          <w:sz w:val="20"/>
          <w:szCs w:val="20"/>
        </w:rPr>
        <w:t>in vivo</w:t>
      </w:r>
      <w:r w:rsidRPr="0054300C">
        <w:rPr>
          <w:sz w:val="20"/>
          <w:szCs w:val="20"/>
        </w:rPr>
        <w:t xml:space="preserve"> VLP formation and optimal immunogenicity.  In small animal studies, the Company measured functional immune responses after a single dose that mediated protection from infection and pathogenesis, including protection against the more virulent Beta variant</w:t>
      </w:r>
    </w:p>
    <w:p w14:paraId="18CE7667" w14:textId="77777777" w:rsidR="0054300C" w:rsidRPr="0054300C" w:rsidRDefault="0054300C" w:rsidP="0054300C">
      <w:pPr>
        <w:rPr>
          <w:sz w:val="20"/>
          <w:szCs w:val="20"/>
        </w:rPr>
      </w:pPr>
    </w:p>
    <w:p w14:paraId="43A0FAAD" w14:textId="77777777" w:rsidR="0054300C" w:rsidRPr="0054300C" w:rsidRDefault="0054300C" w:rsidP="0054300C">
      <w:pPr>
        <w:rPr>
          <w:sz w:val="20"/>
          <w:szCs w:val="20"/>
        </w:rPr>
      </w:pPr>
      <w:r w:rsidRPr="0054300C">
        <w:rPr>
          <w:rFonts w:ascii="CG Times (WN)" w:hAnsi="CG Times (WN)"/>
          <w:sz w:val="20"/>
          <w:szCs w:val="20"/>
        </w:rPr>
        <w:t>In January</w:t>
      </w:r>
      <w:r w:rsidRPr="0054300C">
        <w:rPr>
          <w:rFonts w:ascii="CG Times (WN)" w:hAnsi="CG Times (WN)"/>
          <w:bCs/>
          <w:color w:val="000000"/>
          <w:sz w:val="20"/>
          <w:szCs w:val="20"/>
        </w:rPr>
        <w:t xml:space="preserve"> 2021, </w:t>
      </w:r>
      <w:r w:rsidRPr="0054300C">
        <w:rPr>
          <w:rFonts w:ascii="CG Times (WN)" w:hAnsi="CG Times (WN)"/>
          <w:color w:val="000000"/>
          <w:sz w:val="20"/>
          <w:szCs w:val="20"/>
        </w:rPr>
        <w:t xml:space="preserve">the </w:t>
      </w:r>
      <w:bookmarkStart w:id="20" w:name="_Hlk91763909"/>
      <w:r w:rsidRPr="0054300C">
        <w:rPr>
          <w:rFonts w:ascii="CG Times (WN)" w:hAnsi="CG Times (WN)"/>
          <w:color w:val="000000"/>
          <w:sz w:val="20"/>
          <w:szCs w:val="20"/>
        </w:rPr>
        <w:t xml:space="preserve">National Institute of Allergy and Infectious Diseases (NIAID), part of the National Institutes of Health (NIH), </w:t>
      </w:r>
      <w:bookmarkEnd w:id="20"/>
      <w:r w:rsidRPr="0054300C">
        <w:rPr>
          <w:rFonts w:ascii="CG Times (WN)" w:hAnsi="CG Times (WN)"/>
          <w:color w:val="000000"/>
          <w:sz w:val="20"/>
          <w:szCs w:val="20"/>
        </w:rPr>
        <w:t xml:space="preserve">awarded the </w:t>
      </w:r>
      <w:proofErr w:type="spellStart"/>
      <w:r w:rsidRPr="0054300C">
        <w:rPr>
          <w:rFonts w:ascii="CG Times (WN)" w:hAnsi="CG Times (WN)"/>
          <w:color w:val="000000"/>
          <w:sz w:val="20"/>
          <w:szCs w:val="20"/>
        </w:rPr>
        <w:t>GeoVax</w:t>
      </w:r>
      <w:proofErr w:type="spellEnd"/>
      <w:r w:rsidRPr="0054300C">
        <w:rPr>
          <w:rFonts w:ascii="CG Times (WN)" w:hAnsi="CG Times (WN)"/>
          <w:color w:val="000000"/>
          <w:sz w:val="20"/>
          <w:szCs w:val="20"/>
        </w:rPr>
        <w:t xml:space="preserve"> a Small Business Innovative Research (SBIR) grant in support of the Company’s vaccine development efforts.  The Phase 1 grant, titled, “</w:t>
      </w:r>
      <w:r w:rsidRPr="0054300C">
        <w:rPr>
          <w:rFonts w:ascii="CG Times (WN)" w:hAnsi="CG Times (WN)"/>
          <w:i/>
          <w:iCs/>
          <w:color w:val="000000"/>
          <w:sz w:val="20"/>
          <w:szCs w:val="20"/>
        </w:rPr>
        <w:t>Preclinical Development of GV-MVA-VLP Vaccines Against COVID-19,</w:t>
      </w:r>
      <w:r w:rsidRPr="0054300C">
        <w:rPr>
          <w:rFonts w:ascii="CG Times (WN)" w:hAnsi="CG Times (WN)"/>
          <w:color w:val="000000"/>
          <w:sz w:val="20"/>
          <w:szCs w:val="20"/>
        </w:rPr>
        <w:t>” is supporting the ongoing design, construction and preclinical testing of our vaccine candidate’s evaluation, in preparation for human clinical trials. Scientific presentations and publications of the experimental results were delivered at multiple international vaccine conferences during 2021 and publication is planned for 2022.</w:t>
      </w:r>
    </w:p>
    <w:p w14:paraId="11BD8D9A" w14:textId="77777777" w:rsidR="0054300C" w:rsidRPr="0054300C" w:rsidRDefault="0054300C" w:rsidP="0054300C">
      <w:pPr>
        <w:rPr>
          <w:sz w:val="20"/>
          <w:szCs w:val="20"/>
        </w:rPr>
      </w:pPr>
    </w:p>
    <w:p w14:paraId="2FEDFCC0" w14:textId="77777777" w:rsidR="0054300C" w:rsidRPr="0054300C" w:rsidRDefault="0054300C" w:rsidP="0054300C">
      <w:pPr>
        <w:rPr>
          <w:sz w:val="20"/>
          <w:szCs w:val="20"/>
        </w:rPr>
      </w:pPr>
      <w:r w:rsidRPr="0054300C">
        <w:rPr>
          <w:b/>
          <w:bCs/>
          <w:sz w:val="20"/>
          <w:szCs w:val="20"/>
        </w:rPr>
        <w:t>Our Cancer Immunotherapy Programs</w:t>
      </w:r>
    </w:p>
    <w:p w14:paraId="5806273E" w14:textId="77777777" w:rsidR="0054300C" w:rsidRPr="0054300C" w:rsidRDefault="0054300C" w:rsidP="0054300C">
      <w:pPr>
        <w:rPr>
          <w:sz w:val="20"/>
          <w:szCs w:val="20"/>
        </w:rPr>
      </w:pPr>
      <w:r w:rsidRPr="0054300C">
        <w:rPr>
          <w:sz w:val="20"/>
          <w:szCs w:val="20"/>
        </w:rPr>
        <w:t xml:space="preserve"> </w:t>
      </w:r>
    </w:p>
    <w:p w14:paraId="7F1C5906" w14:textId="77777777" w:rsidR="0054300C" w:rsidRPr="0054300C" w:rsidRDefault="0054300C" w:rsidP="0054300C">
      <w:pPr>
        <w:rPr>
          <w:bCs/>
          <w:sz w:val="20"/>
          <w:szCs w:val="20"/>
        </w:rPr>
      </w:pPr>
      <w:proofErr w:type="spellStart"/>
      <w:r w:rsidRPr="0054300C">
        <w:rPr>
          <w:b/>
          <w:sz w:val="20"/>
          <w:szCs w:val="20"/>
        </w:rPr>
        <w:t>Gedeptin</w:t>
      </w:r>
      <w:proofErr w:type="spellEnd"/>
      <w:r w:rsidRPr="0054300C">
        <w:rPr>
          <w:b/>
          <w:sz w:val="20"/>
          <w:szCs w:val="20"/>
          <w:vertAlign w:val="superscript"/>
        </w:rPr>
        <w:t>®</w:t>
      </w:r>
      <w:r w:rsidRPr="0054300C">
        <w:rPr>
          <w:b/>
          <w:sz w:val="20"/>
          <w:szCs w:val="20"/>
        </w:rPr>
        <w:t xml:space="preserve"> </w:t>
      </w:r>
      <w:r w:rsidRPr="0054300C">
        <w:rPr>
          <w:sz w:val="20"/>
          <w:szCs w:val="20"/>
        </w:rPr>
        <w:t xml:space="preserve">– </w:t>
      </w:r>
      <w:proofErr w:type="spellStart"/>
      <w:r w:rsidRPr="0054300C">
        <w:rPr>
          <w:bCs/>
          <w:sz w:val="20"/>
          <w:szCs w:val="20"/>
        </w:rPr>
        <w:t>Gedeptin</w:t>
      </w:r>
      <w:proofErr w:type="spellEnd"/>
      <w:r w:rsidRPr="0054300C">
        <w:rPr>
          <w:bCs/>
          <w:sz w:val="20"/>
          <w:szCs w:val="20"/>
        </w:rPr>
        <w:t xml:space="preserve"> is a novel patented product/technology for the treatment of solid tumors through a gene therapy strategy known as</w:t>
      </w:r>
      <w:r w:rsidRPr="0054300C">
        <w:rPr>
          <w:sz w:val="20"/>
          <w:szCs w:val="20"/>
        </w:rPr>
        <w:t xml:space="preserve"> </w:t>
      </w:r>
      <w:r w:rsidRPr="0054300C">
        <w:rPr>
          <w:bCs/>
          <w:sz w:val="20"/>
          <w:szCs w:val="20"/>
        </w:rPr>
        <w:t xml:space="preserve">Gene-Directed Enzyme Prodrug Therapy (GDEPT). </w:t>
      </w:r>
      <w:r w:rsidRPr="0054300C">
        <w:rPr>
          <w:sz w:val="20"/>
          <w:szCs w:val="20"/>
        </w:rPr>
        <w:t xml:space="preserve">In September 2021, </w:t>
      </w:r>
      <w:proofErr w:type="spellStart"/>
      <w:r w:rsidRPr="0054300C">
        <w:rPr>
          <w:sz w:val="20"/>
          <w:szCs w:val="20"/>
        </w:rPr>
        <w:t>GeoVax</w:t>
      </w:r>
      <w:proofErr w:type="spellEnd"/>
      <w:r w:rsidRPr="0054300C">
        <w:rPr>
          <w:sz w:val="20"/>
          <w:szCs w:val="20"/>
        </w:rPr>
        <w:t xml:space="preserve"> entered into an assignment and </w:t>
      </w:r>
      <w:r w:rsidRPr="0054300C">
        <w:rPr>
          <w:bCs/>
          <w:sz w:val="20"/>
          <w:szCs w:val="20"/>
        </w:rPr>
        <w:t xml:space="preserve">license agreement with </w:t>
      </w:r>
      <w:r w:rsidRPr="0054300C">
        <w:rPr>
          <w:sz w:val="20"/>
          <w:szCs w:val="20"/>
        </w:rPr>
        <w:t>PNP Therapeutics, Inc. (“PNP”)</w:t>
      </w:r>
      <w:r w:rsidRPr="0054300C">
        <w:rPr>
          <w:bCs/>
          <w:sz w:val="20"/>
          <w:szCs w:val="20"/>
        </w:rPr>
        <w:t xml:space="preserve">, granting </w:t>
      </w:r>
      <w:proofErr w:type="spellStart"/>
      <w:r w:rsidRPr="0054300C">
        <w:rPr>
          <w:bCs/>
          <w:sz w:val="20"/>
          <w:szCs w:val="20"/>
        </w:rPr>
        <w:t>GeoVax</w:t>
      </w:r>
      <w:proofErr w:type="spellEnd"/>
      <w:r w:rsidRPr="0054300C">
        <w:rPr>
          <w:bCs/>
          <w:sz w:val="20"/>
          <w:szCs w:val="20"/>
        </w:rPr>
        <w:t xml:space="preserve"> exclusive rights to develop and commercialize </w:t>
      </w:r>
      <w:proofErr w:type="spellStart"/>
      <w:r w:rsidRPr="0054300C">
        <w:rPr>
          <w:bCs/>
          <w:sz w:val="20"/>
          <w:szCs w:val="20"/>
        </w:rPr>
        <w:t>Gedeptin</w:t>
      </w:r>
      <w:proofErr w:type="spellEnd"/>
      <w:r w:rsidRPr="0054300C">
        <w:rPr>
          <w:bCs/>
          <w:sz w:val="20"/>
          <w:szCs w:val="20"/>
        </w:rPr>
        <w:t xml:space="preserve">. The </w:t>
      </w:r>
      <w:proofErr w:type="spellStart"/>
      <w:r w:rsidRPr="0054300C">
        <w:rPr>
          <w:bCs/>
          <w:sz w:val="20"/>
          <w:szCs w:val="20"/>
        </w:rPr>
        <w:t>Gedeptin</w:t>
      </w:r>
      <w:proofErr w:type="spellEnd"/>
      <w:r w:rsidRPr="0054300C">
        <w:rPr>
          <w:bCs/>
          <w:sz w:val="20"/>
          <w:szCs w:val="20"/>
        </w:rPr>
        <w:t xml:space="preserve"> technology was developed with funding support from the National Cancer Institute (NCI), part of the NIH.  </w:t>
      </w:r>
      <w:proofErr w:type="spellStart"/>
      <w:r w:rsidRPr="0054300C">
        <w:rPr>
          <w:bCs/>
          <w:sz w:val="20"/>
          <w:szCs w:val="20"/>
        </w:rPr>
        <w:t>GeoVax’s</w:t>
      </w:r>
      <w:proofErr w:type="spellEnd"/>
      <w:r w:rsidRPr="0054300C">
        <w:rPr>
          <w:bCs/>
          <w:sz w:val="20"/>
          <w:szCs w:val="20"/>
        </w:rPr>
        <w:t xml:space="preserve"> license to </w:t>
      </w:r>
      <w:proofErr w:type="spellStart"/>
      <w:r w:rsidRPr="0054300C">
        <w:rPr>
          <w:bCs/>
          <w:sz w:val="20"/>
          <w:szCs w:val="20"/>
        </w:rPr>
        <w:t>Gedeptin</w:t>
      </w:r>
      <w:proofErr w:type="spellEnd"/>
      <w:r w:rsidRPr="0054300C">
        <w:rPr>
          <w:bCs/>
          <w:sz w:val="20"/>
          <w:szCs w:val="20"/>
        </w:rPr>
        <w:t xml:space="preserve"> includes the rights to expand the use of </w:t>
      </w:r>
      <w:proofErr w:type="spellStart"/>
      <w:r w:rsidRPr="0054300C">
        <w:rPr>
          <w:bCs/>
          <w:sz w:val="20"/>
          <w:szCs w:val="20"/>
        </w:rPr>
        <w:t>Gedeptin</w:t>
      </w:r>
      <w:proofErr w:type="spellEnd"/>
      <w:r w:rsidRPr="0054300C">
        <w:rPr>
          <w:bCs/>
          <w:sz w:val="20"/>
          <w:szCs w:val="20"/>
        </w:rPr>
        <w:t xml:space="preserve"> to all human diseases and/or conditions including, but not limited to, other cancers.</w:t>
      </w:r>
    </w:p>
    <w:p w14:paraId="7D9043C5" w14:textId="77777777" w:rsidR="0054300C" w:rsidRPr="0054300C" w:rsidRDefault="0054300C" w:rsidP="0054300C">
      <w:pPr>
        <w:rPr>
          <w:sz w:val="20"/>
          <w:szCs w:val="20"/>
        </w:rPr>
      </w:pPr>
    </w:p>
    <w:p w14:paraId="2284E1DE" w14:textId="77777777" w:rsidR="0054300C" w:rsidRPr="0054300C" w:rsidRDefault="0054300C" w:rsidP="0054300C">
      <w:pPr>
        <w:rPr>
          <w:bCs/>
          <w:sz w:val="20"/>
          <w:szCs w:val="20"/>
        </w:rPr>
      </w:pPr>
      <w:r w:rsidRPr="0054300C">
        <w:rPr>
          <w:bCs/>
          <w:sz w:val="20"/>
          <w:szCs w:val="20"/>
        </w:rPr>
        <w:t xml:space="preserve">In GDEPT, a vector is used to selectively transduce tumor cells with a nonhuman gene, which expresses an enzyme that can convert a nontoxic prodrug into a very toxic antitumor compound, </w:t>
      </w:r>
      <w:r w:rsidRPr="0054300C">
        <w:rPr>
          <w:bCs/>
          <w:i/>
          <w:iCs/>
          <w:sz w:val="20"/>
          <w:szCs w:val="20"/>
        </w:rPr>
        <w:t>in situ</w:t>
      </w:r>
      <w:r w:rsidRPr="0054300C">
        <w:rPr>
          <w:bCs/>
          <w:sz w:val="20"/>
          <w:szCs w:val="20"/>
        </w:rPr>
        <w:t>.</w:t>
      </w:r>
      <w:bookmarkStart w:id="21" w:name="_Hlk80880527"/>
      <w:bookmarkStart w:id="22" w:name="_Hlk80957675"/>
      <w:r w:rsidRPr="0054300C">
        <w:rPr>
          <w:bCs/>
          <w:sz w:val="20"/>
          <w:szCs w:val="20"/>
        </w:rPr>
        <w:t xml:space="preserve"> A cycle of </w:t>
      </w:r>
      <w:proofErr w:type="spellStart"/>
      <w:r w:rsidRPr="0054300C">
        <w:rPr>
          <w:bCs/>
          <w:sz w:val="20"/>
          <w:szCs w:val="20"/>
        </w:rPr>
        <w:t>Gedeptin</w:t>
      </w:r>
      <w:proofErr w:type="spellEnd"/>
      <w:r w:rsidRPr="0054300C">
        <w:rPr>
          <w:bCs/>
          <w:sz w:val="20"/>
          <w:szCs w:val="20"/>
          <w:vertAlign w:val="superscript"/>
        </w:rPr>
        <w:t xml:space="preserve"> </w:t>
      </w:r>
      <w:r w:rsidRPr="0054300C">
        <w:rPr>
          <w:bCs/>
          <w:sz w:val="20"/>
          <w:szCs w:val="20"/>
        </w:rPr>
        <w:t xml:space="preserve">therapy consists of three intra-tumoral injections of </w:t>
      </w:r>
      <w:proofErr w:type="spellStart"/>
      <w:r w:rsidRPr="0054300C">
        <w:rPr>
          <w:bCs/>
          <w:sz w:val="20"/>
          <w:szCs w:val="20"/>
        </w:rPr>
        <w:t>Gedeptin</w:t>
      </w:r>
      <w:proofErr w:type="spellEnd"/>
      <w:r w:rsidRPr="0054300C">
        <w:rPr>
          <w:bCs/>
          <w:sz w:val="20"/>
          <w:szCs w:val="20"/>
        </w:rPr>
        <w:t xml:space="preserve"> over a two-day period followed by infusion of a prodrug, fludarabine phosphate, once a day for three days. A Phase 1 dose ranging study, evaluating the safety of a single cycle of </w:t>
      </w:r>
      <w:proofErr w:type="spellStart"/>
      <w:r w:rsidRPr="0054300C">
        <w:rPr>
          <w:bCs/>
          <w:sz w:val="20"/>
          <w:szCs w:val="20"/>
        </w:rPr>
        <w:t>Gedeptin</w:t>
      </w:r>
      <w:proofErr w:type="spellEnd"/>
      <w:r w:rsidRPr="0054300C">
        <w:rPr>
          <w:bCs/>
          <w:sz w:val="20"/>
          <w:szCs w:val="20"/>
        </w:rPr>
        <w:t xml:space="preserve"> therapy, found the therapy to be well tolerated, with evidence of a reduction in tumor size in patients with solid tumors.</w:t>
      </w:r>
    </w:p>
    <w:p w14:paraId="5ED9BA84" w14:textId="77777777" w:rsidR="0054300C" w:rsidRPr="0054300C" w:rsidRDefault="0054300C" w:rsidP="0054300C">
      <w:pPr>
        <w:rPr>
          <w:bCs/>
          <w:sz w:val="20"/>
          <w:szCs w:val="20"/>
        </w:rPr>
      </w:pPr>
    </w:p>
    <w:p w14:paraId="61D554FC" w14:textId="77777777" w:rsidR="0054300C" w:rsidRPr="0054300C" w:rsidRDefault="0054300C" w:rsidP="0054300C">
      <w:pPr>
        <w:rPr>
          <w:bCs/>
          <w:sz w:val="20"/>
          <w:szCs w:val="20"/>
        </w:rPr>
      </w:pPr>
      <w:r w:rsidRPr="0054300C">
        <w:rPr>
          <w:bCs/>
          <w:sz w:val="20"/>
          <w:szCs w:val="20"/>
        </w:rPr>
        <w:t xml:space="preserve">A Phase 1/2 trial (NCT03754933), evaluating the safety and efficacy of repeat cycles of </w:t>
      </w:r>
      <w:proofErr w:type="spellStart"/>
      <w:r w:rsidRPr="0054300C">
        <w:rPr>
          <w:bCs/>
          <w:sz w:val="20"/>
          <w:szCs w:val="20"/>
        </w:rPr>
        <w:t>Gedeptin</w:t>
      </w:r>
      <w:proofErr w:type="spellEnd"/>
      <w:r w:rsidRPr="0054300C">
        <w:rPr>
          <w:bCs/>
          <w:sz w:val="20"/>
          <w:szCs w:val="20"/>
        </w:rPr>
        <w:t xml:space="preserve"> therapy in patients with recurrent head and neck squamous cell carcinoma (HNSCC), with tumor(s) accessible for injection and no curable treatment options, is currently enrolling at Stanford University in collaboration with Emory University. The trial design involves repeat administration using </w:t>
      </w:r>
      <w:proofErr w:type="spellStart"/>
      <w:r w:rsidRPr="0054300C">
        <w:rPr>
          <w:bCs/>
          <w:sz w:val="20"/>
          <w:szCs w:val="20"/>
        </w:rPr>
        <w:t>Gedeptin</w:t>
      </w:r>
      <w:proofErr w:type="spellEnd"/>
      <w:r w:rsidRPr="0054300C">
        <w:rPr>
          <w:bCs/>
          <w:sz w:val="20"/>
          <w:szCs w:val="20"/>
        </w:rPr>
        <w:t xml:space="preserve"> followed by systemic fludarabine, as a way to gain additional information prior to expansion towards a larger patient trial. The initial stage of the study is being funded by the FDA pursuant to its Orphan Products Clinical Trials Grants Program.</w:t>
      </w:r>
      <w:bookmarkEnd w:id="21"/>
      <w:bookmarkEnd w:id="22"/>
      <w:r w:rsidRPr="0054300C">
        <w:rPr>
          <w:bCs/>
          <w:sz w:val="20"/>
          <w:szCs w:val="20"/>
        </w:rPr>
        <w:t xml:space="preserve"> The </w:t>
      </w:r>
      <w:r w:rsidRPr="0054300C">
        <w:rPr>
          <w:sz w:val="20"/>
          <w:szCs w:val="20"/>
        </w:rPr>
        <w:t xml:space="preserve">FDA has also granted </w:t>
      </w:r>
      <w:bookmarkStart w:id="23" w:name="_Hlk82008000"/>
      <w:proofErr w:type="spellStart"/>
      <w:r w:rsidRPr="0054300C">
        <w:rPr>
          <w:bCs/>
          <w:sz w:val="20"/>
          <w:szCs w:val="20"/>
        </w:rPr>
        <w:t>Gedeptin</w:t>
      </w:r>
      <w:bookmarkEnd w:id="23"/>
      <w:proofErr w:type="spellEnd"/>
      <w:r w:rsidRPr="0054300C">
        <w:rPr>
          <w:bCs/>
          <w:sz w:val="20"/>
          <w:szCs w:val="20"/>
          <w:vertAlign w:val="superscript"/>
        </w:rPr>
        <w:t xml:space="preserve"> </w:t>
      </w:r>
      <w:r w:rsidRPr="0054300C">
        <w:rPr>
          <w:sz w:val="20"/>
          <w:szCs w:val="20"/>
        </w:rPr>
        <w:t>orphan drug status for the intra-tumoral treatment of anatomically accessible oral and pharyngeal cancers, including cancers of the lip, tongue, gum, floor of mouth, salivary gland and other oral cavities.</w:t>
      </w:r>
      <w:r w:rsidRPr="0054300C">
        <w:rPr>
          <w:bCs/>
          <w:sz w:val="20"/>
          <w:szCs w:val="20"/>
        </w:rPr>
        <w:t xml:space="preserve"> In January 2022, we engaged CATO SMS, a global provider of clinical research solutions, to manage the ongoing Phase 1/2 trial, and to assist with the expansion of clinical sites and acceleration of patient enrollment and evaluation.</w:t>
      </w:r>
    </w:p>
    <w:p w14:paraId="502A2B20" w14:textId="77777777" w:rsidR="0054300C" w:rsidRPr="0054300C" w:rsidRDefault="0054300C" w:rsidP="0054300C">
      <w:pPr>
        <w:rPr>
          <w:bCs/>
          <w:sz w:val="20"/>
          <w:szCs w:val="20"/>
        </w:rPr>
      </w:pPr>
    </w:p>
    <w:p w14:paraId="7CC553D2" w14:textId="77777777" w:rsidR="0054300C" w:rsidRPr="0054300C" w:rsidRDefault="0054300C" w:rsidP="0054300C">
      <w:pPr>
        <w:rPr>
          <w:sz w:val="20"/>
          <w:szCs w:val="20"/>
        </w:rPr>
      </w:pPr>
      <w:r w:rsidRPr="0054300C">
        <w:rPr>
          <w:b/>
          <w:bCs/>
          <w:sz w:val="20"/>
          <w:szCs w:val="20"/>
        </w:rPr>
        <w:t>MUC1-based Immunotherapy</w:t>
      </w:r>
      <w:r w:rsidRPr="0054300C">
        <w:rPr>
          <w:sz w:val="20"/>
          <w:szCs w:val="20"/>
        </w:rPr>
        <w:t xml:space="preserve"> – Tumors are often able to inhibit the body’s natural immune system by producing inhibitory factors as a mechanism of immune resistance, especially against the T cells that are specific for tumor antigens and can kill cancer cells. The field of immuno-oncology has received new momentum with the discovery and commercial launch of immune checkpoint inhibitors (ICIs), a type of monoclonal antibodies (</w:t>
      </w:r>
      <w:proofErr w:type="spellStart"/>
      <w:r w:rsidRPr="0054300C">
        <w:rPr>
          <w:sz w:val="20"/>
          <w:szCs w:val="20"/>
        </w:rPr>
        <w:t>Mabs</w:t>
      </w:r>
      <w:proofErr w:type="spellEnd"/>
      <w:r w:rsidRPr="0054300C">
        <w:rPr>
          <w:sz w:val="20"/>
          <w:szCs w:val="20"/>
        </w:rPr>
        <w:t>).  ICIs block the naturally occurring and tumor-induced immune checkpoints, thus allowing functional T cells to more fully restore cellular proliferation, cytokine production and killing of tumor cells.</w:t>
      </w:r>
    </w:p>
    <w:p w14:paraId="392DA064" w14:textId="77777777" w:rsidR="0054300C" w:rsidRPr="0054300C" w:rsidRDefault="0054300C" w:rsidP="0054300C">
      <w:pPr>
        <w:rPr>
          <w:sz w:val="20"/>
          <w:szCs w:val="20"/>
        </w:rPr>
      </w:pPr>
    </w:p>
    <w:p w14:paraId="266EF4F8" w14:textId="77777777" w:rsidR="0054300C" w:rsidRPr="0054300C" w:rsidRDefault="0054300C" w:rsidP="0054300C">
      <w:pPr>
        <w:rPr>
          <w:sz w:val="20"/>
          <w:szCs w:val="20"/>
        </w:rPr>
      </w:pPr>
      <w:r w:rsidRPr="0054300C">
        <w:rPr>
          <w:sz w:val="20"/>
          <w:szCs w:val="20"/>
        </w:rPr>
        <w:t>Unlike conventional therapies (e.g. radiation, chemotherapy, antibody, etc.), therapeutic cancer vaccines have the potential to induce responses that not only result in the control and even clearance of tumors but also establish immunological memory that can suppress and prevent tumor recurrence. Convenience, safety, and low toxicity of cancer vaccines could make them invaluable tools to be included in future immunotherapy approaches in combination with ICIs for treating tumors. Currently, there are only a few vectored cancer vaccines being tested in combination with ICIs, all of which are in early clinical stages.</w:t>
      </w:r>
    </w:p>
    <w:p w14:paraId="09B8A35E" w14:textId="77777777" w:rsidR="0054300C" w:rsidRPr="0054300C" w:rsidRDefault="0054300C" w:rsidP="0054300C">
      <w:pPr>
        <w:rPr>
          <w:sz w:val="20"/>
          <w:szCs w:val="20"/>
        </w:rPr>
      </w:pPr>
    </w:p>
    <w:p w14:paraId="0B5FF563" w14:textId="77777777" w:rsidR="0054300C" w:rsidRPr="0054300C" w:rsidRDefault="0054300C" w:rsidP="0054300C">
      <w:pPr>
        <w:rPr>
          <w:sz w:val="20"/>
          <w:szCs w:val="20"/>
        </w:rPr>
      </w:pPr>
      <w:r w:rsidRPr="0054300C">
        <w:rPr>
          <w:sz w:val="20"/>
          <w:szCs w:val="20"/>
        </w:rPr>
        <w:t xml:space="preserve">We are developing our GV-MVA-VLP™ vaccine platform that is based on the aberrantly glycosylated forms of the cell surface-associated MUC1 protein that is expressed on a wide range of cancers, including breast, colon, ovarian, prostate, pancreatic, and lung, with the goal of raising therapeutic anti-tumor antibodies and T cell responses in cancer patients. </w:t>
      </w:r>
    </w:p>
    <w:p w14:paraId="7B559F31" w14:textId="77777777" w:rsidR="0054300C" w:rsidRPr="0054300C" w:rsidRDefault="0054300C" w:rsidP="00C73E0F">
      <w:pPr>
        <w:numPr>
          <w:ilvl w:val="0"/>
          <w:numId w:val="17"/>
        </w:numPr>
        <w:ind w:left="360"/>
        <w:contextualSpacing/>
        <w:rPr>
          <w:sz w:val="20"/>
          <w:szCs w:val="20"/>
        </w:rPr>
      </w:pPr>
      <w:r w:rsidRPr="0054300C">
        <w:rPr>
          <w:sz w:val="20"/>
          <w:szCs w:val="20"/>
        </w:rPr>
        <w:t>We have produced a MVA-VLP-MUC1 vaccine candidate, demonstrated VLP production by electron microscopy using MUC1 immunogold staining, and showed that the VLPs express a hypo-glycosylated form of MUC1 in human cell lines.</w:t>
      </w:r>
    </w:p>
    <w:p w14:paraId="1EC91EE7" w14:textId="77777777" w:rsidR="0054300C" w:rsidRPr="0054300C" w:rsidRDefault="0054300C" w:rsidP="00C73E0F">
      <w:pPr>
        <w:numPr>
          <w:ilvl w:val="0"/>
          <w:numId w:val="17"/>
        </w:numPr>
        <w:ind w:left="360"/>
        <w:contextualSpacing/>
        <w:rPr>
          <w:sz w:val="20"/>
          <w:szCs w:val="20"/>
        </w:rPr>
      </w:pPr>
      <w:r w:rsidRPr="0054300C">
        <w:rPr>
          <w:sz w:val="20"/>
          <w:szCs w:val="20"/>
        </w:rPr>
        <w:t xml:space="preserve">We collaborated with Dr. Olivera Finn, a leading expert in cancer immunotherapy at the University of Pittsburgh, who was one of the first to show that many tumors express an abnormal form of MUC1 that is recognized by the immune system as foreign. Our collaboration with Dr. Finn has shown that a combination of our MVA-VLP-MUC1 vaccine candidate with a MUC1 synthetic peptide was capable of breaking tolerance to human MUC1 in transgenic mice and inducing immune responses with efficacy against challenge in a lymphoma tumor model. </w:t>
      </w:r>
    </w:p>
    <w:p w14:paraId="24B34063" w14:textId="77777777" w:rsidR="0054300C" w:rsidRPr="0054300C" w:rsidRDefault="0054300C" w:rsidP="00C73E0F">
      <w:pPr>
        <w:numPr>
          <w:ilvl w:val="0"/>
          <w:numId w:val="17"/>
        </w:numPr>
        <w:ind w:left="360"/>
        <w:contextualSpacing/>
        <w:rPr>
          <w:sz w:val="20"/>
          <w:szCs w:val="20"/>
        </w:rPr>
      </w:pPr>
      <w:r w:rsidRPr="0054300C">
        <w:rPr>
          <w:sz w:val="20"/>
          <w:szCs w:val="20"/>
        </w:rPr>
        <w:t xml:space="preserve">In 2022, we initiated an IND enabling animal study with Dr. </w:t>
      </w:r>
      <w:proofErr w:type="spellStart"/>
      <w:r w:rsidRPr="0054300C">
        <w:rPr>
          <w:sz w:val="20"/>
          <w:szCs w:val="20"/>
        </w:rPr>
        <w:t>Pinku</w:t>
      </w:r>
      <w:proofErr w:type="spellEnd"/>
      <w:r w:rsidRPr="0054300C">
        <w:rPr>
          <w:sz w:val="20"/>
          <w:szCs w:val="20"/>
        </w:rPr>
        <w:t xml:space="preserve"> Mukherjee at the University of North Carolina at Charlotte to define the optimal course and schedule of vaccination to define a protocol that can be evaluated in a Phase 1 clinical trial. </w:t>
      </w:r>
    </w:p>
    <w:p w14:paraId="0BB9DFD9" w14:textId="77777777" w:rsidR="0054300C" w:rsidRPr="0054300C" w:rsidRDefault="0054300C" w:rsidP="0054300C">
      <w:pPr>
        <w:rPr>
          <w:sz w:val="20"/>
          <w:szCs w:val="20"/>
        </w:rPr>
      </w:pPr>
    </w:p>
    <w:p w14:paraId="74CD3F0D" w14:textId="77777777" w:rsidR="0054300C" w:rsidRPr="0054300C" w:rsidRDefault="0054300C" w:rsidP="0054300C">
      <w:pPr>
        <w:rPr>
          <w:sz w:val="20"/>
          <w:szCs w:val="20"/>
        </w:rPr>
      </w:pPr>
      <w:r w:rsidRPr="0054300C">
        <w:rPr>
          <w:sz w:val="20"/>
          <w:szCs w:val="20"/>
        </w:rPr>
        <w:t xml:space="preserve">We previously collaborated with </w:t>
      </w:r>
      <w:proofErr w:type="spellStart"/>
      <w:r w:rsidRPr="0054300C">
        <w:rPr>
          <w:sz w:val="20"/>
          <w:szCs w:val="20"/>
        </w:rPr>
        <w:t>ViaMune</w:t>
      </w:r>
      <w:proofErr w:type="spellEnd"/>
      <w:r w:rsidRPr="0054300C">
        <w:rPr>
          <w:sz w:val="20"/>
          <w:szCs w:val="20"/>
        </w:rPr>
        <w:t xml:space="preserve">, Inc., which has developed a fully synthetic MUC1 vaccine candidate (MTI), with the goal of developing a MUC1-based vaccine that can produce a broad spectrum of anti-tumor antibody and T cell responses. The resulting MUC1 vaccine could be combined with ICIs as a novel vaccination strategy for cancer patients with advanced MUC1+ tumors. Preclinical studies of the combined MTI and MVA-VLP-MUC1 vaccines conducted by Dr. </w:t>
      </w:r>
      <w:proofErr w:type="spellStart"/>
      <w:r w:rsidRPr="0054300C">
        <w:rPr>
          <w:sz w:val="20"/>
          <w:szCs w:val="20"/>
        </w:rPr>
        <w:t>Pinku</w:t>
      </w:r>
      <w:proofErr w:type="spellEnd"/>
      <w:r w:rsidRPr="0054300C">
        <w:rPr>
          <w:sz w:val="20"/>
          <w:szCs w:val="20"/>
        </w:rPr>
        <w:t xml:space="preserve"> Mukherjee have shown the combination of our vaccine with MTI and ICI have significantly reduced the tumor burden in a mouse model for colorectal cancer.</w:t>
      </w:r>
    </w:p>
    <w:p w14:paraId="00F8D0E9" w14:textId="77777777" w:rsidR="0054300C" w:rsidRPr="0054300C" w:rsidRDefault="0054300C" w:rsidP="0054300C">
      <w:pPr>
        <w:rPr>
          <w:sz w:val="20"/>
          <w:szCs w:val="20"/>
        </w:rPr>
      </w:pPr>
    </w:p>
    <w:p w14:paraId="64731F6F" w14:textId="77777777" w:rsidR="0054300C" w:rsidRPr="0054300C" w:rsidRDefault="0054300C" w:rsidP="0054300C">
      <w:pPr>
        <w:rPr>
          <w:sz w:val="20"/>
          <w:szCs w:val="20"/>
        </w:rPr>
      </w:pPr>
      <w:r w:rsidRPr="0054300C">
        <w:rPr>
          <w:sz w:val="20"/>
          <w:szCs w:val="20"/>
        </w:rPr>
        <w:t xml:space="preserve">MUC1-based cancer immunotherapy is a multi-pronged effort comprised of combinations of novel technologies and products.  </w:t>
      </w:r>
      <w:proofErr w:type="spellStart"/>
      <w:r w:rsidRPr="0054300C">
        <w:rPr>
          <w:sz w:val="20"/>
          <w:szCs w:val="20"/>
        </w:rPr>
        <w:t>GeoVax</w:t>
      </w:r>
      <w:proofErr w:type="spellEnd"/>
      <w:r w:rsidRPr="0054300C">
        <w:rPr>
          <w:sz w:val="20"/>
          <w:szCs w:val="20"/>
        </w:rPr>
        <w:t xml:space="preserve"> believes our approach holds significant promise to be part of the continually expanding cancer treatment options in the future.</w:t>
      </w:r>
    </w:p>
    <w:p w14:paraId="2F89C649" w14:textId="77777777" w:rsidR="0054300C" w:rsidRPr="0054300C" w:rsidRDefault="0054300C" w:rsidP="0054300C">
      <w:pPr>
        <w:rPr>
          <w:b/>
          <w:bCs/>
          <w:sz w:val="20"/>
          <w:szCs w:val="20"/>
        </w:rPr>
      </w:pPr>
      <w:r w:rsidRPr="0054300C">
        <w:rPr>
          <w:b/>
          <w:bCs/>
          <w:sz w:val="20"/>
          <w:szCs w:val="20"/>
        </w:rPr>
        <w:br w:type="page"/>
      </w:r>
    </w:p>
    <w:p w14:paraId="53889F1B" w14:textId="77777777" w:rsidR="0054300C" w:rsidRPr="0054300C" w:rsidRDefault="0054300C" w:rsidP="0054300C">
      <w:pPr>
        <w:rPr>
          <w:sz w:val="20"/>
          <w:szCs w:val="20"/>
        </w:rPr>
      </w:pPr>
      <w:r w:rsidRPr="0054300C">
        <w:rPr>
          <w:b/>
          <w:bCs/>
          <w:sz w:val="20"/>
          <w:szCs w:val="20"/>
        </w:rPr>
        <w:lastRenderedPageBreak/>
        <w:t xml:space="preserve">Our Hemorrhagic Fever Virus Vaccines (Ebola, Sudan, Marburg and Lassa) </w:t>
      </w:r>
    </w:p>
    <w:p w14:paraId="3B4CBEAD" w14:textId="77777777" w:rsidR="0054300C" w:rsidRPr="0054300C" w:rsidRDefault="0054300C" w:rsidP="0054300C">
      <w:pPr>
        <w:rPr>
          <w:sz w:val="20"/>
          <w:szCs w:val="20"/>
        </w:rPr>
      </w:pPr>
    </w:p>
    <w:p w14:paraId="0A3BD3F5" w14:textId="77777777" w:rsidR="0054300C" w:rsidRPr="0054300C" w:rsidRDefault="0054300C" w:rsidP="0054300C">
      <w:pPr>
        <w:rPr>
          <w:sz w:val="20"/>
          <w:szCs w:val="20"/>
        </w:rPr>
      </w:pPr>
      <w:r w:rsidRPr="0054300C">
        <w:rPr>
          <w:sz w:val="20"/>
          <w:szCs w:val="20"/>
        </w:rPr>
        <w:t xml:space="preserve">Ebola (EBOV, formerly designated as Zaire ebolavirus), Sudan (SUDV), and Marburg viruses (MARV) are the most virulent species of the </w:t>
      </w:r>
      <w:r w:rsidRPr="0054300C">
        <w:rPr>
          <w:i/>
          <w:iCs/>
          <w:sz w:val="20"/>
          <w:szCs w:val="20"/>
        </w:rPr>
        <w:t>Filoviridae</w:t>
      </w:r>
      <w:r w:rsidRPr="0054300C">
        <w:rPr>
          <w:sz w:val="20"/>
          <w:szCs w:val="20"/>
        </w:rPr>
        <w:t xml:space="preserve"> family, causing hemorrhagic fever illnesses with up to a 90% fatality rate in humans. Lassa fever virus (LASV), a member of the </w:t>
      </w:r>
      <w:proofErr w:type="spellStart"/>
      <w:r w:rsidRPr="0054300C">
        <w:rPr>
          <w:i/>
          <w:iCs/>
          <w:sz w:val="20"/>
          <w:szCs w:val="20"/>
        </w:rPr>
        <w:t>Arenaviridae</w:t>
      </w:r>
      <w:proofErr w:type="spellEnd"/>
      <w:r w:rsidRPr="0054300C">
        <w:rPr>
          <w:sz w:val="20"/>
          <w:szCs w:val="20"/>
        </w:rPr>
        <w:t xml:space="preserve"> family, also causes severe and often fatal hemorrhagic illnesses in an overlapping region with Ebola. In December 2019, FDA approved the first live recombinant Ebola vaccine for prevention of Ebola disease by Zaire virus. This </w:t>
      </w:r>
      <w:proofErr w:type="spellStart"/>
      <w:r w:rsidRPr="0054300C">
        <w:rPr>
          <w:sz w:val="20"/>
          <w:szCs w:val="20"/>
        </w:rPr>
        <w:t>rVSV</w:t>
      </w:r>
      <w:proofErr w:type="spellEnd"/>
      <w:r w:rsidRPr="0054300C">
        <w:rPr>
          <w:sz w:val="20"/>
          <w:szCs w:val="20"/>
        </w:rPr>
        <w:t xml:space="preserve">-ZEBOV showed safety concerns in Phase 1 trials and by virtue of being replication competent could pose threats to immunocompromised individuals, such as those infected with HIV living in West Africa where recent Ebola epidemics started. </w:t>
      </w:r>
    </w:p>
    <w:p w14:paraId="343F2111" w14:textId="77777777" w:rsidR="0054300C" w:rsidRPr="0054300C" w:rsidRDefault="0054300C" w:rsidP="0054300C">
      <w:pPr>
        <w:rPr>
          <w:sz w:val="20"/>
          <w:szCs w:val="20"/>
        </w:rPr>
      </w:pPr>
    </w:p>
    <w:p w14:paraId="74E45274" w14:textId="77777777" w:rsidR="0054300C" w:rsidRPr="0054300C" w:rsidRDefault="0054300C" w:rsidP="0054300C">
      <w:pPr>
        <w:rPr>
          <w:sz w:val="20"/>
          <w:szCs w:val="20"/>
        </w:rPr>
      </w:pPr>
      <w:r w:rsidRPr="0054300C">
        <w:rPr>
          <w:sz w:val="20"/>
          <w:szCs w:val="20"/>
        </w:rPr>
        <w:t xml:space="preserve">To address the unmet need for a product that can respond to future hemorrhagic fever outbreaks, we are developing vaccines utilizing our GV-MVA-VLP™ platform. The MVA vector itself is considered safe, having originally been developed for use in immunocompromised individuals as a smallpox vaccine. We expect our vaccines may not only protect at-risk individuals against EBOV, SUDV, MARV and LASV, but also potentially reduce or modify the severity of other re-emerging pathogens such as Bundibugyo, Ivory Coast, and Reston viruses, based on antigenic cross reactivity and the elicitation of T cells to the more conserved matrix proteins (e.g. VP40 or Z) in addition to standard GP proteins used by us and other manufacturers. Thus, the </w:t>
      </w:r>
      <w:proofErr w:type="spellStart"/>
      <w:r w:rsidRPr="0054300C">
        <w:rPr>
          <w:sz w:val="20"/>
          <w:szCs w:val="20"/>
        </w:rPr>
        <w:t>GeoVax</w:t>
      </w:r>
      <w:proofErr w:type="spellEnd"/>
      <w:r w:rsidRPr="0054300C">
        <w:rPr>
          <w:sz w:val="20"/>
          <w:szCs w:val="20"/>
        </w:rPr>
        <w:t xml:space="preserve"> GV-MVA-VLP™ approach could offer a unique combination of advantages to achieve breadth and safety of a pan-filo vaccine. In addition to protecting people in Africa, it is intended to prevent the spread of disease to the US, and for preparedness against terrorist release of any of bio-threat pathogens.</w:t>
      </w:r>
    </w:p>
    <w:p w14:paraId="763C1EB4" w14:textId="77777777" w:rsidR="0054300C" w:rsidRPr="0054300C" w:rsidRDefault="0054300C" w:rsidP="0054300C">
      <w:pPr>
        <w:rPr>
          <w:sz w:val="20"/>
          <w:szCs w:val="20"/>
        </w:rPr>
      </w:pPr>
    </w:p>
    <w:p w14:paraId="7B72D540" w14:textId="77777777" w:rsidR="0054300C" w:rsidRPr="0054300C" w:rsidRDefault="0054300C" w:rsidP="0054300C">
      <w:pPr>
        <w:rPr>
          <w:sz w:val="20"/>
          <w:szCs w:val="20"/>
        </w:rPr>
      </w:pPr>
      <w:r w:rsidRPr="0054300C">
        <w:rPr>
          <w:sz w:val="20"/>
          <w:szCs w:val="20"/>
        </w:rPr>
        <w:t xml:space="preserve">Our initial preclinical studies in rodents and nonhuman primates for our MVA-VLP-EBOV vaccine candidate have shown 100% protection against a lethal dose of EBOV upon a single immunization. </w:t>
      </w:r>
      <w:r w:rsidRPr="0054300C">
        <w:rPr>
          <w:bCs/>
          <w:sz w:val="20"/>
          <w:szCs w:val="20"/>
        </w:rPr>
        <w:t xml:space="preserve">Recent studies in lethal challenge guinea pig models demonstrated that </w:t>
      </w:r>
      <w:proofErr w:type="spellStart"/>
      <w:r w:rsidRPr="0054300C">
        <w:rPr>
          <w:bCs/>
          <w:sz w:val="20"/>
          <w:szCs w:val="20"/>
        </w:rPr>
        <w:t>GeoVax</w:t>
      </w:r>
      <w:proofErr w:type="spellEnd"/>
      <w:r w:rsidRPr="0054300C">
        <w:rPr>
          <w:bCs/>
          <w:sz w:val="20"/>
          <w:szCs w:val="20"/>
        </w:rPr>
        <w:t xml:space="preserve"> vaccines MVA-VLP-SUDV and MVA-VLP-MARV conferred 100% protection from death. These vaccines were subsequently evaluated in a rigorous cynomolgus macaque infectious challenge model. Vaccination protected nonhuman primates from viremia, weight loss and death following challenge with a dose of Sudan or Marburg virus that is lethal in nonvaccinated animals. Evaluation of immune responses following vaccination demonstrated presence of both neutralizing antibodies and functional T cells, indicating a breadth of responses that combine for optimal protection.</w:t>
      </w:r>
      <w:r w:rsidRPr="0054300C">
        <w:rPr>
          <w:sz w:val="20"/>
          <w:szCs w:val="20"/>
        </w:rPr>
        <w:t xml:space="preserve"> Likewise, our initial preclinical studies in rodents for our LASV vaccine candidate have shown 100% single-dose protection against a lethal dose of LASV challenge composed of multiple strains delivered directly into the brain. The nonhuman primate studies are ongoing in collaboration with NIAID and DoD and clinical development programs will be defined based on efficacy data and global priorities as potentially dangerous outbreaks occur.</w:t>
      </w:r>
    </w:p>
    <w:p w14:paraId="7F6BEDCF" w14:textId="77777777" w:rsidR="0054300C" w:rsidRPr="0054300C" w:rsidRDefault="0054300C" w:rsidP="0054300C">
      <w:pPr>
        <w:rPr>
          <w:sz w:val="20"/>
          <w:szCs w:val="20"/>
        </w:rPr>
      </w:pPr>
    </w:p>
    <w:p w14:paraId="6A8F1E40" w14:textId="77777777" w:rsidR="0054300C" w:rsidRPr="0054300C" w:rsidRDefault="0054300C" w:rsidP="0054300C">
      <w:pPr>
        <w:rPr>
          <w:sz w:val="20"/>
          <w:szCs w:val="20"/>
        </w:rPr>
      </w:pPr>
      <w:r w:rsidRPr="0054300C">
        <w:rPr>
          <w:b/>
          <w:bCs/>
          <w:sz w:val="20"/>
          <w:szCs w:val="20"/>
        </w:rPr>
        <w:t>Other Infectious Disease Programs</w:t>
      </w:r>
    </w:p>
    <w:p w14:paraId="0F88676D" w14:textId="77777777" w:rsidR="0054300C" w:rsidRPr="0054300C" w:rsidRDefault="0054300C" w:rsidP="0054300C">
      <w:pPr>
        <w:rPr>
          <w:sz w:val="20"/>
          <w:szCs w:val="20"/>
        </w:rPr>
      </w:pPr>
    </w:p>
    <w:p w14:paraId="7EF482D5" w14:textId="77777777" w:rsidR="0054300C" w:rsidRPr="0054300C" w:rsidRDefault="0054300C" w:rsidP="0054300C">
      <w:pPr>
        <w:rPr>
          <w:sz w:val="20"/>
          <w:szCs w:val="20"/>
        </w:rPr>
      </w:pPr>
      <w:r w:rsidRPr="0054300C">
        <w:rPr>
          <w:b/>
          <w:bCs/>
          <w:sz w:val="20"/>
          <w:szCs w:val="20"/>
        </w:rPr>
        <w:t>GEO-ZM02 for Zika</w:t>
      </w:r>
      <w:r w:rsidRPr="0054300C">
        <w:rPr>
          <w:sz w:val="20"/>
          <w:szCs w:val="20"/>
        </w:rPr>
        <w:t xml:space="preserve"> – Zika disease is an emerging infectious disease caused by the Zika virus (ZIKV) and has been linked to an increase in microcephaly in infants and Guillain-Barre syndrome (a neurodegenerative disease) in adults. ZIKV is a member of the </w:t>
      </w:r>
      <w:r w:rsidRPr="0054300C">
        <w:rPr>
          <w:i/>
          <w:iCs/>
          <w:sz w:val="20"/>
          <w:szCs w:val="20"/>
        </w:rPr>
        <w:t>Flaviviridae</w:t>
      </w:r>
      <w:r w:rsidRPr="0054300C">
        <w:rPr>
          <w:sz w:val="20"/>
          <w:szCs w:val="20"/>
        </w:rPr>
        <w:t xml:space="preserve"> family, which includes medically important pathogens such as dengue fever, yellow fever, Japanese encephalitis, tick-borne encephalitis, and West Nile viruses. Public health officials recommend avoiding exposure to ZIKV, delaying pregnancy, and following basic supportive care (fluids, rest, and acetaminophen) after infection.</w:t>
      </w:r>
    </w:p>
    <w:p w14:paraId="054C151A" w14:textId="77777777" w:rsidR="0054300C" w:rsidRPr="0054300C" w:rsidRDefault="0054300C" w:rsidP="0054300C">
      <w:pPr>
        <w:rPr>
          <w:sz w:val="20"/>
          <w:szCs w:val="20"/>
        </w:rPr>
      </w:pPr>
      <w:r w:rsidRPr="0054300C">
        <w:rPr>
          <w:sz w:val="20"/>
          <w:szCs w:val="20"/>
        </w:rPr>
        <w:t xml:space="preserve"> </w:t>
      </w:r>
    </w:p>
    <w:p w14:paraId="52D23354" w14:textId="77777777" w:rsidR="0054300C" w:rsidRPr="0054300C" w:rsidRDefault="0054300C" w:rsidP="0054300C">
      <w:pPr>
        <w:rPr>
          <w:sz w:val="20"/>
          <w:szCs w:val="20"/>
        </w:rPr>
      </w:pPr>
      <w:r w:rsidRPr="0054300C">
        <w:rPr>
          <w:sz w:val="20"/>
          <w:szCs w:val="20"/>
        </w:rPr>
        <w:t>To address the unmet need for a ZIKV vaccine, we are developing novel vaccine candidates constructed using our GV-MVA-VLP platform. MVA has an outstanding safety record, which is particularly important given the need to include women of child-bearing age and newborns among those being vaccinated. Our Zika vaccine is designed based on the NS1 gene product to eliminate the risk of Antibody Dependent Enhancement (ADE), which is a serious side effect observed when a vaccinated individual doesn’t have a fully protective immune response which actually causes a more virulent reaction if infected.</w:t>
      </w:r>
    </w:p>
    <w:p w14:paraId="6507EFC9" w14:textId="77777777" w:rsidR="0054300C" w:rsidRPr="0054300C" w:rsidRDefault="0054300C" w:rsidP="0054300C">
      <w:pPr>
        <w:rPr>
          <w:sz w:val="20"/>
          <w:szCs w:val="20"/>
        </w:rPr>
      </w:pPr>
      <w:r w:rsidRPr="0054300C">
        <w:rPr>
          <w:sz w:val="20"/>
          <w:szCs w:val="20"/>
        </w:rPr>
        <w:t xml:space="preserve"> </w:t>
      </w:r>
    </w:p>
    <w:p w14:paraId="7C86DCCA" w14:textId="77777777" w:rsidR="0054300C" w:rsidRPr="0054300C" w:rsidRDefault="0054300C" w:rsidP="0054300C">
      <w:pPr>
        <w:rPr>
          <w:sz w:val="20"/>
          <w:szCs w:val="20"/>
        </w:rPr>
      </w:pPr>
      <w:r w:rsidRPr="0054300C">
        <w:rPr>
          <w:sz w:val="20"/>
          <w:szCs w:val="20"/>
        </w:rPr>
        <w:t>Our initial preclinical studies in rodents using our GEO-ZM02 vaccine candidate demonstrated 100% single-dose protection against a lethal dose of ZIKV delivered directly into the brain. In rhesus macaques, vaccination with GEO-ZM02 induced immune responses that effectively controlled the virus replication despite the fact the vaccine is not designed to induce ZIKV neutralizing antibodies. Further development of GEO-ZM02 will be dependent upon partnering support.</w:t>
      </w:r>
    </w:p>
    <w:p w14:paraId="5CD12B5D" w14:textId="77777777" w:rsidR="0054300C" w:rsidRPr="0054300C" w:rsidRDefault="0054300C" w:rsidP="0054300C">
      <w:pPr>
        <w:rPr>
          <w:sz w:val="20"/>
          <w:szCs w:val="20"/>
        </w:rPr>
      </w:pPr>
    </w:p>
    <w:p w14:paraId="5F7983E5" w14:textId="77777777" w:rsidR="0054300C" w:rsidRPr="0054300C" w:rsidRDefault="0054300C" w:rsidP="0054300C">
      <w:pPr>
        <w:rPr>
          <w:sz w:val="20"/>
          <w:szCs w:val="20"/>
        </w:rPr>
      </w:pPr>
      <w:r w:rsidRPr="0054300C">
        <w:rPr>
          <w:b/>
          <w:bCs/>
          <w:sz w:val="20"/>
          <w:szCs w:val="20"/>
        </w:rPr>
        <w:lastRenderedPageBreak/>
        <w:t>GEO-MM02 for Malaria</w:t>
      </w:r>
      <w:r w:rsidRPr="0054300C">
        <w:rPr>
          <w:sz w:val="20"/>
          <w:szCs w:val="20"/>
        </w:rPr>
        <w:t xml:space="preserve"> – Globally, malaria causes 228 million infections and 405,000 deaths annually. Despite decades of vaccine research, vaccine candidates have failed to induce substantial protection (e.g. &gt;50%). Most of these vaccines are based on individual proteins that induce immune responses targeting only one stage of the malaria parasite’s life cycle. </w:t>
      </w:r>
      <w:proofErr w:type="spellStart"/>
      <w:r w:rsidRPr="0054300C">
        <w:rPr>
          <w:sz w:val="20"/>
          <w:szCs w:val="20"/>
        </w:rPr>
        <w:t>GeoVax’s</w:t>
      </w:r>
      <w:proofErr w:type="spellEnd"/>
      <w:r w:rsidRPr="0054300C">
        <w:rPr>
          <w:sz w:val="20"/>
          <w:szCs w:val="20"/>
        </w:rPr>
        <w:t xml:space="preserve"> MVA-VLP malaria vaccine candidates incorporate antigens derived from multiple stages of the parasite’s life cycle and are designed to induce an immune response with durable functional antibodies and CD4+ and CD8+ T cell responses, all hallmarks of an ideal vaccine-induced immune response.</w:t>
      </w:r>
    </w:p>
    <w:p w14:paraId="53C5E4B9" w14:textId="77777777" w:rsidR="0054300C" w:rsidRPr="0054300C" w:rsidRDefault="0054300C" w:rsidP="0054300C">
      <w:pPr>
        <w:rPr>
          <w:sz w:val="20"/>
          <w:szCs w:val="20"/>
        </w:rPr>
      </w:pPr>
    </w:p>
    <w:p w14:paraId="69E462B3" w14:textId="77777777" w:rsidR="0054300C" w:rsidRPr="0054300C" w:rsidRDefault="0054300C" w:rsidP="0054300C">
      <w:pPr>
        <w:rPr>
          <w:sz w:val="20"/>
          <w:szCs w:val="20"/>
        </w:rPr>
      </w:pPr>
      <w:r w:rsidRPr="0054300C">
        <w:rPr>
          <w:sz w:val="20"/>
          <w:szCs w:val="20"/>
        </w:rPr>
        <w:t xml:space="preserve">We have collaborated with the Burnet Institute, a leading infectious diseases research institute in Australia, for the development of a vaccine to prevent malaria infection. The project included the design, construction, and characterization of multiple malaria vaccine candidates using </w:t>
      </w:r>
      <w:proofErr w:type="spellStart"/>
      <w:r w:rsidRPr="0054300C">
        <w:rPr>
          <w:sz w:val="20"/>
          <w:szCs w:val="20"/>
        </w:rPr>
        <w:t>GeoVax’s</w:t>
      </w:r>
      <w:proofErr w:type="spellEnd"/>
      <w:r w:rsidRPr="0054300C">
        <w:rPr>
          <w:sz w:val="20"/>
          <w:szCs w:val="20"/>
        </w:rPr>
        <w:t xml:space="preserve"> GV-MVA-VLP™ vaccine platform combined with malaria </w:t>
      </w:r>
      <w:r w:rsidRPr="0054300C">
        <w:rPr>
          <w:i/>
          <w:iCs/>
          <w:sz w:val="20"/>
          <w:szCs w:val="20"/>
        </w:rPr>
        <w:t>Plasmodium falciparum</w:t>
      </w:r>
      <w:r w:rsidRPr="0054300C">
        <w:rPr>
          <w:sz w:val="20"/>
          <w:szCs w:val="20"/>
        </w:rPr>
        <w:t xml:space="preserve"> and </w:t>
      </w:r>
      <w:r w:rsidRPr="0054300C">
        <w:rPr>
          <w:i/>
          <w:iCs/>
          <w:sz w:val="20"/>
          <w:szCs w:val="20"/>
        </w:rPr>
        <w:t>Plasmodium vivax</w:t>
      </w:r>
      <w:r w:rsidRPr="0054300C">
        <w:rPr>
          <w:sz w:val="20"/>
          <w:szCs w:val="20"/>
        </w:rPr>
        <w:t xml:space="preserve"> sequences identified by the Burnet Institute. The vaccine design, construction, and characterization were performed at </w:t>
      </w:r>
      <w:proofErr w:type="spellStart"/>
      <w:r w:rsidRPr="0054300C">
        <w:rPr>
          <w:sz w:val="20"/>
          <w:szCs w:val="20"/>
        </w:rPr>
        <w:t>GeoVax</w:t>
      </w:r>
      <w:proofErr w:type="spellEnd"/>
      <w:r w:rsidRPr="0054300C">
        <w:rPr>
          <w:sz w:val="20"/>
          <w:szCs w:val="20"/>
        </w:rPr>
        <w:t xml:space="preserve"> with immunogenicity and challenge studies in animal models conducted at Burnet Institute using their unique functional assays. Further development of GEO-MM02 will be dependent upon additional funding support via federal grants or other sources.</w:t>
      </w:r>
    </w:p>
    <w:p w14:paraId="79AB5087" w14:textId="77777777" w:rsidR="0054300C" w:rsidRPr="0054300C" w:rsidRDefault="0054300C" w:rsidP="0054300C">
      <w:pPr>
        <w:rPr>
          <w:sz w:val="20"/>
          <w:szCs w:val="20"/>
        </w:rPr>
      </w:pPr>
    </w:p>
    <w:p w14:paraId="3C3D53A3" w14:textId="77777777" w:rsidR="0054300C" w:rsidRPr="0054300C" w:rsidRDefault="0054300C" w:rsidP="0054300C">
      <w:pPr>
        <w:rPr>
          <w:sz w:val="20"/>
          <w:szCs w:val="20"/>
        </w:rPr>
      </w:pPr>
      <w:r w:rsidRPr="0054300C">
        <w:rPr>
          <w:b/>
          <w:bCs/>
          <w:sz w:val="20"/>
          <w:szCs w:val="20"/>
        </w:rPr>
        <w:t xml:space="preserve">HIV </w:t>
      </w:r>
      <w:r w:rsidRPr="0054300C">
        <w:rPr>
          <w:sz w:val="20"/>
          <w:szCs w:val="20"/>
        </w:rPr>
        <w:t>– Due to our corporate refocusing of development efforts prioritizing our SARS-CoV-2 and cancer immunotherapy programs, and to a lack of continuing government support for our HIV vaccine development efforts, we recently decided to discontinue active development of these programs. Our technology and intellectual property in this will remain available for out-license or partnering, but we will no longer devote any corporate resources to the programs.</w:t>
      </w:r>
    </w:p>
    <w:p w14:paraId="1551659F" w14:textId="77777777" w:rsidR="00745DD1" w:rsidRPr="003221AE" w:rsidRDefault="00745DD1" w:rsidP="003E5A31">
      <w:pPr>
        <w:jc w:val="both"/>
        <w:rPr>
          <w:sz w:val="20"/>
          <w:szCs w:val="20"/>
        </w:rPr>
      </w:pPr>
    </w:p>
    <w:p w14:paraId="1A4777A1" w14:textId="77777777" w:rsidR="0054300C" w:rsidRPr="0054300C" w:rsidRDefault="0054300C" w:rsidP="0054300C">
      <w:pPr>
        <w:rPr>
          <w:b/>
          <w:sz w:val="20"/>
          <w:szCs w:val="20"/>
        </w:rPr>
      </w:pPr>
      <w:r w:rsidRPr="0054300C">
        <w:rPr>
          <w:b/>
          <w:bCs/>
          <w:sz w:val="20"/>
          <w:szCs w:val="20"/>
        </w:rPr>
        <w:t xml:space="preserve">Our </w:t>
      </w:r>
      <w:r w:rsidRPr="0054300C">
        <w:rPr>
          <w:b/>
          <w:sz w:val="20"/>
          <w:szCs w:val="20"/>
        </w:rPr>
        <w:t>GV-MVA-VLP</w:t>
      </w:r>
      <w:r w:rsidRPr="0054300C">
        <w:rPr>
          <w:b/>
          <w:sz w:val="20"/>
          <w:szCs w:val="20"/>
          <w:vertAlign w:val="superscript"/>
        </w:rPr>
        <w:t>™</w:t>
      </w:r>
      <w:r w:rsidRPr="0054300C">
        <w:rPr>
          <w:b/>
          <w:sz w:val="20"/>
          <w:szCs w:val="20"/>
        </w:rPr>
        <w:t xml:space="preserve"> Platform</w:t>
      </w:r>
    </w:p>
    <w:p w14:paraId="42C51DA6" w14:textId="77777777" w:rsidR="0054300C" w:rsidRPr="0054300C" w:rsidRDefault="0054300C" w:rsidP="0054300C">
      <w:pPr>
        <w:rPr>
          <w:b/>
          <w:sz w:val="20"/>
          <w:szCs w:val="20"/>
        </w:rPr>
      </w:pPr>
    </w:p>
    <w:p w14:paraId="1F0F520F" w14:textId="77777777" w:rsidR="0054300C" w:rsidRPr="0054300C" w:rsidRDefault="0054300C" w:rsidP="0054300C">
      <w:pPr>
        <w:rPr>
          <w:b/>
          <w:sz w:val="20"/>
          <w:szCs w:val="20"/>
        </w:rPr>
      </w:pPr>
      <w:proofErr w:type="spellStart"/>
      <w:r w:rsidRPr="0054300C">
        <w:rPr>
          <w:sz w:val="20"/>
          <w:szCs w:val="20"/>
        </w:rPr>
        <w:t>GeoVax’s</w:t>
      </w:r>
      <w:proofErr w:type="spellEnd"/>
      <w:r w:rsidRPr="0054300C">
        <w:rPr>
          <w:sz w:val="20"/>
          <w:szCs w:val="20"/>
        </w:rPr>
        <w:t xml:space="preserve"> GV-MVA-VLP</w:t>
      </w:r>
      <w:r w:rsidRPr="0054300C">
        <w:rPr>
          <w:sz w:val="20"/>
          <w:szCs w:val="20"/>
          <w:vertAlign w:val="superscript"/>
        </w:rPr>
        <w:t>™</w:t>
      </w:r>
      <w:r w:rsidRPr="0054300C">
        <w:rPr>
          <w:sz w:val="20"/>
          <w:szCs w:val="20"/>
        </w:rPr>
        <w:t xml:space="preserve"> vaccine platform utilizes Modified Vaccinia Ankara (MVA), a large virus capable of carrying several vaccine antigens, that expresses proteins that assemble into virus-like particles (VLP) immunogens in the person receiving the vaccine. The production of VLPs in the person being vaccinated can mimic the virus production that occurs in a natural infection, stimulating both the humoral and cellular arms of the immune system to recognize, prevent, and control the target infection. The MVA-VLP derived vaccines can elicit durable immune responses in the host similar to a live-attenuated virus, while providing the safety characteristics of a replication-defective vector. </w:t>
      </w:r>
    </w:p>
    <w:p w14:paraId="29CBBA61" w14:textId="77777777" w:rsidR="0054300C" w:rsidRPr="0054300C" w:rsidRDefault="0054300C" w:rsidP="0054300C">
      <w:pPr>
        <w:rPr>
          <w:sz w:val="20"/>
          <w:szCs w:val="20"/>
        </w:rPr>
      </w:pPr>
    </w:p>
    <w:p w14:paraId="07B9E62C" w14:textId="77777777" w:rsidR="0054300C" w:rsidRPr="0054300C" w:rsidRDefault="0054300C" w:rsidP="0054300C">
      <w:pPr>
        <w:rPr>
          <w:sz w:val="20"/>
          <w:szCs w:val="20"/>
        </w:rPr>
      </w:pPr>
      <w:r w:rsidRPr="0054300C">
        <w:rPr>
          <w:sz w:val="20"/>
          <w:szCs w:val="20"/>
        </w:rPr>
        <w:t xml:space="preserve">Vaccines typically contain agents (antigens) that resemble disease-causing microorganisms. Traditional vaccines are often made from weakened or killed forms of the virus or from its surface proteins. Some newer vaccines use recombinant DNA (deoxyribonucleic acid) technology to generate vaccine antigens in bacteria or cultured cells from specific portions of the DNA sequence of the target pathogen. The generated antigens are then purified and formulated for use in a vaccine. We believe the most successful of these purified antigens have been non-infectious virus-like particles (VLPs) as exemplified by vaccines for hepatitis B (Merck’s </w:t>
      </w:r>
      <w:proofErr w:type="spellStart"/>
      <w:r w:rsidRPr="0054300C">
        <w:rPr>
          <w:sz w:val="20"/>
          <w:szCs w:val="20"/>
        </w:rPr>
        <w:t>Recombivax</w:t>
      </w:r>
      <w:proofErr w:type="spellEnd"/>
      <w:r w:rsidRPr="0054300C">
        <w:rPr>
          <w:sz w:val="20"/>
          <w:szCs w:val="20"/>
        </w:rPr>
        <w:t xml:space="preserve">® and GSK’s </w:t>
      </w:r>
      <w:proofErr w:type="spellStart"/>
      <w:r w:rsidRPr="0054300C">
        <w:rPr>
          <w:sz w:val="20"/>
          <w:szCs w:val="20"/>
        </w:rPr>
        <w:t>Engerix</w:t>
      </w:r>
      <w:proofErr w:type="spellEnd"/>
      <w:r w:rsidRPr="0054300C">
        <w:rPr>
          <w:sz w:val="20"/>
          <w:szCs w:val="20"/>
        </w:rPr>
        <w:t xml:space="preserve">®) and Papilloma viruses (GSK’s </w:t>
      </w:r>
      <w:proofErr w:type="spellStart"/>
      <w:r w:rsidRPr="0054300C">
        <w:rPr>
          <w:sz w:val="20"/>
          <w:szCs w:val="20"/>
        </w:rPr>
        <w:t>Cervarix</w:t>
      </w:r>
      <w:proofErr w:type="spellEnd"/>
      <w:r w:rsidRPr="0054300C">
        <w:rPr>
          <w:sz w:val="20"/>
          <w:szCs w:val="20"/>
        </w:rPr>
        <w:t>®, and Merck’s Gardasil®). Our approach uses recombinant DNA and/or recombinant MVA to produce VLPs in the person being vaccinated (in vivo) reducing complexity and costs of manufacturing. In human clinical trials of our HIV vaccines, we believe we have demonstrated that our VLPs, expressed from within the cells of the person being vaccinated, can be safe, yet elicit both strong and durable humoral and cellular immune response.</w:t>
      </w:r>
    </w:p>
    <w:p w14:paraId="01BFCBAD" w14:textId="77777777" w:rsidR="0054300C" w:rsidRPr="0054300C" w:rsidRDefault="0054300C" w:rsidP="0054300C">
      <w:pPr>
        <w:rPr>
          <w:sz w:val="20"/>
          <w:szCs w:val="20"/>
        </w:rPr>
      </w:pPr>
    </w:p>
    <w:p w14:paraId="35F56D56" w14:textId="77777777" w:rsidR="0054300C" w:rsidRPr="0054300C" w:rsidRDefault="0054300C" w:rsidP="0054300C">
      <w:pPr>
        <w:rPr>
          <w:sz w:val="20"/>
          <w:szCs w:val="20"/>
        </w:rPr>
      </w:pPr>
      <w:r w:rsidRPr="0054300C">
        <w:rPr>
          <w:sz w:val="20"/>
          <w:szCs w:val="20"/>
        </w:rPr>
        <w:t xml:space="preserve">VLPs mimic authentic viruses in form but are not infectious or capable of replicating and can cause the body’s immune system to recognize and kill targeted viruses to prevent an infection. VLPs can also train the immune system to recognize and kill virus-infected cells to control infection and reduce the length and severity of disease. One of the biggest challenges with VLP-based vaccines is to design the vaccines in such a way that the VLPs will be recognized by the immune system in the same way as the authentic virus would be. We design our vaccines such that, when VLPs for enveloped viruses like HIV, Ebola, Marburg or Lassa fever are produced </w:t>
      </w:r>
      <w:r w:rsidRPr="0054300C">
        <w:rPr>
          <w:i/>
          <w:iCs/>
          <w:sz w:val="20"/>
          <w:szCs w:val="20"/>
        </w:rPr>
        <w:t>in vivo</w:t>
      </w:r>
      <w:r w:rsidRPr="0054300C">
        <w:rPr>
          <w:sz w:val="20"/>
          <w:szCs w:val="20"/>
        </w:rPr>
        <w:t xml:space="preserve"> (in the cells of the recipient), they include not only the protein antigens, but also an envelope consisting of membranes from the vaccinated individual’s cells. In this way, they are highly similar to the virus generated in a person’s body during a natural infection. VLPs produced </w:t>
      </w:r>
      <w:r w:rsidRPr="0054300C">
        <w:rPr>
          <w:i/>
          <w:iCs/>
          <w:sz w:val="20"/>
          <w:szCs w:val="20"/>
        </w:rPr>
        <w:t>in vitro</w:t>
      </w:r>
      <w:r w:rsidRPr="0054300C">
        <w:rPr>
          <w:sz w:val="20"/>
          <w:szCs w:val="20"/>
        </w:rPr>
        <w:t xml:space="preserve"> (in a pharmaceutical plant), by contrast, have no envelope; or, envelopes from the cultured cells (typically hamster or insect cells) used to produce them. We believe our technology therefore provides distinct advantages by producing VLPs that more closely resemble the authentic viruses. We believe this feature of our immunogens allows the body’s immune system to more readily recognize the virus. By producing VLPs </w:t>
      </w:r>
      <w:r w:rsidRPr="0054300C">
        <w:rPr>
          <w:i/>
          <w:iCs/>
          <w:sz w:val="20"/>
          <w:szCs w:val="20"/>
        </w:rPr>
        <w:t>in vivo</w:t>
      </w:r>
      <w:r w:rsidRPr="0054300C">
        <w:rPr>
          <w:sz w:val="20"/>
          <w:szCs w:val="20"/>
        </w:rPr>
        <w:t xml:space="preserve">, we believe we also avoid potential purification issues associated with </w:t>
      </w:r>
      <w:r w:rsidRPr="0054300C">
        <w:rPr>
          <w:i/>
          <w:iCs/>
          <w:sz w:val="20"/>
          <w:szCs w:val="20"/>
        </w:rPr>
        <w:t>in vitro</w:t>
      </w:r>
      <w:r w:rsidRPr="0054300C">
        <w:rPr>
          <w:sz w:val="20"/>
          <w:szCs w:val="20"/>
        </w:rPr>
        <w:t xml:space="preserve"> production of VLPs.</w:t>
      </w:r>
    </w:p>
    <w:p w14:paraId="23704CA5" w14:textId="77777777" w:rsidR="0054300C" w:rsidRPr="0054300C" w:rsidRDefault="0054300C" w:rsidP="0054300C">
      <w:pPr>
        <w:rPr>
          <w:sz w:val="20"/>
          <w:szCs w:val="20"/>
        </w:rPr>
      </w:pPr>
    </w:p>
    <w:p w14:paraId="26391C9A" w14:textId="77777777" w:rsidR="0054300C" w:rsidRPr="0054300C" w:rsidRDefault="0054300C" w:rsidP="0054300C">
      <w:pPr>
        <w:rPr>
          <w:sz w:val="20"/>
          <w:szCs w:val="20"/>
        </w:rPr>
      </w:pPr>
      <w:r w:rsidRPr="0054300C">
        <w:rPr>
          <w:sz w:val="20"/>
          <w:szCs w:val="20"/>
        </w:rPr>
        <w:t xml:space="preserve">Figure 1 below shows examples of thin section electron micrographs of actual viruses and VLPs for these viruses expressed by </w:t>
      </w:r>
      <w:proofErr w:type="spellStart"/>
      <w:r w:rsidRPr="0054300C">
        <w:rPr>
          <w:sz w:val="20"/>
          <w:szCs w:val="20"/>
        </w:rPr>
        <w:t>GeoVax</w:t>
      </w:r>
      <w:proofErr w:type="spellEnd"/>
      <w:r w:rsidRPr="0054300C">
        <w:rPr>
          <w:sz w:val="20"/>
          <w:szCs w:val="20"/>
        </w:rPr>
        <w:t xml:space="preserve"> MVA-VLP vaccines.</w:t>
      </w:r>
    </w:p>
    <w:p w14:paraId="780AFE6F" w14:textId="77777777" w:rsidR="0054300C" w:rsidRPr="0054300C" w:rsidRDefault="0054300C" w:rsidP="0054300C">
      <w:pPr>
        <w:jc w:val="center"/>
        <w:rPr>
          <w:sz w:val="20"/>
          <w:szCs w:val="20"/>
        </w:rPr>
      </w:pPr>
      <w:r w:rsidRPr="0054300C">
        <w:rPr>
          <w:rFonts w:ascii="CG Times (WN)" w:hAnsi="CG Times (WN)"/>
          <w:noProof/>
          <w:sz w:val="20"/>
          <w:szCs w:val="20"/>
        </w:rPr>
        <w:drawing>
          <wp:inline distT="0" distB="0" distL="0" distR="0" wp14:anchorId="2E43B539" wp14:editId="768C28FD">
            <wp:extent cx="5187894" cy="2738950"/>
            <wp:effectExtent l="0" t="0" r="0" b="4445"/>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20"/>
                    <a:stretch>
                      <a:fillRect/>
                    </a:stretch>
                  </pic:blipFill>
                  <pic:spPr>
                    <a:xfrm>
                      <a:off x="0" y="0"/>
                      <a:ext cx="5202240" cy="2746524"/>
                    </a:xfrm>
                    <a:prstGeom prst="rect">
                      <a:avLst/>
                    </a:prstGeom>
                  </pic:spPr>
                </pic:pic>
              </a:graphicData>
            </a:graphic>
          </wp:inline>
        </w:drawing>
      </w:r>
    </w:p>
    <w:p w14:paraId="58CFD4E5" w14:textId="77777777" w:rsidR="0054300C" w:rsidRPr="0054300C" w:rsidRDefault="0054300C" w:rsidP="0054300C">
      <w:pPr>
        <w:jc w:val="center"/>
        <w:rPr>
          <w:b/>
          <w:bCs/>
          <w:sz w:val="20"/>
          <w:szCs w:val="20"/>
        </w:rPr>
      </w:pPr>
      <w:r w:rsidRPr="0054300C">
        <w:rPr>
          <w:b/>
          <w:bCs/>
          <w:sz w:val="20"/>
          <w:szCs w:val="20"/>
        </w:rPr>
        <w:t>Figure 1.  Comparison of MVA-VLPs and native virus structures</w:t>
      </w:r>
    </w:p>
    <w:p w14:paraId="382736AD" w14:textId="77777777" w:rsidR="0054300C" w:rsidRPr="0054300C" w:rsidRDefault="0054300C" w:rsidP="0054300C">
      <w:pPr>
        <w:rPr>
          <w:sz w:val="20"/>
          <w:szCs w:val="20"/>
        </w:rPr>
      </w:pPr>
    </w:p>
    <w:p w14:paraId="53694A63" w14:textId="77777777" w:rsidR="0054300C" w:rsidRPr="0054300C" w:rsidRDefault="0054300C" w:rsidP="0054300C">
      <w:pPr>
        <w:rPr>
          <w:sz w:val="20"/>
          <w:szCs w:val="20"/>
        </w:rPr>
      </w:pPr>
      <w:r w:rsidRPr="0054300C">
        <w:rPr>
          <w:sz w:val="20"/>
          <w:szCs w:val="20"/>
        </w:rPr>
        <w:t>In the MVA-VLP platform, we take advantage of MVA’s large “coding capacity” to insert genes that encode multiple proteins, the combination of which is adequate to support the generation of VLPs by the MVA infected cells. Utility has been demonstrated for multiple vaccine candidates wherein the MVA-encoded viral matrix proteins and glycoproteins assemble into VLPs. MVA was originally developed as a safer smallpox vaccine for use in immune-compromised individuals. It was developed by attenuating the standard smallpox vaccine by passaging it (over 500 passages) in chicken embryos or chicken embryo fibroblasts, resulting in a virus with limited ability to replicate in human cells (thus safe) but with high replication capability in avian cells (thus cost effective for manufacturing). The deletions also resulted in the loss of immune evasion genes which assist the spread of wild type smallpox infections, even in the presence of human immune responses.</w:t>
      </w:r>
    </w:p>
    <w:p w14:paraId="09579302" w14:textId="77777777" w:rsidR="0054300C" w:rsidRPr="0054300C" w:rsidRDefault="0054300C" w:rsidP="0054300C">
      <w:pPr>
        <w:rPr>
          <w:sz w:val="20"/>
          <w:szCs w:val="20"/>
        </w:rPr>
      </w:pPr>
    </w:p>
    <w:p w14:paraId="7FAF5B6F" w14:textId="77777777" w:rsidR="0054300C" w:rsidRPr="0054300C" w:rsidRDefault="0054300C" w:rsidP="0054300C">
      <w:pPr>
        <w:rPr>
          <w:sz w:val="20"/>
          <w:szCs w:val="20"/>
        </w:rPr>
      </w:pPr>
      <w:r w:rsidRPr="0054300C">
        <w:rPr>
          <w:sz w:val="20"/>
          <w:szCs w:val="20"/>
        </w:rPr>
        <w:t xml:space="preserve">We collaborated with the laboratory of Dr. Bernard Moss at NIH/NIAID on four different generations of MVA vectors, spanning over 15 years of collaboration, to effectively express vaccine proteins that assemble into VLPs. These efforts led to the development of different shuttle vectors and the identification of multiple insertion sites for introducing foreign genes encoding the vaccine target proteins into MVA in a manner that optimizes each product for manufacturing stability. Each MVA-VLP vaccine has up to two expression cassettes, each encoding one or more antigens selected from pathogens of interest. At a minimum, each vaccine expresses two antigens required for VLP formation; in the case of HIV and hemorrhagic fever vaccines for example, a viral matrix protein and an envelope glycoprotein. We use a synthetic early late promoter that provides high, yet not lethal, levels of insert expression, which is initiated immediately after infection in cells of the vaccinated individual. </w:t>
      </w:r>
    </w:p>
    <w:p w14:paraId="0553BBDF" w14:textId="77777777" w:rsidR="0054300C" w:rsidRPr="0054300C" w:rsidRDefault="0054300C" w:rsidP="0054300C">
      <w:pPr>
        <w:rPr>
          <w:sz w:val="20"/>
          <w:szCs w:val="20"/>
        </w:rPr>
      </w:pPr>
    </w:p>
    <w:p w14:paraId="785B07F1" w14:textId="77777777" w:rsidR="0054300C" w:rsidRPr="0054300C" w:rsidRDefault="0054300C" w:rsidP="0054300C">
      <w:pPr>
        <w:rPr>
          <w:sz w:val="20"/>
          <w:szCs w:val="20"/>
        </w:rPr>
      </w:pPr>
      <w:r w:rsidRPr="0054300C">
        <w:rPr>
          <w:sz w:val="20"/>
          <w:szCs w:val="20"/>
        </w:rPr>
        <w:t>Our GV-MVA-VLP™ vaccine platform affords other advantages:</w:t>
      </w:r>
    </w:p>
    <w:tbl>
      <w:tblPr>
        <w:tblW w:w="5000" w:type="pct"/>
        <w:tblInd w:w="149" w:type="dxa"/>
        <w:tblCellMar>
          <w:left w:w="0" w:type="dxa"/>
          <w:right w:w="0" w:type="dxa"/>
        </w:tblCellMar>
        <w:tblLook w:val="04A0" w:firstRow="1" w:lastRow="0" w:firstColumn="1" w:lastColumn="0" w:noHBand="0" w:noVBand="1"/>
      </w:tblPr>
      <w:tblGrid>
        <w:gridCol w:w="360"/>
        <w:gridCol w:w="9000"/>
      </w:tblGrid>
      <w:tr w:rsidR="0054300C" w:rsidRPr="0054300C" w14:paraId="5875F809" w14:textId="77777777" w:rsidTr="004F5282">
        <w:tc>
          <w:tcPr>
            <w:tcW w:w="360" w:type="dxa"/>
            <w:tcMar>
              <w:top w:w="5" w:type="dxa"/>
              <w:left w:w="5" w:type="dxa"/>
              <w:bottom w:w="5" w:type="dxa"/>
              <w:right w:w="5" w:type="dxa"/>
            </w:tcMar>
            <w:hideMark/>
          </w:tcPr>
          <w:p w14:paraId="574C8FA7" w14:textId="77777777" w:rsidR="0054300C" w:rsidRPr="0054300C" w:rsidRDefault="0054300C" w:rsidP="0054300C">
            <w:pPr>
              <w:rPr>
                <w:sz w:val="20"/>
                <w:szCs w:val="20"/>
              </w:rPr>
            </w:pPr>
            <w:r w:rsidRPr="0054300C">
              <w:rPr>
                <w:b/>
                <w:bCs/>
                <w:i/>
                <w:iCs/>
                <w:sz w:val="20"/>
                <w:szCs w:val="20"/>
              </w:rPr>
              <w:t>●</w:t>
            </w:r>
          </w:p>
        </w:tc>
        <w:tc>
          <w:tcPr>
            <w:tcW w:w="0" w:type="auto"/>
            <w:tcMar>
              <w:top w:w="5" w:type="dxa"/>
              <w:left w:w="5" w:type="dxa"/>
              <w:bottom w:w="5" w:type="dxa"/>
              <w:right w:w="5" w:type="dxa"/>
            </w:tcMar>
            <w:hideMark/>
          </w:tcPr>
          <w:p w14:paraId="2F2FD11C" w14:textId="77777777" w:rsidR="0054300C" w:rsidRPr="0054300C" w:rsidRDefault="0054300C" w:rsidP="0054300C">
            <w:pPr>
              <w:rPr>
                <w:sz w:val="20"/>
                <w:szCs w:val="20"/>
              </w:rPr>
            </w:pPr>
            <w:r w:rsidRPr="0054300C">
              <w:rPr>
                <w:b/>
                <w:bCs/>
                <w:i/>
                <w:iCs/>
                <w:sz w:val="20"/>
                <w:szCs w:val="20"/>
              </w:rPr>
              <w:t>Safety:</w:t>
            </w:r>
            <w:r w:rsidRPr="0054300C">
              <w:rPr>
                <w:b/>
                <w:bCs/>
                <w:sz w:val="20"/>
                <w:szCs w:val="20"/>
              </w:rPr>
              <w:t xml:space="preserve"> </w:t>
            </w:r>
            <w:r w:rsidRPr="0054300C">
              <w:rPr>
                <w:sz w:val="20"/>
                <w:szCs w:val="20"/>
              </w:rPr>
              <w:t>Safety for MVA, generally, has been shown in more than 120,000 subjects in Europe, including immunocompromised individuals during the initial development of MVA and more recently with the development of MVA as a safer vaccine against smallpox. Our HIV vaccines demonstrated outstanding safety in multiple human clinical trials.</w:t>
            </w:r>
          </w:p>
        </w:tc>
      </w:tr>
      <w:tr w:rsidR="0054300C" w:rsidRPr="0054300C" w14:paraId="719E5E05" w14:textId="77777777" w:rsidTr="004F5282">
        <w:tc>
          <w:tcPr>
            <w:tcW w:w="360" w:type="dxa"/>
            <w:tcMar>
              <w:top w:w="5" w:type="dxa"/>
              <w:left w:w="5" w:type="dxa"/>
              <w:bottom w:w="5" w:type="dxa"/>
              <w:right w:w="5" w:type="dxa"/>
            </w:tcMar>
            <w:hideMark/>
          </w:tcPr>
          <w:p w14:paraId="40B95B71" w14:textId="77777777" w:rsidR="0054300C" w:rsidRPr="0054300C" w:rsidRDefault="0054300C" w:rsidP="0054300C">
            <w:pPr>
              <w:rPr>
                <w:sz w:val="20"/>
                <w:szCs w:val="20"/>
              </w:rPr>
            </w:pPr>
            <w:r w:rsidRPr="0054300C">
              <w:rPr>
                <w:b/>
                <w:bCs/>
                <w:i/>
                <w:iCs/>
                <w:sz w:val="20"/>
                <w:szCs w:val="20"/>
              </w:rPr>
              <w:t>●</w:t>
            </w:r>
          </w:p>
        </w:tc>
        <w:tc>
          <w:tcPr>
            <w:tcW w:w="0" w:type="auto"/>
            <w:tcMar>
              <w:top w:w="5" w:type="dxa"/>
              <w:left w:w="5" w:type="dxa"/>
              <w:bottom w:w="5" w:type="dxa"/>
              <w:right w:w="5" w:type="dxa"/>
            </w:tcMar>
            <w:hideMark/>
          </w:tcPr>
          <w:p w14:paraId="21F5E6A7" w14:textId="77777777" w:rsidR="0054300C" w:rsidRPr="0054300C" w:rsidRDefault="0054300C" w:rsidP="0054300C">
            <w:pPr>
              <w:rPr>
                <w:sz w:val="20"/>
                <w:szCs w:val="20"/>
              </w:rPr>
            </w:pPr>
            <w:r w:rsidRPr="0054300C">
              <w:rPr>
                <w:b/>
                <w:bCs/>
                <w:i/>
                <w:iCs/>
                <w:sz w:val="20"/>
                <w:szCs w:val="20"/>
              </w:rPr>
              <w:t>Durability:</w:t>
            </w:r>
            <w:r w:rsidRPr="0054300C">
              <w:rPr>
                <w:b/>
                <w:bCs/>
                <w:sz w:val="20"/>
                <w:szCs w:val="20"/>
              </w:rPr>
              <w:t xml:space="preserve"> </w:t>
            </w:r>
            <w:r w:rsidRPr="0054300C">
              <w:rPr>
                <w:sz w:val="20"/>
                <w:szCs w:val="20"/>
              </w:rPr>
              <w:t>Our technology raises highly durable (long-lasting) vaccine responses. We hypothesize that elicitation of durable vaccine responses is conferred on responding B cells by the vaccinia parent of MVA, which raises highly durable responses for smallpox.</w:t>
            </w:r>
          </w:p>
        </w:tc>
      </w:tr>
      <w:tr w:rsidR="0054300C" w:rsidRPr="0054300C" w14:paraId="2C31C746" w14:textId="77777777" w:rsidTr="004F5282">
        <w:tc>
          <w:tcPr>
            <w:tcW w:w="360" w:type="dxa"/>
            <w:tcMar>
              <w:top w:w="5" w:type="dxa"/>
              <w:left w:w="5" w:type="dxa"/>
              <w:bottom w:w="5" w:type="dxa"/>
              <w:right w:w="5" w:type="dxa"/>
            </w:tcMar>
            <w:hideMark/>
          </w:tcPr>
          <w:p w14:paraId="6389DF59" w14:textId="77777777" w:rsidR="0054300C" w:rsidRPr="0054300C" w:rsidRDefault="0054300C" w:rsidP="0054300C">
            <w:pPr>
              <w:rPr>
                <w:sz w:val="20"/>
                <w:szCs w:val="20"/>
              </w:rPr>
            </w:pPr>
            <w:r w:rsidRPr="0054300C">
              <w:rPr>
                <w:b/>
                <w:bCs/>
                <w:i/>
                <w:iCs/>
                <w:sz w:val="20"/>
                <w:szCs w:val="20"/>
              </w:rPr>
              <w:t>●</w:t>
            </w:r>
          </w:p>
        </w:tc>
        <w:tc>
          <w:tcPr>
            <w:tcW w:w="0" w:type="auto"/>
            <w:tcMar>
              <w:top w:w="5" w:type="dxa"/>
              <w:left w:w="5" w:type="dxa"/>
              <w:bottom w:w="5" w:type="dxa"/>
              <w:right w:w="5" w:type="dxa"/>
            </w:tcMar>
            <w:hideMark/>
          </w:tcPr>
          <w:p w14:paraId="3B4A4B26" w14:textId="77777777" w:rsidR="0054300C" w:rsidRPr="0054300C" w:rsidRDefault="0054300C" w:rsidP="0054300C">
            <w:pPr>
              <w:rPr>
                <w:sz w:val="20"/>
                <w:szCs w:val="20"/>
              </w:rPr>
            </w:pPr>
            <w:r w:rsidRPr="0054300C">
              <w:rPr>
                <w:b/>
                <w:bCs/>
                <w:i/>
                <w:iCs/>
                <w:sz w:val="20"/>
                <w:szCs w:val="20"/>
              </w:rPr>
              <w:t>Limited pre-existing immunity to vector</w:t>
            </w:r>
            <w:r w:rsidRPr="0054300C">
              <w:rPr>
                <w:b/>
                <w:bCs/>
                <w:sz w:val="20"/>
                <w:szCs w:val="20"/>
              </w:rPr>
              <w:t xml:space="preserve">: </w:t>
            </w:r>
            <w:r w:rsidRPr="0054300C">
              <w:rPr>
                <w:sz w:val="20"/>
                <w:szCs w:val="20"/>
              </w:rPr>
              <w:t xml:space="preserve">Following the eradication of smallpox in 1980, smallpox vaccinations subsequently ended, leaving all but those born before 1980 and selected populations (such as vaccinated laboratory workers and first responders) unvaccinated and without pre-existing immunity to MVA-derived vaccines. A potential interference of pre-existing immunity to a vector may be more problematic with those </w:t>
            </w:r>
            <w:r w:rsidRPr="0054300C">
              <w:rPr>
                <w:sz w:val="20"/>
                <w:szCs w:val="20"/>
              </w:rPr>
              <w:lastRenderedPageBreak/>
              <w:t>vectors related to parent viruses used in routine vaccinations (e.g. measles) or constitute common viruses that infect people of all ages (e.g. cytomegalovirus).</w:t>
            </w:r>
          </w:p>
        </w:tc>
      </w:tr>
      <w:tr w:rsidR="0054300C" w:rsidRPr="0054300C" w14:paraId="470BFFB3" w14:textId="77777777" w:rsidTr="004F5282">
        <w:tc>
          <w:tcPr>
            <w:tcW w:w="360" w:type="dxa"/>
            <w:tcMar>
              <w:top w:w="5" w:type="dxa"/>
              <w:left w:w="5" w:type="dxa"/>
              <w:bottom w:w="5" w:type="dxa"/>
              <w:right w:w="5" w:type="dxa"/>
            </w:tcMar>
            <w:hideMark/>
          </w:tcPr>
          <w:p w14:paraId="0CB69370" w14:textId="77777777" w:rsidR="0054300C" w:rsidRPr="0054300C" w:rsidRDefault="0054300C" w:rsidP="0054300C">
            <w:pPr>
              <w:rPr>
                <w:sz w:val="20"/>
                <w:szCs w:val="20"/>
              </w:rPr>
            </w:pPr>
            <w:r w:rsidRPr="0054300C">
              <w:rPr>
                <w:b/>
                <w:bCs/>
                <w:i/>
                <w:iCs/>
                <w:sz w:val="20"/>
                <w:szCs w:val="20"/>
              </w:rPr>
              <w:lastRenderedPageBreak/>
              <w:t>●</w:t>
            </w:r>
          </w:p>
        </w:tc>
        <w:tc>
          <w:tcPr>
            <w:tcW w:w="0" w:type="auto"/>
            <w:tcMar>
              <w:top w:w="5" w:type="dxa"/>
              <w:left w:w="5" w:type="dxa"/>
              <w:bottom w:w="5" w:type="dxa"/>
              <w:right w:w="5" w:type="dxa"/>
            </w:tcMar>
            <w:hideMark/>
          </w:tcPr>
          <w:p w14:paraId="5342DC58" w14:textId="77777777" w:rsidR="0054300C" w:rsidRPr="0054300C" w:rsidRDefault="0054300C" w:rsidP="0054300C">
            <w:pPr>
              <w:rPr>
                <w:sz w:val="20"/>
                <w:szCs w:val="20"/>
              </w:rPr>
            </w:pPr>
            <w:r w:rsidRPr="0054300C">
              <w:rPr>
                <w:b/>
                <w:bCs/>
                <w:i/>
                <w:iCs/>
                <w:sz w:val="20"/>
                <w:szCs w:val="20"/>
              </w:rPr>
              <w:t>Repeated use of the platform for different vaccines used in sequence</w:t>
            </w:r>
            <w:r w:rsidRPr="0054300C">
              <w:rPr>
                <w:i/>
                <w:iCs/>
                <w:sz w:val="20"/>
                <w:szCs w:val="20"/>
              </w:rPr>
              <w:t xml:space="preserve">. </w:t>
            </w:r>
            <w:r w:rsidRPr="0054300C">
              <w:rPr>
                <w:sz w:val="20"/>
                <w:szCs w:val="20"/>
              </w:rPr>
              <w:t xml:space="preserve">In mouse experiments, we have shown that two of our vaccines (e.g. GV-MVA-VLP-Zika followed by GV-MVA-VLP-Ebola) can be given at </w:t>
            </w:r>
            <w:r w:rsidRPr="0054300C">
              <w:rPr>
                <w:sz w:val="20"/>
                <w:szCs w:val="20"/>
                <w:u w:val="single"/>
              </w:rPr>
              <w:t>&lt;</w:t>
            </w:r>
            <w:r w:rsidRPr="0054300C">
              <w:rPr>
                <w:sz w:val="20"/>
                <w:szCs w:val="20"/>
              </w:rPr>
              <w:t>4 week intervals without any negative impact on their immunogenicity (lack of vector immunity).</w:t>
            </w:r>
          </w:p>
        </w:tc>
      </w:tr>
      <w:tr w:rsidR="0054300C" w:rsidRPr="0054300C" w14:paraId="12691B69" w14:textId="77777777" w:rsidTr="004F5282">
        <w:tc>
          <w:tcPr>
            <w:tcW w:w="360" w:type="dxa"/>
            <w:tcMar>
              <w:top w:w="5" w:type="dxa"/>
              <w:left w:w="5" w:type="dxa"/>
              <w:bottom w:w="5" w:type="dxa"/>
              <w:right w:w="5" w:type="dxa"/>
            </w:tcMar>
            <w:hideMark/>
          </w:tcPr>
          <w:p w14:paraId="325D46CD" w14:textId="77777777" w:rsidR="0054300C" w:rsidRPr="0054300C" w:rsidRDefault="0054300C" w:rsidP="0054300C">
            <w:pPr>
              <w:rPr>
                <w:sz w:val="20"/>
                <w:szCs w:val="20"/>
              </w:rPr>
            </w:pPr>
            <w:r w:rsidRPr="0054300C">
              <w:rPr>
                <w:b/>
                <w:bCs/>
                <w:i/>
                <w:iCs/>
                <w:sz w:val="20"/>
                <w:szCs w:val="20"/>
              </w:rPr>
              <w:t>●</w:t>
            </w:r>
          </w:p>
        </w:tc>
        <w:tc>
          <w:tcPr>
            <w:tcW w:w="0" w:type="auto"/>
            <w:tcMar>
              <w:top w:w="5" w:type="dxa"/>
              <w:left w:w="5" w:type="dxa"/>
              <w:bottom w:w="5" w:type="dxa"/>
              <w:right w:w="5" w:type="dxa"/>
            </w:tcMar>
            <w:hideMark/>
          </w:tcPr>
          <w:p w14:paraId="3F71F8F8" w14:textId="77777777" w:rsidR="0054300C" w:rsidRPr="0054300C" w:rsidRDefault="0054300C" w:rsidP="0054300C">
            <w:pPr>
              <w:rPr>
                <w:sz w:val="20"/>
                <w:szCs w:val="20"/>
              </w:rPr>
            </w:pPr>
            <w:r w:rsidRPr="0054300C">
              <w:rPr>
                <w:b/>
                <w:bCs/>
                <w:i/>
                <w:iCs/>
                <w:sz w:val="20"/>
                <w:szCs w:val="20"/>
              </w:rPr>
              <w:t>No need for adjuvants:</w:t>
            </w:r>
            <w:r w:rsidRPr="0054300C">
              <w:rPr>
                <w:b/>
                <w:bCs/>
                <w:sz w:val="20"/>
                <w:szCs w:val="20"/>
              </w:rPr>
              <w:t xml:space="preserve"> </w:t>
            </w:r>
            <w:r w:rsidRPr="0054300C">
              <w:rPr>
                <w:sz w:val="20"/>
                <w:szCs w:val="20"/>
              </w:rPr>
              <w:t>MVA generally stimulates strong innate immune responses and does not require the use of adjuvants.</w:t>
            </w:r>
          </w:p>
        </w:tc>
      </w:tr>
      <w:tr w:rsidR="0054300C" w:rsidRPr="0054300C" w14:paraId="72F44DD9" w14:textId="77777777" w:rsidTr="004F5282">
        <w:tc>
          <w:tcPr>
            <w:tcW w:w="360" w:type="dxa"/>
            <w:tcMar>
              <w:top w:w="5" w:type="dxa"/>
              <w:left w:w="5" w:type="dxa"/>
              <w:bottom w:w="5" w:type="dxa"/>
              <w:right w:w="5" w:type="dxa"/>
            </w:tcMar>
            <w:hideMark/>
          </w:tcPr>
          <w:p w14:paraId="654D5266" w14:textId="77777777" w:rsidR="0054300C" w:rsidRPr="0054300C" w:rsidRDefault="0054300C" w:rsidP="0054300C">
            <w:pPr>
              <w:rPr>
                <w:sz w:val="20"/>
                <w:szCs w:val="20"/>
              </w:rPr>
            </w:pPr>
            <w:r w:rsidRPr="0054300C">
              <w:rPr>
                <w:b/>
                <w:bCs/>
                <w:i/>
                <w:iCs/>
                <w:sz w:val="20"/>
                <w:szCs w:val="20"/>
              </w:rPr>
              <w:t>●</w:t>
            </w:r>
          </w:p>
        </w:tc>
        <w:tc>
          <w:tcPr>
            <w:tcW w:w="0" w:type="auto"/>
            <w:tcMar>
              <w:top w:w="5" w:type="dxa"/>
              <w:left w:w="5" w:type="dxa"/>
              <w:bottom w:w="5" w:type="dxa"/>
              <w:right w:w="5" w:type="dxa"/>
            </w:tcMar>
            <w:hideMark/>
          </w:tcPr>
          <w:p w14:paraId="625F094A" w14:textId="77777777" w:rsidR="0054300C" w:rsidRPr="0054300C" w:rsidRDefault="0054300C" w:rsidP="0054300C">
            <w:pPr>
              <w:rPr>
                <w:sz w:val="20"/>
                <w:szCs w:val="20"/>
              </w:rPr>
            </w:pPr>
            <w:r w:rsidRPr="0054300C">
              <w:rPr>
                <w:b/>
                <w:bCs/>
                <w:i/>
                <w:iCs/>
                <w:sz w:val="20"/>
                <w:szCs w:val="20"/>
              </w:rPr>
              <w:t>Thermal stability:</w:t>
            </w:r>
            <w:r w:rsidRPr="0054300C">
              <w:rPr>
                <w:b/>
                <w:bCs/>
                <w:sz w:val="20"/>
                <w:szCs w:val="20"/>
              </w:rPr>
              <w:t xml:space="preserve"> </w:t>
            </w:r>
            <w:r w:rsidRPr="0054300C">
              <w:rPr>
                <w:sz w:val="20"/>
                <w:szCs w:val="20"/>
              </w:rPr>
              <w:t>MVA is stable in both liquid and lyophilized formats (&gt; 6 years of storage).</w:t>
            </w:r>
          </w:p>
        </w:tc>
      </w:tr>
      <w:tr w:rsidR="0054300C" w:rsidRPr="0054300C" w14:paraId="7862B180" w14:textId="77777777" w:rsidTr="004F5282">
        <w:tc>
          <w:tcPr>
            <w:tcW w:w="360" w:type="dxa"/>
            <w:tcMar>
              <w:top w:w="5" w:type="dxa"/>
              <w:left w:w="5" w:type="dxa"/>
              <w:bottom w:w="5" w:type="dxa"/>
              <w:right w:w="5" w:type="dxa"/>
            </w:tcMar>
            <w:hideMark/>
          </w:tcPr>
          <w:p w14:paraId="215B623D" w14:textId="77777777" w:rsidR="0054300C" w:rsidRPr="0054300C" w:rsidRDefault="0054300C" w:rsidP="0054300C">
            <w:pPr>
              <w:rPr>
                <w:sz w:val="20"/>
                <w:szCs w:val="20"/>
              </w:rPr>
            </w:pPr>
            <w:r w:rsidRPr="0054300C">
              <w:rPr>
                <w:b/>
                <w:bCs/>
                <w:i/>
                <w:iCs/>
                <w:sz w:val="20"/>
                <w:szCs w:val="20"/>
              </w:rPr>
              <w:t>●</w:t>
            </w:r>
          </w:p>
        </w:tc>
        <w:tc>
          <w:tcPr>
            <w:tcW w:w="0" w:type="auto"/>
            <w:tcMar>
              <w:top w:w="5" w:type="dxa"/>
              <w:left w:w="5" w:type="dxa"/>
              <w:bottom w:w="5" w:type="dxa"/>
              <w:right w:w="5" w:type="dxa"/>
            </w:tcMar>
            <w:hideMark/>
          </w:tcPr>
          <w:p w14:paraId="49D480EC" w14:textId="77777777" w:rsidR="0054300C" w:rsidRPr="0054300C" w:rsidRDefault="0054300C" w:rsidP="0054300C">
            <w:pPr>
              <w:rPr>
                <w:sz w:val="20"/>
                <w:szCs w:val="20"/>
              </w:rPr>
            </w:pPr>
            <w:r w:rsidRPr="0054300C">
              <w:rPr>
                <w:b/>
                <w:bCs/>
                <w:i/>
                <w:iCs/>
                <w:sz w:val="20"/>
                <w:szCs w:val="20"/>
              </w:rPr>
              <w:t>Genetic stability and manufacturability:</w:t>
            </w:r>
            <w:r w:rsidRPr="0054300C">
              <w:rPr>
                <w:b/>
                <w:bCs/>
                <w:sz w:val="20"/>
                <w:szCs w:val="20"/>
              </w:rPr>
              <w:t xml:space="preserve"> </w:t>
            </w:r>
            <w:r w:rsidRPr="0054300C">
              <w:rPr>
                <w:sz w:val="20"/>
                <w:szCs w:val="20"/>
              </w:rPr>
              <w:t>If appropriately engineered, MVA is genetically stable and can reliably be manufactured in either the established Chick Embryo Fibroblast cell substrate, or novel continuous cell lines that support scalability as well as greater process consistency and efficiency.</w:t>
            </w:r>
          </w:p>
        </w:tc>
      </w:tr>
    </w:tbl>
    <w:p w14:paraId="71DEB706" w14:textId="77777777" w:rsidR="00745DD1" w:rsidRPr="003221AE" w:rsidRDefault="00745DD1" w:rsidP="003E5A31">
      <w:pPr>
        <w:jc w:val="both"/>
        <w:rPr>
          <w:sz w:val="20"/>
          <w:szCs w:val="20"/>
        </w:rPr>
      </w:pPr>
    </w:p>
    <w:p w14:paraId="7C2D2AC7" w14:textId="77777777" w:rsidR="00212862" w:rsidRPr="00212862" w:rsidRDefault="00212862" w:rsidP="00212862">
      <w:pPr>
        <w:rPr>
          <w:sz w:val="20"/>
          <w:szCs w:val="20"/>
        </w:rPr>
      </w:pPr>
      <w:r w:rsidRPr="00212862">
        <w:rPr>
          <w:b/>
          <w:bCs/>
          <w:sz w:val="20"/>
          <w:szCs w:val="20"/>
        </w:rPr>
        <w:t>Support from the United States Government</w:t>
      </w:r>
    </w:p>
    <w:p w14:paraId="6BCF0296" w14:textId="77777777" w:rsidR="00212862" w:rsidRPr="00212862" w:rsidRDefault="00212862" w:rsidP="00212862">
      <w:pPr>
        <w:rPr>
          <w:sz w:val="20"/>
          <w:szCs w:val="20"/>
        </w:rPr>
      </w:pPr>
    </w:p>
    <w:p w14:paraId="7FA31CB7" w14:textId="77777777" w:rsidR="00212862" w:rsidRPr="00212862" w:rsidRDefault="00212862" w:rsidP="00212862">
      <w:pPr>
        <w:rPr>
          <w:sz w:val="20"/>
          <w:szCs w:val="20"/>
        </w:rPr>
      </w:pPr>
      <w:r w:rsidRPr="00212862">
        <w:rPr>
          <w:i/>
          <w:iCs/>
          <w:sz w:val="20"/>
          <w:szCs w:val="20"/>
        </w:rPr>
        <w:t>Grants and Contracts</w:t>
      </w:r>
      <w:r w:rsidRPr="00212862">
        <w:rPr>
          <w:sz w:val="20"/>
          <w:szCs w:val="20"/>
        </w:rPr>
        <w:t xml:space="preserve"> </w:t>
      </w:r>
    </w:p>
    <w:p w14:paraId="2F918BCC" w14:textId="77777777" w:rsidR="00212862" w:rsidRPr="00212862" w:rsidRDefault="00212862" w:rsidP="00212862">
      <w:pPr>
        <w:rPr>
          <w:sz w:val="20"/>
          <w:szCs w:val="20"/>
        </w:rPr>
      </w:pPr>
      <w:r w:rsidRPr="00212862">
        <w:rPr>
          <w:sz w:val="20"/>
          <w:szCs w:val="20"/>
        </w:rPr>
        <w:t xml:space="preserve"> </w:t>
      </w:r>
    </w:p>
    <w:p w14:paraId="7DACD990" w14:textId="77777777" w:rsidR="00212862" w:rsidRPr="00212862" w:rsidRDefault="00212862" w:rsidP="00212862">
      <w:pPr>
        <w:rPr>
          <w:sz w:val="20"/>
          <w:szCs w:val="20"/>
        </w:rPr>
      </w:pPr>
      <w:r w:rsidRPr="00212862">
        <w:rPr>
          <w:sz w:val="20"/>
          <w:szCs w:val="20"/>
        </w:rPr>
        <w:t>We have been the recipient of multiple federal grants and contracts in support of our vaccine development programs. Our most recent awards are as follows:</w:t>
      </w:r>
    </w:p>
    <w:p w14:paraId="6B235BF3" w14:textId="77777777" w:rsidR="00212862" w:rsidRPr="00212862" w:rsidRDefault="00212862" w:rsidP="00212862">
      <w:pPr>
        <w:rPr>
          <w:sz w:val="20"/>
          <w:szCs w:val="20"/>
        </w:rPr>
      </w:pPr>
      <w:r w:rsidRPr="00212862">
        <w:rPr>
          <w:sz w:val="20"/>
          <w:szCs w:val="20"/>
        </w:rPr>
        <w:t xml:space="preserve"> </w:t>
      </w:r>
    </w:p>
    <w:p w14:paraId="468B762F" w14:textId="77777777" w:rsidR="00212862" w:rsidRPr="00212862" w:rsidRDefault="00212862" w:rsidP="00212862">
      <w:pPr>
        <w:rPr>
          <w:sz w:val="20"/>
          <w:szCs w:val="20"/>
        </w:rPr>
      </w:pPr>
      <w:r w:rsidRPr="00212862">
        <w:rPr>
          <w:sz w:val="20"/>
          <w:szCs w:val="20"/>
        </w:rPr>
        <w:t xml:space="preserve">Lassa DoD Grant. In September 2018, the U.S. Department of Defense (DoD) awarded us a $2,442,307 cooperative agreement in support of our LASV vaccine development program. The grant was awarded by the U.S. Army Medical Research Acquisition Activity pursuant to the Peer Reviewed Medical Research Program (PRMRP), part of the Congressionally Directed Medical Research Programs (CDMRP). In addition to the grant funds provided directly to </w:t>
      </w:r>
      <w:proofErr w:type="spellStart"/>
      <w:r w:rsidRPr="00212862">
        <w:rPr>
          <w:sz w:val="20"/>
          <w:szCs w:val="20"/>
        </w:rPr>
        <w:t>GeoVax</w:t>
      </w:r>
      <w:proofErr w:type="spellEnd"/>
      <w:r w:rsidRPr="00212862">
        <w:rPr>
          <w:sz w:val="20"/>
          <w:szCs w:val="20"/>
        </w:rPr>
        <w:t>, DoD also funded testing of our vaccine by U.S. Army scientists under a separate subaward. The award, entitled “</w:t>
      </w:r>
      <w:r w:rsidRPr="00212862">
        <w:rPr>
          <w:i/>
          <w:iCs/>
          <w:sz w:val="20"/>
          <w:szCs w:val="20"/>
        </w:rPr>
        <w:t>Advanced Preclinical Development and Production of Master Seed Virus of GEO-LM01, a Novel MVA-VLP Vaccine Against Lassa Fev</w:t>
      </w:r>
      <w:r w:rsidRPr="00212862">
        <w:rPr>
          <w:sz w:val="20"/>
          <w:szCs w:val="20"/>
        </w:rPr>
        <w:t>er”, supports generation of immunogenicity and efficacy data for our vaccine candidate in both rodent and nonhuman primate models, as well as manufacturing process development and cGMP production of vaccine seed stock.</w:t>
      </w:r>
    </w:p>
    <w:p w14:paraId="6F41BB1E" w14:textId="77777777" w:rsidR="00212862" w:rsidRPr="00212862" w:rsidRDefault="00212862" w:rsidP="00212862">
      <w:pPr>
        <w:rPr>
          <w:sz w:val="20"/>
          <w:szCs w:val="20"/>
        </w:rPr>
      </w:pPr>
    </w:p>
    <w:p w14:paraId="47B46A21" w14:textId="77777777" w:rsidR="00212862" w:rsidRPr="00212862" w:rsidRDefault="00212862" w:rsidP="00212862">
      <w:pPr>
        <w:rPr>
          <w:sz w:val="20"/>
          <w:szCs w:val="20"/>
        </w:rPr>
      </w:pPr>
      <w:r w:rsidRPr="00212862">
        <w:rPr>
          <w:rFonts w:ascii="CG Times (WN)" w:hAnsi="CG Times (WN)"/>
          <w:sz w:val="20"/>
          <w:szCs w:val="20"/>
        </w:rPr>
        <w:t>COVID-19 SBIR Grant.  In January</w:t>
      </w:r>
      <w:r w:rsidRPr="00212862">
        <w:rPr>
          <w:rFonts w:ascii="CG Times (WN)" w:hAnsi="CG Times (WN)"/>
          <w:bCs/>
          <w:color w:val="000000"/>
          <w:sz w:val="20"/>
          <w:szCs w:val="20"/>
        </w:rPr>
        <w:t xml:space="preserve"> 2021, </w:t>
      </w:r>
      <w:r w:rsidRPr="00212862">
        <w:rPr>
          <w:rFonts w:ascii="CG Times (WN)" w:hAnsi="CG Times (WN)"/>
          <w:color w:val="000000"/>
          <w:sz w:val="20"/>
          <w:szCs w:val="20"/>
        </w:rPr>
        <w:t>NIAID awarded us a $299,927 Phase I SBIR grant in support of our development of a vaccine against SARS-CoV-2, the virus that causes COVID-19.  The grant, titled, “</w:t>
      </w:r>
      <w:r w:rsidRPr="00212862">
        <w:rPr>
          <w:rFonts w:ascii="CG Times (WN)" w:hAnsi="CG Times (WN)"/>
          <w:i/>
          <w:iCs/>
          <w:color w:val="000000"/>
          <w:sz w:val="20"/>
          <w:szCs w:val="20"/>
        </w:rPr>
        <w:t>Preclinical Development of GV-MVA-VLP Vaccines Against COVID-19,</w:t>
      </w:r>
      <w:r w:rsidRPr="00212862">
        <w:rPr>
          <w:rFonts w:ascii="CG Times (WN)" w:hAnsi="CG Times (WN)"/>
          <w:color w:val="000000"/>
          <w:sz w:val="20"/>
          <w:szCs w:val="20"/>
        </w:rPr>
        <w:t>” has supported the ongoing design, construction and preclinical testing of our vaccine candidates.</w:t>
      </w:r>
    </w:p>
    <w:p w14:paraId="6F58541E" w14:textId="77777777" w:rsidR="00212862" w:rsidRPr="00212862" w:rsidRDefault="00212862" w:rsidP="00212862">
      <w:pPr>
        <w:rPr>
          <w:sz w:val="20"/>
          <w:szCs w:val="20"/>
        </w:rPr>
      </w:pPr>
    </w:p>
    <w:p w14:paraId="2AA004D3" w14:textId="77777777" w:rsidR="00212862" w:rsidRPr="00212862" w:rsidRDefault="00212862" w:rsidP="00212862">
      <w:pPr>
        <w:rPr>
          <w:sz w:val="20"/>
          <w:szCs w:val="20"/>
        </w:rPr>
      </w:pPr>
      <w:r w:rsidRPr="00212862">
        <w:rPr>
          <w:i/>
          <w:iCs/>
          <w:sz w:val="20"/>
          <w:szCs w:val="20"/>
        </w:rPr>
        <w:t>Other Federal Support</w:t>
      </w:r>
    </w:p>
    <w:p w14:paraId="57E5EB4B" w14:textId="77777777" w:rsidR="00212862" w:rsidRPr="00212862" w:rsidRDefault="00212862" w:rsidP="00212862">
      <w:pPr>
        <w:rPr>
          <w:sz w:val="20"/>
          <w:szCs w:val="20"/>
        </w:rPr>
      </w:pPr>
      <w:r w:rsidRPr="00212862">
        <w:rPr>
          <w:sz w:val="20"/>
          <w:szCs w:val="20"/>
        </w:rPr>
        <w:t xml:space="preserve"> </w:t>
      </w:r>
    </w:p>
    <w:p w14:paraId="2A807184" w14:textId="77777777" w:rsidR="00212862" w:rsidRPr="00212862" w:rsidRDefault="00212862" w:rsidP="00212862">
      <w:pPr>
        <w:rPr>
          <w:sz w:val="20"/>
          <w:szCs w:val="20"/>
        </w:rPr>
      </w:pPr>
      <w:r w:rsidRPr="00212862">
        <w:rPr>
          <w:sz w:val="20"/>
          <w:szCs w:val="20"/>
        </w:rPr>
        <w:t>We have been the recipient of additional in-kind federal support through collaborative and intramural arrangements with CDC for our Zika vaccine program, the Rocky Mountain Laboratory facility of NIAID for our hemorrhagic fever virus vaccine program, and the United States Army Medical Research Institute of Infectious Diseases (USAMRIID) for our hemorrhagic fever virus vaccine program. This support generally has been for the conduct or support of preclinical animal studies on our behalf.</w:t>
      </w:r>
    </w:p>
    <w:p w14:paraId="1C8FA38E" w14:textId="77777777" w:rsidR="00212862" w:rsidRPr="00212862" w:rsidRDefault="00212862" w:rsidP="00212862">
      <w:pPr>
        <w:rPr>
          <w:sz w:val="20"/>
          <w:szCs w:val="20"/>
        </w:rPr>
      </w:pPr>
    </w:p>
    <w:p w14:paraId="4D8246D1" w14:textId="77777777" w:rsidR="00212862" w:rsidRPr="00212862" w:rsidRDefault="00212862" w:rsidP="00212862">
      <w:pPr>
        <w:rPr>
          <w:sz w:val="20"/>
          <w:szCs w:val="20"/>
        </w:rPr>
      </w:pPr>
      <w:r w:rsidRPr="00212862">
        <w:rPr>
          <w:b/>
          <w:bCs/>
          <w:sz w:val="20"/>
          <w:szCs w:val="20"/>
        </w:rPr>
        <w:t>Government Regulation</w:t>
      </w:r>
    </w:p>
    <w:p w14:paraId="19E39DAA" w14:textId="77777777" w:rsidR="00212862" w:rsidRPr="00212862" w:rsidRDefault="00212862" w:rsidP="00212862">
      <w:pPr>
        <w:rPr>
          <w:sz w:val="20"/>
          <w:szCs w:val="20"/>
        </w:rPr>
      </w:pPr>
      <w:r w:rsidRPr="00212862">
        <w:rPr>
          <w:sz w:val="20"/>
          <w:szCs w:val="20"/>
        </w:rPr>
        <w:t xml:space="preserve"> </w:t>
      </w:r>
    </w:p>
    <w:p w14:paraId="4C243F26" w14:textId="77777777" w:rsidR="00212862" w:rsidRPr="00212862" w:rsidRDefault="00212862" w:rsidP="00212862">
      <w:pPr>
        <w:rPr>
          <w:sz w:val="20"/>
          <w:szCs w:val="20"/>
        </w:rPr>
      </w:pPr>
      <w:r w:rsidRPr="00212862">
        <w:rPr>
          <w:sz w:val="20"/>
          <w:szCs w:val="20"/>
        </w:rPr>
        <w:t>Regulation by governmental authorities in the United States and other countries is a significant factor in our ongoing research and development activities and in the manufacture of our products. Complying with these regulations involves considerable expertise, time and expense.</w:t>
      </w:r>
    </w:p>
    <w:p w14:paraId="25977E15" w14:textId="77777777" w:rsidR="00212862" w:rsidRPr="00212862" w:rsidRDefault="00212862" w:rsidP="00212862">
      <w:pPr>
        <w:rPr>
          <w:sz w:val="20"/>
          <w:szCs w:val="20"/>
        </w:rPr>
      </w:pPr>
      <w:r w:rsidRPr="00212862">
        <w:rPr>
          <w:sz w:val="20"/>
          <w:szCs w:val="20"/>
        </w:rPr>
        <w:t xml:space="preserve"> </w:t>
      </w:r>
    </w:p>
    <w:p w14:paraId="3FCCA6F9" w14:textId="77777777" w:rsidR="00212862" w:rsidRPr="00212862" w:rsidRDefault="00212862" w:rsidP="00212862">
      <w:pPr>
        <w:rPr>
          <w:sz w:val="20"/>
          <w:szCs w:val="20"/>
        </w:rPr>
      </w:pPr>
      <w:r w:rsidRPr="00212862">
        <w:rPr>
          <w:sz w:val="20"/>
          <w:szCs w:val="20"/>
        </w:rPr>
        <w:t>In the United States, drugs and biologics are subject to rigorous federal and state regulation. Our products are regulated under the Federal Food, Drug and Cosmetic Act (FD&amp;C Act), the Public Health Service Act, and the regulations promulgated under these statutes, and other federal and state statutes and regulations. These laws govern, among other things, the testing, manufacture, safety, efficacy, labeling, storage, record keeping, approval, advertising and promotion of medications and medical devices. Product development and approval within this regulatory framework is difficult to predict, takes several years and involves great expense. The steps required before a human vaccine may be marketed in the United States include:</w:t>
      </w:r>
    </w:p>
    <w:p w14:paraId="292E72E7" w14:textId="77777777" w:rsidR="00212862" w:rsidRPr="00212862" w:rsidRDefault="00212862" w:rsidP="00212862">
      <w:pPr>
        <w:rPr>
          <w:sz w:val="20"/>
          <w:szCs w:val="20"/>
        </w:rPr>
      </w:pPr>
      <w:r w:rsidRPr="00212862">
        <w:rPr>
          <w:sz w:val="20"/>
          <w:szCs w:val="20"/>
        </w:rPr>
        <w:t xml:space="preserve"> </w:t>
      </w:r>
    </w:p>
    <w:tbl>
      <w:tblPr>
        <w:tblW w:w="5000" w:type="pct"/>
        <w:tblInd w:w="149" w:type="dxa"/>
        <w:tblCellMar>
          <w:left w:w="0" w:type="dxa"/>
          <w:right w:w="0" w:type="dxa"/>
        </w:tblCellMar>
        <w:tblLook w:val="04A0" w:firstRow="1" w:lastRow="0" w:firstColumn="1" w:lastColumn="0" w:noHBand="0" w:noVBand="1"/>
      </w:tblPr>
      <w:tblGrid>
        <w:gridCol w:w="360"/>
        <w:gridCol w:w="9000"/>
      </w:tblGrid>
      <w:tr w:rsidR="00212862" w:rsidRPr="00212862" w14:paraId="3B3E6690" w14:textId="77777777" w:rsidTr="004F5282">
        <w:tc>
          <w:tcPr>
            <w:tcW w:w="360" w:type="dxa"/>
            <w:tcMar>
              <w:top w:w="5" w:type="dxa"/>
              <w:left w:w="5" w:type="dxa"/>
              <w:bottom w:w="5" w:type="dxa"/>
              <w:right w:w="5" w:type="dxa"/>
            </w:tcMar>
            <w:hideMark/>
          </w:tcPr>
          <w:p w14:paraId="75FAD697" w14:textId="77777777" w:rsidR="00212862" w:rsidRPr="00212862" w:rsidRDefault="00212862" w:rsidP="00212862">
            <w:pPr>
              <w:rPr>
                <w:sz w:val="20"/>
                <w:szCs w:val="20"/>
              </w:rPr>
            </w:pPr>
            <w:r w:rsidRPr="00212862">
              <w:rPr>
                <w:sz w:val="20"/>
                <w:szCs w:val="20"/>
              </w:rPr>
              <w:lastRenderedPageBreak/>
              <w:t>●</w:t>
            </w:r>
          </w:p>
        </w:tc>
        <w:tc>
          <w:tcPr>
            <w:tcW w:w="0" w:type="auto"/>
            <w:tcMar>
              <w:top w:w="5" w:type="dxa"/>
              <w:left w:w="5" w:type="dxa"/>
              <w:bottom w:w="5" w:type="dxa"/>
              <w:right w:w="5" w:type="dxa"/>
            </w:tcMar>
            <w:hideMark/>
          </w:tcPr>
          <w:p w14:paraId="3307546B" w14:textId="77777777" w:rsidR="00212862" w:rsidRPr="00212862" w:rsidRDefault="00212862" w:rsidP="00212862">
            <w:pPr>
              <w:rPr>
                <w:sz w:val="20"/>
                <w:szCs w:val="20"/>
              </w:rPr>
            </w:pPr>
            <w:r w:rsidRPr="00212862">
              <w:rPr>
                <w:sz w:val="20"/>
                <w:szCs w:val="20"/>
              </w:rPr>
              <w:t>Preclinical laboratory tests, in vivo preclinical studies and formulation studies;</w:t>
            </w:r>
          </w:p>
        </w:tc>
      </w:tr>
      <w:tr w:rsidR="00212862" w:rsidRPr="00212862" w14:paraId="680CCCBF" w14:textId="77777777" w:rsidTr="004F5282">
        <w:tc>
          <w:tcPr>
            <w:tcW w:w="360" w:type="dxa"/>
            <w:tcMar>
              <w:top w:w="5" w:type="dxa"/>
              <w:left w:w="5" w:type="dxa"/>
              <w:bottom w:w="5" w:type="dxa"/>
              <w:right w:w="5" w:type="dxa"/>
            </w:tcMar>
            <w:hideMark/>
          </w:tcPr>
          <w:p w14:paraId="63F1660C" w14:textId="77777777" w:rsidR="00212862" w:rsidRPr="00212862" w:rsidRDefault="00212862" w:rsidP="00212862">
            <w:pPr>
              <w:rPr>
                <w:sz w:val="20"/>
                <w:szCs w:val="20"/>
              </w:rPr>
            </w:pPr>
            <w:r w:rsidRPr="00212862">
              <w:rPr>
                <w:sz w:val="20"/>
                <w:szCs w:val="20"/>
              </w:rPr>
              <w:t>●</w:t>
            </w:r>
          </w:p>
        </w:tc>
        <w:tc>
          <w:tcPr>
            <w:tcW w:w="0" w:type="auto"/>
            <w:tcMar>
              <w:top w:w="5" w:type="dxa"/>
              <w:left w:w="5" w:type="dxa"/>
              <w:bottom w:w="5" w:type="dxa"/>
              <w:right w:w="5" w:type="dxa"/>
            </w:tcMar>
            <w:hideMark/>
          </w:tcPr>
          <w:p w14:paraId="3EE4BBFE" w14:textId="77777777" w:rsidR="00212862" w:rsidRPr="00212862" w:rsidRDefault="00212862" w:rsidP="00212862">
            <w:pPr>
              <w:rPr>
                <w:sz w:val="20"/>
                <w:szCs w:val="20"/>
              </w:rPr>
            </w:pPr>
            <w:r w:rsidRPr="00212862">
              <w:rPr>
                <w:sz w:val="20"/>
                <w:szCs w:val="20"/>
              </w:rPr>
              <w:t>Manufacturing and testing of the product under strict compliance with current Good Manufacturing Practice (cGMP) regulations;</w:t>
            </w:r>
          </w:p>
        </w:tc>
      </w:tr>
      <w:tr w:rsidR="00212862" w:rsidRPr="00212862" w14:paraId="16C36FB7" w14:textId="77777777" w:rsidTr="004F5282">
        <w:tc>
          <w:tcPr>
            <w:tcW w:w="360" w:type="dxa"/>
            <w:tcMar>
              <w:top w:w="5" w:type="dxa"/>
              <w:left w:w="5" w:type="dxa"/>
              <w:bottom w:w="5" w:type="dxa"/>
              <w:right w:w="5" w:type="dxa"/>
            </w:tcMar>
            <w:hideMark/>
          </w:tcPr>
          <w:p w14:paraId="4E17B48C" w14:textId="77777777" w:rsidR="00212862" w:rsidRPr="00212862" w:rsidRDefault="00212862" w:rsidP="00212862">
            <w:pPr>
              <w:rPr>
                <w:sz w:val="20"/>
                <w:szCs w:val="20"/>
              </w:rPr>
            </w:pPr>
            <w:r w:rsidRPr="00212862">
              <w:rPr>
                <w:sz w:val="20"/>
                <w:szCs w:val="20"/>
              </w:rPr>
              <w:t>●</w:t>
            </w:r>
          </w:p>
        </w:tc>
        <w:tc>
          <w:tcPr>
            <w:tcW w:w="0" w:type="auto"/>
            <w:tcMar>
              <w:top w:w="5" w:type="dxa"/>
              <w:left w:w="5" w:type="dxa"/>
              <w:bottom w:w="5" w:type="dxa"/>
              <w:right w:w="5" w:type="dxa"/>
            </w:tcMar>
            <w:hideMark/>
          </w:tcPr>
          <w:p w14:paraId="7E762DAE" w14:textId="77777777" w:rsidR="00212862" w:rsidRPr="00212862" w:rsidRDefault="00212862" w:rsidP="00212862">
            <w:pPr>
              <w:rPr>
                <w:sz w:val="20"/>
                <w:szCs w:val="20"/>
              </w:rPr>
            </w:pPr>
            <w:r w:rsidRPr="00212862">
              <w:rPr>
                <w:sz w:val="20"/>
                <w:szCs w:val="20"/>
              </w:rPr>
              <w:t>Submission to the FDA of an Investigational New Drug application for human clinical testing which must become effective before human clinical trials can commence;</w:t>
            </w:r>
          </w:p>
        </w:tc>
      </w:tr>
      <w:tr w:rsidR="00212862" w:rsidRPr="00212862" w14:paraId="47735C7C" w14:textId="77777777" w:rsidTr="004F5282">
        <w:tc>
          <w:tcPr>
            <w:tcW w:w="360" w:type="dxa"/>
            <w:tcMar>
              <w:top w:w="5" w:type="dxa"/>
              <w:left w:w="5" w:type="dxa"/>
              <w:bottom w:w="5" w:type="dxa"/>
              <w:right w:w="5" w:type="dxa"/>
            </w:tcMar>
            <w:hideMark/>
          </w:tcPr>
          <w:p w14:paraId="62A16A90" w14:textId="77777777" w:rsidR="00212862" w:rsidRPr="00212862" w:rsidRDefault="00212862" w:rsidP="00212862">
            <w:pPr>
              <w:rPr>
                <w:sz w:val="20"/>
                <w:szCs w:val="20"/>
              </w:rPr>
            </w:pPr>
            <w:r w:rsidRPr="00212862">
              <w:rPr>
                <w:sz w:val="20"/>
                <w:szCs w:val="20"/>
              </w:rPr>
              <w:t>●</w:t>
            </w:r>
          </w:p>
        </w:tc>
        <w:tc>
          <w:tcPr>
            <w:tcW w:w="0" w:type="auto"/>
            <w:tcMar>
              <w:top w:w="5" w:type="dxa"/>
              <w:left w:w="5" w:type="dxa"/>
              <w:bottom w:w="5" w:type="dxa"/>
              <w:right w:w="5" w:type="dxa"/>
            </w:tcMar>
            <w:hideMark/>
          </w:tcPr>
          <w:p w14:paraId="65820129" w14:textId="77777777" w:rsidR="00212862" w:rsidRPr="00212862" w:rsidRDefault="00212862" w:rsidP="00212862">
            <w:pPr>
              <w:rPr>
                <w:sz w:val="20"/>
                <w:szCs w:val="20"/>
              </w:rPr>
            </w:pPr>
            <w:r w:rsidRPr="00212862">
              <w:rPr>
                <w:sz w:val="20"/>
                <w:szCs w:val="20"/>
              </w:rPr>
              <w:t>Adequate and well-controlled human clinical trials to establish the safety and efficacy of the product;</w:t>
            </w:r>
          </w:p>
        </w:tc>
      </w:tr>
      <w:tr w:rsidR="00212862" w:rsidRPr="00212862" w14:paraId="6808084C" w14:textId="77777777" w:rsidTr="004F5282">
        <w:tc>
          <w:tcPr>
            <w:tcW w:w="360" w:type="dxa"/>
            <w:tcMar>
              <w:top w:w="5" w:type="dxa"/>
              <w:left w:w="5" w:type="dxa"/>
              <w:bottom w:w="5" w:type="dxa"/>
              <w:right w:w="5" w:type="dxa"/>
            </w:tcMar>
            <w:hideMark/>
          </w:tcPr>
          <w:p w14:paraId="2FAFCBAD" w14:textId="77777777" w:rsidR="00212862" w:rsidRPr="00212862" w:rsidRDefault="00212862" w:rsidP="00212862">
            <w:pPr>
              <w:rPr>
                <w:sz w:val="20"/>
                <w:szCs w:val="20"/>
              </w:rPr>
            </w:pPr>
            <w:r w:rsidRPr="00212862">
              <w:rPr>
                <w:sz w:val="20"/>
                <w:szCs w:val="20"/>
              </w:rPr>
              <w:t>●</w:t>
            </w:r>
          </w:p>
        </w:tc>
        <w:tc>
          <w:tcPr>
            <w:tcW w:w="0" w:type="auto"/>
            <w:tcMar>
              <w:top w:w="5" w:type="dxa"/>
              <w:left w:w="5" w:type="dxa"/>
              <w:bottom w:w="5" w:type="dxa"/>
              <w:right w:w="5" w:type="dxa"/>
            </w:tcMar>
            <w:hideMark/>
          </w:tcPr>
          <w:p w14:paraId="06258265" w14:textId="77777777" w:rsidR="00212862" w:rsidRPr="00212862" w:rsidRDefault="00212862" w:rsidP="00212862">
            <w:pPr>
              <w:rPr>
                <w:sz w:val="20"/>
                <w:szCs w:val="20"/>
              </w:rPr>
            </w:pPr>
            <w:r w:rsidRPr="00212862">
              <w:rPr>
                <w:sz w:val="20"/>
                <w:szCs w:val="20"/>
              </w:rPr>
              <w:t>The submission of a Biologics License Application to the FDA, along with the required user fees; and</w:t>
            </w:r>
          </w:p>
        </w:tc>
      </w:tr>
      <w:tr w:rsidR="00212862" w:rsidRPr="00212862" w14:paraId="281B3F27" w14:textId="77777777" w:rsidTr="004F5282">
        <w:tc>
          <w:tcPr>
            <w:tcW w:w="360" w:type="dxa"/>
            <w:tcMar>
              <w:top w:w="5" w:type="dxa"/>
              <w:left w:w="5" w:type="dxa"/>
              <w:bottom w:w="5" w:type="dxa"/>
              <w:right w:w="5" w:type="dxa"/>
            </w:tcMar>
            <w:hideMark/>
          </w:tcPr>
          <w:p w14:paraId="173340E0" w14:textId="77777777" w:rsidR="00212862" w:rsidRPr="00212862" w:rsidRDefault="00212862" w:rsidP="00212862">
            <w:pPr>
              <w:rPr>
                <w:sz w:val="20"/>
                <w:szCs w:val="20"/>
              </w:rPr>
            </w:pPr>
            <w:r w:rsidRPr="00212862">
              <w:rPr>
                <w:sz w:val="20"/>
                <w:szCs w:val="20"/>
              </w:rPr>
              <w:t>●</w:t>
            </w:r>
          </w:p>
        </w:tc>
        <w:tc>
          <w:tcPr>
            <w:tcW w:w="0" w:type="auto"/>
            <w:tcMar>
              <w:top w:w="5" w:type="dxa"/>
              <w:left w:w="5" w:type="dxa"/>
              <w:bottom w:w="5" w:type="dxa"/>
              <w:right w:w="5" w:type="dxa"/>
            </w:tcMar>
            <w:hideMark/>
          </w:tcPr>
          <w:p w14:paraId="244C8F1E" w14:textId="77777777" w:rsidR="00212862" w:rsidRPr="00212862" w:rsidRDefault="00212862" w:rsidP="00212862">
            <w:pPr>
              <w:rPr>
                <w:sz w:val="20"/>
                <w:szCs w:val="20"/>
              </w:rPr>
            </w:pPr>
            <w:r w:rsidRPr="00212862">
              <w:rPr>
                <w:sz w:val="20"/>
                <w:szCs w:val="20"/>
              </w:rPr>
              <w:t>FDA approval of the BLA prior to any commercial sale or shipment of the product</w:t>
            </w:r>
          </w:p>
        </w:tc>
      </w:tr>
    </w:tbl>
    <w:p w14:paraId="3852790F" w14:textId="77777777" w:rsidR="00212862" w:rsidRPr="00212862" w:rsidRDefault="00212862" w:rsidP="00212862">
      <w:pPr>
        <w:rPr>
          <w:sz w:val="20"/>
          <w:szCs w:val="20"/>
        </w:rPr>
      </w:pPr>
      <w:r w:rsidRPr="00212862">
        <w:rPr>
          <w:sz w:val="20"/>
          <w:szCs w:val="20"/>
        </w:rPr>
        <w:t xml:space="preserve"> </w:t>
      </w:r>
    </w:p>
    <w:p w14:paraId="4EFB0FA3" w14:textId="77777777" w:rsidR="00212862" w:rsidRPr="00212862" w:rsidRDefault="00212862" w:rsidP="00212862">
      <w:pPr>
        <w:rPr>
          <w:sz w:val="20"/>
          <w:szCs w:val="20"/>
        </w:rPr>
      </w:pPr>
      <w:r w:rsidRPr="00212862">
        <w:rPr>
          <w:sz w:val="20"/>
          <w:szCs w:val="20"/>
        </w:rPr>
        <w:t>Before marketing any drug or biologic for human use in the United States, the product sponsor must obtain FDA approval. In addition, each manufacturing establishment must be registered with the FDA and must pass a pre-approval inspection before introducing any new drug or biologic into commercial distribution.</w:t>
      </w:r>
    </w:p>
    <w:p w14:paraId="1093BC3B" w14:textId="77777777" w:rsidR="00212862" w:rsidRPr="00212862" w:rsidRDefault="00212862" w:rsidP="00212862">
      <w:pPr>
        <w:rPr>
          <w:sz w:val="20"/>
          <w:szCs w:val="20"/>
        </w:rPr>
      </w:pPr>
    </w:p>
    <w:p w14:paraId="0EA8D903" w14:textId="77777777" w:rsidR="00212862" w:rsidRPr="00212862" w:rsidRDefault="00212862" w:rsidP="00212862">
      <w:pPr>
        <w:rPr>
          <w:sz w:val="20"/>
          <w:szCs w:val="20"/>
        </w:rPr>
      </w:pPr>
      <w:r w:rsidRPr="00212862">
        <w:rPr>
          <w:sz w:val="20"/>
          <w:szCs w:val="20"/>
        </w:rPr>
        <w:t xml:space="preserve">The Emergency Use Authorization (EUA) authority granted to the FDA allows the FDA to help strengthen the nation’s public health protections against certain threats by facilitating the availability and use of medical countermeasures needed during public health emergencies. Under section 564 of the FD&amp;C Act, the FDA Commissioner may allow unapproved medical products or unapproved uses of approved medical products to be used in an emergency to diagnose, treat, or prevent serious or life-threatening diseases or conditions caused by threat agents when there are no adequate, approved, and available alternatives. This potentially may provide a faster pathway to market for our COVID-19 or other infectious disease vaccine candidates.  This was the approval pathway followed by Pfizer-BioNTech and Moderna for their respective COVID-19 vaccines.  </w:t>
      </w:r>
    </w:p>
    <w:p w14:paraId="7E99F6B1" w14:textId="77777777" w:rsidR="00212862" w:rsidRPr="00212862" w:rsidRDefault="00212862" w:rsidP="00212862">
      <w:pPr>
        <w:rPr>
          <w:sz w:val="20"/>
          <w:szCs w:val="20"/>
        </w:rPr>
      </w:pPr>
      <w:r w:rsidRPr="00212862">
        <w:rPr>
          <w:sz w:val="20"/>
          <w:szCs w:val="20"/>
        </w:rPr>
        <w:t xml:space="preserve"> </w:t>
      </w:r>
    </w:p>
    <w:p w14:paraId="7399E3C0" w14:textId="77777777" w:rsidR="00212862" w:rsidRPr="00212862" w:rsidRDefault="00212862" w:rsidP="00212862">
      <w:pPr>
        <w:rPr>
          <w:sz w:val="20"/>
          <w:szCs w:val="20"/>
        </w:rPr>
      </w:pPr>
      <w:r w:rsidRPr="00212862">
        <w:rPr>
          <w:sz w:val="20"/>
          <w:szCs w:val="20"/>
        </w:rPr>
        <w:t xml:space="preserve">Because </w:t>
      </w:r>
      <w:proofErr w:type="spellStart"/>
      <w:r w:rsidRPr="00212862">
        <w:rPr>
          <w:sz w:val="20"/>
          <w:szCs w:val="20"/>
        </w:rPr>
        <w:t>GeoVax</w:t>
      </w:r>
      <w:proofErr w:type="spellEnd"/>
      <w:r w:rsidRPr="00212862">
        <w:rPr>
          <w:sz w:val="20"/>
          <w:szCs w:val="20"/>
        </w:rPr>
        <w:t xml:space="preserve"> does not manufacture vaccines for human use within our own facilities, we must ensure compliance both in our own operations and in the outsourced manufacturing operations. All FDA-regulated manufacturing establishments (both domestic establishments and foreign establishments that export products to the United States) are subject to inspections by the FDA and must comply with the FDA’s cGMP regulations for products, drugs and devices.</w:t>
      </w:r>
    </w:p>
    <w:p w14:paraId="71C33BE7" w14:textId="77777777" w:rsidR="00212862" w:rsidRPr="00212862" w:rsidRDefault="00212862" w:rsidP="00212862">
      <w:pPr>
        <w:rPr>
          <w:sz w:val="20"/>
          <w:szCs w:val="20"/>
        </w:rPr>
      </w:pPr>
      <w:r w:rsidRPr="00212862">
        <w:rPr>
          <w:sz w:val="20"/>
          <w:szCs w:val="20"/>
        </w:rPr>
        <w:t xml:space="preserve"> </w:t>
      </w:r>
    </w:p>
    <w:p w14:paraId="69DDF032" w14:textId="77777777" w:rsidR="00212862" w:rsidRPr="00212862" w:rsidRDefault="00212862" w:rsidP="00212862">
      <w:pPr>
        <w:rPr>
          <w:sz w:val="20"/>
          <w:szCs w:val="20"/>
        </w:rPr>
      </w:pPr>
      <w:r w:rsidRPr="00212862">
        <w:rPr>
          <w:sz w:val="20"/>
          <w:szCs w:val="20"/>
        </w:rPr>
        <w:t>The FDA determines compliance with applicable statutes and regulations through documentation review, investigations, and inspections. Several enforcement mechanisms are available to the FDA, ranging from a simple demand to correct a minor deficiency to mandatory recalls, closure of facilities, and even criminal charges for the most serious violations.</w:t>
      </w:r>
    </w:p>
    <w:p w14:paraId="0254A1EF" w14:textId="77777777" w:rsidR="00212862" w:rsidRPr="00212862" w:rsidRDefault="00212862" w:rsidP="00212862">
      <w:pPr>
        <w:rPr>
          <w:sz w:val="20"/>
          <w:szCs w:val="20"/>
        </w:rPr>
      </w:pPr>
      <w:r w:rsidRPr="00212862">
        <w:rPr>
          <w:sz w:val="20"/>
          <w:szCs w:val="20"/>
        </w:rPr>
        <w:t xml:space="preserve"> </w:t>
      </w:r>
    </w:p>
    <w:p w14:paraId="03D4F34B" w14:textId="77777777" w:rsidR="00212862" w:rsidRPr="00212862" w:rsidRDefault="00212862" w:rsidP="00212862">
      <w:pPr>
        <w:rPr>
          <w:sz w:val="20"/>
          <w:szCs w:val="20"/>
        </w:rPr>
      </w:pPr>
      <w:r w:rsidRPr="00212862">
        <w:rPr>
          <w:sz w:val="20"/>
          <w:szCs w:val="20"/>
        </w:rPr>
        <w:t>Even if FDA regulatory clearances are obtained, a marketed product is subject to continual review, and later discovery of previously unknown problems or failure to comply with the applicable regulatory requirements may result in restrictions on the marketing of a product or withdrawal of the product from the market as well as possible civil or criminal sanctions.</w:t>
      </w:r>
    </w:p>
    <w:p w14:paraId="1B8630D5" w14:textId="77777777" w:rsidR="00212862" w:rsidRPr="00212862" w:rsidRDefault="00212862" w:rsidP="00212862">
      <w:pPr>
        <w:rPr>
          <w:sz w:val="20"/>
          <w:szCs w:val="20"/>
        </w:rPr>
      </w:pPr>
      <w:r w:rsidRPr="00212862">
        <w:rPr>
          <w:sz w:val="20"/>
          <w:szCs w:val="20"/>
        </w:rPr>
        <w:t xml:space="preserve"> </w:t>
      </w:r>
    </w:p>
    <w:p w14:paraId="060C28C6" w14:textId="77777777" w:rsidR="00212862" w:rsidRPr="00212862" w:rsidRDefault="00212862" w:rsidP="00212862">
      <w:pPr>
        <w:rPr>
          <w:sz w:val="20"/>
          <w:szCs w:val="20"/>
        </w:rPr>
      </w:pPr>
      <w:r w:rsidRPr="00212862">
        <w:rPr>
          <w:sz w:val="20"/>
          <w:szCs w:val="20"/>
        </w:rPr>
        <w:t>Whether or not the FDA has approved the drug, approval of a product by regulatory authorities in foreign countries must be obtained prior to the commencement of commercial sales of the drug in such countries. The requirements governing the conduct of clinical trials and drug approvals vary widely from country to country, and the time required for approval may be longer or shorter than that required for FDA approval.</w:t>
      </w:r>
    </w:p>
    <w:p w14:paraId="1B84F083" w14:textId="77777777" w:rsidR="00212862" w:rsidRPr="00212862" w:rsidRDefault="00212862" w:rsidP="00212862">
      <w:pPr>
        <w:rPr>
          <w:sz w:val="20"/>
          <w:szCs w:val="20"/>
        </w:rPr>
      </w:pPr>
      <w:r w:rsidRPr="00212862">
        <w:rPr>
          <w:sz w:val="20"/>
          <w:szCs w:val="20"/>
        </w:rPr>
        <w:t xml:space="preserve"> </w:t>
      </w:r>
    </w:p>
    <w:p w14:paraId="560B92BD" w14:textId="77777777" w:rsidR="00212862" w:rsidRPr="00212862" w:rsidRDefault="00212862" w:rsidP="00212862">
      <w:pPr>
        <w:rPr>
          <w:sz w:val="20"/>
          <w:szCs w:val="20"/>
        </w:rPr>
      </w:pPr>
      <w:r w:rsidRPr="00212862">
        <w:rPr>
          <w:sz w:val="20"/>
          <w:szCs w:val="20"/>
        </w:rPr>
        <w:t>We also are subject to various federal, state and local laws, regulations, and recommendations relating to safe working conditions, laboratory and manufacturing practices, the experimental use of animals, and the use and disposal of hazardous or potentially hazardous substances used in connection with our research. The extent of government regulation that might result from any future legislation or administrative action cannot be accurately predicted.</w:t>
      </w:r>
    </w:p>
    <w:p w14:paraId="15094740" w14:textId="77777777" w:rsidR="00212862" w:rsidRPr="00212862" w:rsidRDefault="00212862" w:rsidP="00212862">
      <w:pPr>
        <w:rPr>
          <w:sz w:val="20"/>
          <w:szCs w:val="20"/>
        </w:rPr>
      </w:pPr>
      <w:r w:rsidRPr="00212862">
        <w:rPr>
          <w:sz w:val="20"/>
          <w:szCs w:val="20"/>
        </w:rPr>
        <w:t xml:space="preserve"> </w:t>
      </w:r>
    </w:p>
    <w:p w14:paraId="1FFF114F" w14:textId="77777777" w:rsidR="00212862" w:rsidRPr="00212862" w:rsidRDefault="00212862" w:rsidP="00212862">
      <w:pPr>
        <w:rPr>
          <w:sz w:val="20"/>
          <w:szCs w:val="20"/>
        </w:rPr>
      </w:pPr>
      <w:r w:rsidRPr="00212862">
        <w:rPr>
          <w:b/>
          <w:bCs/>
          <w:sz w:val="20"/>
          <w:szCs w:val="20"/>
        </w:rPr>
        <w:t>FDA Tropical Disease Priority Review Voucher Program</w:t>
      </w:r>
    </w:p>
    <w:p w14:paraId="1747B9E0" w14:textId="77777777" w:rsidR="00212862" w:rsidRPr="00212862" w:rsidRDefault="00212862" w:rsidP="00212862">
      <w:pPr>
        <w:rPr>
          <w:sz w:val="20"/>
          <w:szCs w:val="20"/>
        </w:rPr>
      </w:pPr>
      <w:r w:rsidRPr="00212862">
        <w:rPr>
          <w:b/>
          <w:bCs/>
          <w:sz w:val="20"/>
          <w:szCs w:val="20"/>
        </w:rPr>
        <w:t xml:space="preserve"> </w:t>
      </w:r>
    </w:p>
    <w:p w14:paraId="35B2865D" w14:textId="77777777" w:rsidR="00212862" w:rsidRPr="00212862" w:rsidRDefault="00212862" w:rsidP="00212862">
      <w:pPr>
        <w:rPr>
          <w:sz w:val="20"/>
          <w:szCs w:val="20"/>
        </w:rPr>
      </w:pPr>
      <w:r w:rsidRPr="00212862">
        <w:rPr>
          <w:sz w:val="20"/>
          <w:szCs w:val="20"/>
        </w:rPr>
        <w:t xml:space="preserve">Section 524 of the FD&amp;C Act authorizes the FDA to award priority review vouchers (PRVs) to sponsors of approved tropical disease product applications that meet certain criteria. To qualify for a PRV, a sponsor’s application must be for a drug or biological product for the prevention or treatment of a “tropical disease,” must otherwise qualify for priority review, and must contain no active ingredient (including any salt or ester of an active </w:t>
      </w:r>
      <w:r w:rsidRPr="00212862">
        <w:rPr>
          <w:sz w:val="20"/>
          <w:szCs w:val="20"/>
        </w:rPr>
        <w:lastRenderedPageBreak/>
        <w:t>ingredient) that has been approved in any other application under Section 505(b)(1) of the FD&amp;C Act or section 351 of the Public Health Services Act.  Priority review means that the FDA aims to render a decision in 6 months.</w:t>
      </w:r>
    </w:p>
    <w:p w14:paraId="1CD97C46" w14:textId="77777777" w:rsidR="00212862" w:rsidRPr="00212862" w:rsidRDefault="00212862" w:rsidP="00212862">
      <w:pPr>
        <w:rPr>
          <w:sz w:val="20"/>
          <w:szCs w:val="20"/>
        </w:rPr>
      </w:pPr>
      <w:r w:rsidRPr="00212862">
        <w:rPr>
          <w:sz w:val="20"/>
          <w:szCs w:val="20"/>
        </w:rPr>
        <w:t xml:space="preserve"> </w:t>
      </w:r>
    </w:p>
    <w:p w14:paraId="5E813EC7" w14:textId="77777777" w:rsidR="00212862" w:rsidRPr="00212862" w:rsidRDefault="00212862" w:rsidP="00212862">
      <w:pPr>
        <w:rPr>
          <w:sz w:val="20"/>
          <w:szCs w:val="20"/>
        </w:rPr>
      </w:pPr>
      <w:r w:rsidRPr="00212862">
        <w:rPr>
          <w:sz w:val="20"/>
          <w:szCs w:val="20"/>
        </w:rPr>
        <w:t>The PRV may be sold. For example, a small company might win a voucher for developing a drug for a neglected disease and sell the voucher to a large company for use on a commercial disease. The price of the voucher depends on supply and demand. The voucher’s value derives from three factors: shifting sales earlier, longer effective patent life due to earlier entry, and competitive benefits from earlier entry relative to competitors. Top-selling treatments can yield billions in sales each year, so being approved months earlier can be worth hundreds of millions of dollars to the voucher. Since the first voucher sale in 2014, the price of the vouchers has ranged from $68 million to $350 million.</w:t>
      </w:r>
    </w:p>
    <w:p w14:paraId="1F523EB9" w14:textId="77777777" w:rsidR="00212862" w:rsidRPr="00212862" w:rsidRDefault="00212862" w:rsidP="00212862">
      <w:pPr>
        <w:rPr>
          <w:sz w:val="20"/>
          <w:szCs w:val="20"/>
        </w:rPr>
      </w:pPr>
      <w:r w:rsidRPr="00212862">
        <w:rPr>
          <w:sz w:val="20"/>
          <w:szCs w:val="20"/>
        </w:rPr>
        <w:t xml:space="preserve"> </w:t>
      </w:r>
    </w:p>
    <w:p w14:paraId="313CFE4C" w14:textId="77777777" w:rsidR="00212862" w:rsidRPr="00212862" w:rsidRDefault="00212862" w:rsidP="00212862">
      <w:pPr>
        <w:rPr>
          <w:sz w:val="20"/>
          <w:szCs w:val="20"/>
        </w:rPr>
      </w:pPr>
      <w:proofErr w:type="spellStart"/>
      <w:r w:rsidRPr="00212862">
        <w:rPr>
          <w:sz w:val="20"/>
          <w:szCs w:val="20"/>
        </w:rPr>
        <w:t>GeoVax</w:t>
      </w:r>
      <w:proofErr w:type="spellEnd"/>
      <w:r w:rsidRPr="00212862">
        <w:rPr>
          <w:sz w:val="20"/>
          <w:szCs w:val="20"/>
        </w:rPr>
        <w:t xml:space="preserve"> believes that its vaccine programs in Ebola, Sudan, Marburg, Lassa Fever, Malaria and Zika may each be eligible for a PRV and we intend to apply for a PRV at the appropriate time. There can be no assurance, however, that we will qualify or be approved for a PRV.</w:t>
      </w:r>
    </w:p>
    <w:p w14:paraId="0BF48134" w14:textId="77777777" w:rsidR="00212862" w:rsidRPr="00212862" w:rsidRDefault="00212862" w:rsidP="00212862">
      <w:pPr>
        <w:rPr>
          <w:sz w:val="20"/>
          <w:szCs w:val="20"/>
        </w:rPr>
      </w:pPr>
      <w:r w:rsidRPr="00212862">
        <w:rPr>
          <w:b/>
          <w:bCs/>
          <w:sz w:val="20"/>
          <w:szCs w:val="20"/>
        </w:rPr>
        <w:t xml:space="preserve"> </w:t>
      </w:r>
    </w:p>
    <w:p w14:paraId="3E0D6854" w14:textId="77777777" w:rsidR="00212862" w:rsidRPr="00212862" w:rsidRDefault="00212862" w:rsidP="00212862">
      <w:pPr>
        <w:rPr>
          <w:sz w:val="20"/>
          <w:szCs w:val="20"/>
        </w:rPr>
      </w:pPr>
      <w:r w:rsidRPr="00212862">
        <w:rPr>
          <w:b/>
          <w:bCs/>
          <w:sz w:val="20"/>
          <w:szCs w:val="20"/>
        </w:rPr>
        <w:t>Manufacturing</w:t>
      </w:r>
    </w:p>
    <w:p w14:paraId="23684073" w14:textId="77777777" w:rsidR="00212862" w:rsidRPr="00212862" w:rsidRDefault="00212862" w:rsidP="00212862">
      <w:pPr>
        <w:rPr>
          <w:sz w:val="20"/>
          <w:szCs w:val="20"/>
        </w:rPr>
      </w:pPr>
      <w:r w:rsidRPr="00212862">
        <w:rPr>
          <w:sz w:val="20"/>
          <w:szCs w:val="20"/>
        </w:rPr>
        <w:t xml:space="preserve"> </w:t>
      </w:r>
    </w:p>
    <w:p w14:paraId="717D3EC3" w14:textId="77777777" w:rsidR="00212862" w:rsidRPr="00212862" w:rsidRDefault="00212862" w:rsidP="00212862">
      <w:pPr>
        <w:rPr>
          <w:sz w:val="20"/>
          <w:szCs w:val="20"/>
        </w:rPr>
      </w:pPr>
      <w:r w:rsidRPr="00212862">
        <w:rPr>
          <w:sz w:val="20"/>
          <w:szCs w:val="20"/>
        </w:rPr>
        <w:t>To be successful, our products must be manufactured in commercial quantities in compliance with regulatory requirements and at an acceptable cost. To date, we have not commercialized any products, nor have we demonstrated that we can manufacture commercial quantities of our product candidates in accordance with regulatory requirements. If we cannot manufacture products in suitable quantities and in accordance with regulatory standards, either on our own or through contracts with third parties, it may delay clinical trials, regulatory approvals and marketing efforts for such products. Such delays could adversely affect our competitive position and our chances of achieving profitability. We cannot be sure that we can manufacture, either on our own or through contracts with third parties, such products at a cost or in quantities that are commercially viable.</w:t>
      </w:r>
    </w:p>
    <w:p w14:paraId="6CDDA783" w14:textId="77777777" w:rsidR="00212862" w:rsidRPr="00212862" w:rsidRDefault="00212862" w:rsidP="00212862">
      <w:pPr>
        <w:rPr>
          <w:sz w:val="20"/>
          <w:szCs w:val="20"/>
        </w:rPr>
      </w:pPr>
    </w:p>
    <w:p w14:paraId="0E70435B" w14:textId="77777777" w:rsidR="00212862" w:rsidRPr="00212862" w:rsidRDefault="00212862" w:rsidP="00212862">
      <w:pPr>
        <w:rPr>
          <w:sz w:val="20"/>
          <w:szCs w:val="20"/>
        </w:rPr>
      </w:pPr>
      <w:r w:rsidRPr="00212862">
        <w:rPr>
          <w:sz w:val="20"/>
          <w:szCs w:val="20"/>
        </w:rPr>
        <w:t>We do not currently have the facilities or internal expertise to manufacture any of the clinical or commercial supplies of any of our product.  Rather, our strategy is to rely on third-party contract manufacturers to produce vaccines needed for research and clinical trials. We have arrangements with third party manufacturers for the supply of our DNA and MVA vaccines for use in our planned clinical trials. These suppliers operate under the FDA’s Good Manufacturing Practices and (in the case of European manufacturers) similar regulations of the European Medicines Agency. We anticipate that these suppliers will be able to provide sufficient vaccine supplies to complete our currently planned clinical trials. Various contractors are generally available in the United States and Europe for manufacture of vaccines for clinical trial evaluation, however, it may be difficult to replace existing contractors for certain manufacturing and testing activities and costs for contracted services may increase substantially if we switch to other contractors. Furthermore, there is currently a shortage of vaccine manufacturing capability due to demand for potential COVID-19 vaccines, which could affect our ability to have our vaccine candidates manufactured.</w:t>
      </w:r>
    </w:p>
    <w:p w14:paraId="03D4A9CB" w14:textId="77777777" w:rsidR="00212862" w:rsidRPr="00212862" w:rsidRDefault="00212862" w:rsidP="00212862">
      <w:pPr>
        <w:rPr>
          <w:sz w:val="20"/>
          <w:szCs w:val="20"/>
        </w:rPr>
      </w:pPr>
    </w:p>
    <w:p w14:paraId="108278E9" w14:textId="77777777" w:rsidR="00212862" w:rsidRPr="00212862" w:rsidRDefault="00212862" w:rsidP="00212862">
      <w:pPr>
        <w:rPr>
          <w:sz w:val="20"/>
          <w:szCs w:val="20"/>
        </w:rPr>
      </w:pPr>
      <w:r w:rsidRPr="00212862">
        <w:rPr>
          <w:sz w:val="20"/>
          <w:szCs w:val="20"/>
        </w:rPr>
        <w:t xml:space="preserve">The MVA component of our vaccine is currently manufactured in cells that are cultured from embryonated eggs. We are exploring a number of approaches to growing MVA in continuous cell lines that can be grown in bioreactors more suitable for commercial-scale manufacturing. </w:t>
      </w:r>
    </w:p>
    <w:p w14:paraId="786543E7" w14:textId="77777777" w:rsidR="00212862" w:rsidRPr="00212862" w:rsidRDefault="00212862" w:rsidP="00212862">
      <w:pPr>
        <w:rPr>
          <w:sz w:val="20"/>
          <w:szCs w:val="20"/>
        </w:rPr>
      </w:pPr>
    </w:p>
    <w:p w14:paraId="5FEAFD23" w14:textId="77777777" w:rsidR="00212862" w:rsidRPr="00212862" w:rsidRDefault="00212862" w:rsidP="00212862">
      <w:pPr>
        <w:rPr>
          <w:sz w:val="20"/>
          <w:szCs w:val="20"/>
        </w:rPr>
      </w:pPr>
      <w:r w:rsidRPr="00212862">
        <w:rPr>
          <w:sz w:val="20"/>
          <w:szCs w:val="20"/>
        </w:rPr>
        <w:t>The raw materials and other supplies that are used in the production process for our vaccines and that we use in our research activities are generally available from a number of commercial suppliers and we believe we will be able to obtain sufficient quantities of such materials and supplies for all foreseeable clinical investigations.</w:t>
      </w:r>
    </w:p>
    <w:p w14:paraId="54FE0A3F" w14:textId="77777777" w:rsidR="00212862" w:rsidRPr="00212862" w:rsidRDefault="00212862" w:rsidP="00212862">
      <w:pPr>
        <w:rPr>
          <w:sz w:val="20"/>
          <w:szCs w:val="20"/>
        </w:rPr>
      </w:pPr>
      <w:r w:rsidRPr="00212862">
        <w:rPr>
          <w:sz w:val="20"/>
          <w:szCs w:val="20"/>
        </w:rPr>
        <w:t xml:space="preserve"> </w:t>
      </w:r>
    </w:p>
    <w:p w14:paraId="30DBE742" w14:textId="77777777" w:rsidR="00212862" w:rsidRPr="00212862" w:rsidRDefault="00212862" w:rsidP="00212862">
      <w:pPr>
        <w:rPr>
          <w:sz w:val="20"/>
          <w:szCs w:val="20"/>
        </w:rPr>
      </w:pPr>
      <w:r w:rsidRPr="00212862">
        <w:rPr>
          <w:b/>
          <w:bCs/>
          <w:sz w:val="20"/>
          <w:szCs w:val="20"/>
        </w:rPr>
        <w:t>Competition</w:t>
      </w:r>
    </w:p>
    <w:p w14:paraId="7F4396AE" w14:textId="77777777" w:rsidR="00212862" w:rsidRPr="00212862" w:rsidRDefault="00212862" w:rsidP="00212862">
      <w:pPr>
        <w:rPr>
          <w:sz w:val="20"/>
          <w:szCs w:val="20"/>
        </w:rPr>
      </w:pPr>
    </w:p>
    <w:p w14:paraId="5EF88AE5" w14:textId="77777777" w:rsidR="00212862" w:rsidRPr="00212862" w:rsidRDefault="00212862" w:rsidP="00212862">
      <w:pPr>
        <w:rPr>
          <w:sz w:val="20"/>
          <w:szCs w:val="20"/>
        </w:rPr>
      </w:pPr>
      <w:r w:rsidRPr="00212862">
        <w:rPr>
          <w:rFonts w:ascii="CG Times (WN)" w:hAnsi="CG Times (WN)"/>
          <w:sz w:val="20"/>
          <w:szCs w:val="20"/>
        </w:rPr>
        <w:t xml:space="preserve">Our product candidates face, and will continue to face, intense competition from large pharmaceutical companies, specialty pharmaceutical and biotechnology companies as well as academic and research institutions. We compete in an industry that is characterized by rapid technological change; evolving industry standards; emerging competition; and new product introductions. Competitors have existing products and technologies that will compete with our pipeline candidates and technologies and may develop and commercialize additional products and technologies that will compete with our pipeline candidates and technologies. Because competing companies and institutions may have greater financial resources than us, they may be able to provide broader services and product lines; and make greater investments in research and development. Competitors may also have greater development capabilities than </w:t>
      </w:r>
      <w:r w:rsidRPr="00212862">
        <w:rPr>
          <w:rFonts w:ascii="CG Times (WN)" w:hAnsi="CG Times (WN)"/>
          <w:sz w:val="20"/>
          <w:szCs w:val="20"/>
        </w:rPr>
        <w:lastRenderedPageBreak/>
        <w:t>we do and have substantially greater experience in undertaking nonclinical and clinical testing of products, obtaining regulatory approvals and manufacturing and marketing pharmaceutical products. They may also have greater name recognition and better access to customers.</w:t>
      </w:r>
    </w:p>
    <w:p w14:paraId="7FF54C6D" w14:textId="77777777" w:rsidR="00212862" w:rsidRPr="00212862" w:rsidRDefault="00212862" w:rsidP="00212862">
      <w:pPr>
        <w:rPr>
          <w:sz w:val="20"/>
          <w:szCs w:val="20"/>
        </w:rPr>
      </w:pPr>
    </w:p>
    <w:p w14:paraId="0081FE9E" w14:textId="77777777" w:rsidR="00212862" w:rsidRPr="00212862" w:rsidRDefault="00212862" w:rsidP="00212862">
      <w:pPr>
        <w:rPr>
          <w:sz w:val="20"/>
          <w:szCs w:val="20"/>
        </w:rPr>
      </w:pPr>
      <w:r w:rsidRPr="00212862">
        <w:rPr>
          <w:sz w:val="20"/>
          <w:szCs w:val="20"/>
        </w:rPr>
        <w:t xml:space="preserve">We face general market competition from several subsectors of the vaccine development field, including large, multinational pharmaceutical companies including Sanofi, GSK, Merck, Janssen, Mitsubishi Tanabe, Takeda, and Pfizer, Inc.; mid-size pharmaceutical companies and emerging biotechnology companies including </w:t>
      </w:r>
      <w:proofErr w:type="spellStart"/>
      <w:r w:rsidRPr="00212862">
        <w:rPr>
          <w:sz w:val="20"/>
          <w:szCs w:val="20"/>
        </w:rPr>
        <w:t>Dynavax</w:t>
      </w:r>
      <w:proofErr w:type="spellEnd"/>
      <w:r w:rsidRPr="00212862">
        <w:rPr>
          <w:sz w:val="20"/>
          <w:szCs w:val="20"/>
        </w:rPr>
        <w:t xml:space="preserve">, Novavax Inc., Moderna, BioNTech, and </w:t>
      </w:r>
      <w:proofErr w:type="spellStart"/>
      <w:r w:rsidRPr="00212862">
        <w:rPr>
          <w:sz w:val="20"/>
          <w:szCs w:val="20"/>
        </w:rPr>
        <w:t>Hookipa</w:t>
      </w:r>
      <w:proofErr w:type="spellEnd"/>
      <w:r w:rsidRPr="00212862">
        <w:rPr>
          <w:sz w:val="20"/>
          <w:szCs w:val="20"/>
        </w:rPr>
        <w:t>; and academic and not-for-profit vaccine researchers and developers including the NIH. The industry is typified by extensive collaboration, licensing, and merger and acquisition activity despite the intense competition.</w:t>
      </w:r>
    </w:p>
    <w:p w14:paraId="1611A12F" w14:textId="77777777" w:rsidR="00212862" w:rsidRPr="00212862" w:rsidRDefault="00212862" w:rsidP="00212862">
      <w:pPr>
        <w:rPr>
          <w:sz w:val="20"/>
          <w:szCs w:val="20"/>
        </w:rPr>
      </w:pPr>
    </w:p>
    <w:p w14:paraId="3D613AE1" w14:textId="77777777" w:rsidR="00212862" w:rsidRPr="00212862" w:rsidRDefault="00212862" w:rsidP="00212862">
      <w:pPr>
        <w:rPr>
          <w:sz w:val="20"/>
          <w:szCs w:val="20"/>
        </w:rPr>
      </w:pPr>
      <w:r w:rsidRPr="00212862">
        <w:rPr>
          <w:sz w:val="20"/>
          <w:szCs w:val="20"/>
        </w:rPr>
        <w:t xml:space="preserve">More than twenty COVID-19 vaccines are currently authorized for use in one or more countries around the world, including three in the United States (from Pfizer/BioNTech, Moderna, and Janssen). All these vaccines are based on the S protein of the SARS-CoV-2 virus, but rely on different mechanisms for presentation or expression of the S antigen, including whole, inactivated virus, defective adenovirus vectors (three different types) or mRNA. Key companies in the space with late-stage clinical or pre-approval vaccine candidates include, Novavax, Inc., AstraZeneca PLC, CureVac N.V., Medicago Inc., GSK, Sanofi S.A., </w:t>
      </w:r>
      <w:proofErr w:type="spellStart"/>
      <w:r w:rsidRPr="00212862">
        <w:rPr>
          <w:sz w:val="20"/>
          <w:szCs w:val="20"/>
        </w:rPr>
        <w:t>Dynavax</w:t>
      </w:r>
      <w:proofErr w:type="spellEnd"/>
      <w:r w:rsidRPr="00212862">
        <w:rPr>
          <w:sz w:val="20"/>
          <w:szCs w:val="20"/>
        </w:rPr>
        <w:t>, and Valneva SE.</w:t>
      </w:r>
    </w:p>
    <w:p w14:paraId="561C8E8F" w14:textId="77777777" w:rsidR="00212862" w:rsidRPr="00212862" w:rsidRDefault="00212862" w:rsidP="00212862">
      <w:pPr>
        <w:rPr>
          <w:sz w:val="20"/>
          <w:szCs w:val="20"/>
        </w:rPr>
      </w:pPr>
    </w:p>
    <w:p w14:paraId="2095EAC1" w14:textId="77777777" w:rsidR="00212862" w:rsidRPr="00212862" w:rsidRDefault="00212862" w:rsidP="00212862">
      <w:pPr>
        <w:rPr>
          <w:sz w:val="20"/>
          <w:szCs w:val="20"/>
        </w:rPr>
      </w:pPr>
      <w:r w:rsidRPr="00212862">
        <w:rPr>
          <w:sz w:val="20"/>
          <w:szCs w:val="20"/>
        </w:rPr>
        <w:t xml:space="preserve">A number of companies are developing various types of therapeutic vaccines or other immunotherapy approaches to treat cancer including </w:t>
      </w:r>
      <w:proofErr w:type="spellStart"/>
      <w:r w:rsidRPr="00212862">
        <w:rPr>
          <w:sz w:val="20"/>
          <w:szCs w:val="20"/>
        </w:rPr>
        <w:t>Advaxis</w:t>
      </w:r>
      <w:proofErr w:type="spellEnd"/>
      <w:r w:rsidRPr="00212862">
        <w:rPr>
          <w:sz w:val="20"/>
          <w:szCs w:val="20"/>
        </w:rPr>
        <w:t xml:space="preserve">, Immune Design, </w:t>
      </w:r>
      <w:proofErr w:type="spellStart"/>
      <w:r w:rsidRPr="00212862">
        <w:rPr>
          <w:sz w:val="20"/>
          <w:szCs w:val="20"/>
        </w:rPr>
        <w:t>Oncothyreon</w:t>
      </w:r>
      <w:proofErr w:type="spellEnd"/>
      <w:r w:rsidRPr="00212862">
        <w:rPr>
          <w:sz w:val="20"/>
          <w:szCs w:val="20"/>
        </w:rPr>
        <w:t>, Bavarian Nordic, Roche Pharmaceuticals, Merck &amp; Co, Bristol Myers Squibb, and AstraZeneca plc.</w:t>
      </w:r>
    </w:p>
    <w:p w14:paraId="325BA9AF" w14:textId="77777777" w:rsidR="00212862" w:rsidRPr="00212862" w:rsidRDefault="00212862" w:rsidP="00212862">
      <w:pPr>
        <w:rPr>
          <w:sz w:val="20"/>
          <w:szCs w:val="20"/>
        </w:rPr>
      </w:pPr>
    </w:p>
    <w:p w14:paraId="01896190" w14:textId="77777777" w:rsidR="00212862" w:rsidRPr="00212862" w:rsidRDefault="00212862" w:rsidP="00212862">
      <w:pPr>
        <w:rPr>
          <w:sz w:val="20"/>
          <w:szCs w:val="20"/>
        </w:rPr>
      </w:pPr>
      <w:r w:rsidRPr="00212862">
        <w:rPr>
          <w:sz w:val="20"/>
          <w:szCs w:val="20"/>
        </w:rPr>
        <w:t xml:space="preserve">There are currently no FDA licensed and commercialized Zika vaccines, or hemorrhagic fever virus vaccines (other than for Ebola) available in the world market. We are aware of several development-stage and established enterprises, including major pharmaceutical and biotechnology firms, which are actively engaged in vaccine research and development in these areas. For hemorrhagic fever viruses, these include </w:t>
      </w:r>
      <w:proofErr w:type="spellStart"/>
      <w:r w:rsidRPr="00212862">
        <w:rPr>
          <w:sz w:val="20"/>
          <w:szCs w:val="20"/>
        </w:rPr>
        <w:t>NewLink</w:t>
      </w:r>
      <w:proofErr w:type="spellEnd"/>
      <w:r w:rsidRPr="00212862">
        <w:rPr>
          <w:sz w:val="20"/>
          <w:szCs w:val="20"/>
        </w:rPr>
        <w:t xml:space="preserve"> Genetics and Merck, Johnson &amp; Johnson, Novavax, Inovio and GlaxoSmithKline. For Zika, these include </w:t>
      </w:r>
      <w:proofErr w:type="spellStart"/>
      <w:r w:rsidRPr="00212862">
        <w:rPr>
          <w:sz w:val="20"/>
          <w:szCs w:val="20"/>
        </w:rPr>
        <w:t>NewLink</w:t>
      </w:r>
      <w:proofErr w:type="spellEnd"/>
      <w:r w:rsidRPr="00212862">
        <w:rPr>
          <w:sz w:val="20"/>
          <w:szCs w:val="20"/>
        </w:rPr>
        <w:t xml:space="preserve"> Genetics, Inovio, Merck, </w:t>
      </w:r>
      <w:proofErr w:type="spellStart"/>
      <w:r w:rsidRPr="00212862">
        <w:rPr>
          <w:sz w:val="20"/>
          <w:szCs w:val="20"/>
        </w:rPr>
        <w:t>Butantan</w:t>
      </w:r>
      <w:proofErr w:type="spellEnd"/>
      <w:r w:rsidRPr="00212862">
        <w:rPr>
          <w:sz w:val="20"/>
          <w:szCs w:val="20"/>
        </w:rPr>
        <w:t xml:space="preserve"> Institute and NIH (NIAID). In December 2019, the FDA approved the first vaccine (ERVEBO®) for prevention of Ebola, developed by Merck.</w:t>
      </w:r>
    </w:p>
    <w:p w14:paraId="0E7093A1" w14:textId="77777777" w:rsidR="00212862" w:rsidRPr="00212862" w:rsidRDefault="00212862" w:rsidP="00212862">
      <w:pPr>
        <w:rPr>
          <w:sz w:val="20"/>
          <w:szCs w:val="20"/>
        </w:rPr>
      </w:pPr>
    </w:p>
    <w:p w14:paraId="0FDC3174" w14:textId="77777777" w:rsidR="00212862" w:rsidRPr="00212862" w:rsidRDefault="00212862" w:rsidP="00212862">
      <w:pPr>
        <w:rPr>
          <w:sz w:val="20"/>
          <w:szCs w:val="20"/>
        </w:rPr>
      </w:pPr>
      <w:r w:rsidRPr="00212862">
        <w:rPr>
          <w:sz w:val="20"/>
          <w:szCs w:val="20"/>
        </w:rPr>
        <w:t>There are currently no commercialized vaccines to prevent malaria infection. A first-generation infection-blocking malaria vaccine, RTS, S, is under regulatory review. It requires 4 doses and has been recommended by the WHO for pilot implementation studies. Since this vaccine is based on a single antigen and has modest efficacy (30-40%, depending on the age of subjects), the WHO has defined a Road Map for developing and licensing of next generation malaria vaccines. These vaccines are expected to contain multiple antigens designed to block both infection and transmission of malaria with at least a 75% efficacy rate.</w:t>
      </w:r>
    </w:p>
    <w:p w14:paraId="0D61E355" w14:textId="77777777" w:rsidR="00212862" w:rsidRPr="00212862" w:rsidRDefault="00212862" w:rsidP="00212862">
      <w:pPr>
        <w:rPr>
          <w:sz w:val="20"/>
          <w:szCs w:val="20"/>
        </w:rPr>
      </w:pPr>
    </w:p>
    <w:p w14:paraId="7F5AE7D7" w14:textId="77777777" w:rsidR="00212862" w:rsidRPr="00212862" w:rsidRDefault="00212862" w:rsidP="00212862">
      <w:pPr>
        <w:rPr>
          <w:sz w:val="20"/>
          <w:szCs w:val="20"/>
        </w:rPr>
      </w:pPr>
      <w:bookmarkStart w:id="24" w:name="_Hlk65238902"/>
      <w:r w:rsidRPr="00212862">
        <w:rPr>
          <w:b/>
          <w:bCs/>
          <w:sz w:val="20"/>
          <w:szCs w:val="20"/>
        </w:rPr>
        <w:t>Our Intellectual Property</w:t>
      </w:r>
    </w:p>
    <w:p w14:paraId="5D7D0EE3" w14:textId="77777777" w:rsidR="00212862" w:rsidRPr="00212862" w:rsidRDefault="00212862" w:rsidP="00212862">
      <w:pPr>
        <w:rPr>
          <w:sz w:val="20"/>
          <w:szCs w:val="20"/>
        </w:rPr>
      </w:pPr>
    </w:p>
    <w:bookmarkEnd w:id="24"/>
    <w:p w14:paraId="21B112BA" w14:textId="77777777" w:rsidR="00212862" w:rsidRPr="00212862" w:rsidRDefault="00212862" w:rsidP="00212862">
      <w:pPr>
        <w:rPr>
          <w:sz w:val="20"/>
          <w:szCs w:val="20"/>
        </w:rPr>
      </w:pPr>
      <w:r w:rsidRPr="00212862">
        <w:rPr>
          <w:sz w:val="20"/>
          <w:szCs w:val="20"/>
        </w:rPr>
        <w:t xml:space="preserve">Our commercial success depends in part on our ability, and our licensors’ ability, to obtain and maintain proprietary protection for our clinical product candidates, including our Modified Vaccinia Ankara-Virus-Like Particle (MVA-VLP) based vaccines, our in-licensed synthetic MVA Covid-19 vaccine candidate, and our in-licensed </w:t>
      </w:r>
      <w:proofErr w:type="spellStart"/>
      <w:r w:rsidRPr="00212862">
        <w:rPr>
          <w:sz w:val="20"/>
          <w:szCs w:val="20"/>
        </w:rPr>
        <w:t>Gedeptin</w:t>
      </w:r>
      <w:proofErr w:type="spellEnd"/>
      <w:r w:rsidRPr="00212862">
        <w:rPr>
          <w:sz w:val="20"/>
          <w:szCs w:val="20"/>
        </w:rPr>
        <w:t xml:space="preserve"> gene-directed enzyme prodrug therapy, and methods of treatment using the same.</w:t>
      </w:r>
    </w:p>
    <w:p w14:paraId="21283181" w14:textId="77777777" w:rsidR="00212862" w:rsidRPr="00212862" w:rsidRDefault="00212862" w:rsidP="00212862">
      <w:pPr>
        <w:rPr>
          <w:sz w:val="20"/>
          <w:szCs w:val="20"/>
        </w:rPr>
      </w:pPr>
      <w:r w:rsidRPr="00212862">
        <w:rPr>
          <w:sz w:val="20"/>
          <w:szCs w:val="20"/>
        </w:rPr>
        <w:t xml:space="preserve"> </w:t>
      </w:r>
    </w:p>
    <w:p w14:paraId="1DFFE3BA" w14:textId="77777777" w:rsidR="00212862" w:rsidRPr="00212862" w:rsidRDefault="00212862" w:rsidP="00212862">
      <w:pPr>
        <w:rPr>
          <w:sz w:val="20"/>
          <w:szCs w:val="20"/>
        </w:rPr>
      </w:pPr>
      <w:r w:rsidRPr="00212862">
        <w:rPr>
          <w:sz w:val="20"/>
          <w:szCs w:val="20"/>
        </w:rPr>
        <w:t xml:space="preserve">We, and in collaboration with our licensors for our in-licensed assets, seek patent protection on each of our product and developmental candidates and, where applicable, on combinations with other therapeutic and/or antigenic agents and dosing schedules. Our success also depends on our ability to operate without infringing on the proprietary rights of others and to prevent others from infringing our proprietary rights. Our policy is to seek to protect our proprietary position by, among other methods, filing U.S. patent applications and, where appropriate, foreign patent applications covering our proprietary technology, inventions, and improvements that are important to the development and implementation of our business. We collaborate with our licensors to ensure the filing of U.S. patent applications and, where appropriate, foreign patent applications covering our in-licensed technology, inventions, and improvements that are important to the development and implementation of our business.  We also rely on trade secrets, know-how, continuing technological innovation and potential in-licensing opportunities to develop and maintain our proprietary position.  Additionally, we expect to benefit, where appropriate, from statutory frameworks </w:t>
      </w:r>
      <w:r w:rsidRPr="00212862">
        <w:rPr>
          <w:sz w:val="20"/>
          <w:szCs w:val="20"/>
        </w:rPr>
        <w:lastRenderedPageBreak/>
        <w:t>in the United States, Europe, and other countries that provide a period of clinical data exclusivity to compensate for the time required for regulatory approval of our clinical product candidates.</w:t>
      </w:r>
    </w:p>
    <w:p w14:paraId="7CD02371" w14:textId="77777777" w:rsidR="00212862" w:rsidRPr="00212862" w:rsidRDefault="00212862" w:rsidP="00212862">
      <w:pPr>
        <w:rPr>
          <w:sz w:val="20"/>
          <w:szCs w:val="20"/>
        </w:rPr>
      </w:pPr>
      <w:r w:rsidRPr="00212862">
        <w:rPr>
          <w:sz w:val="20"/>
          <w:szCs w:val="20"/>
        </w:rPr>
        <w:t xml:space="preserve"> </w:t>
      </w:r>
    </w:p>
    <w:p w14:paraId="57ECB430" w14:textId="77777777" w:rsidR="00212862" w:rsidRPr="00212862" w:rsidRDefault="00212862" w:rsidP="00212862">
      <w:pPr>
        <w:rPr>
          <w:sz w:val="20"/>
          <w:szCs w:val="20"/>
        </w:rPr>
      </w:pPr>
      <w:r w:rsidRPr="00212862">
        <w:rPr>
          <w:sz w:val="20"/>
          <w:szCs w:val="20"/>
        </w:rPr>
        <w:t>We continually assess and refine our intellectual property strategies as we develop new technologies and product candidates. We plan to file additional patent applications based on our intellectual property strategies where appropriate, including where we seek to improve our basic technology, adapt to competition, or to improve business opportunities. Further, we plan to file patent applications, as we consider appropriate under the circumstances, to protect new technologies that we develop. Our patent filing strategy typically includes seeking patent protection in the United States and, wherein appropriate, in additional countries where we believe such protection is likely to be useful.</w:t>
      </w:r>
    </w:p>
    <w:p w14:paraId="2EC9854F" w14:textId="77777777" w:rsidR="00212862" w:rsidRPr="00212862" w:rsidRDefault="00212862" w:rsidP="00212862">
      <w:pPr>
        <w:rPr>
          <w:sz w:val="20"/>
          <w:szCs w:val="20"/>
        </w:rPr>
      </w:pPr>
      <w:r w:rsidRPr="00212862">
        <w:rPr>
          <w:sz w:val="20"/>
          <w:szCs w:val="20"/>
        </w:rPr>
        <w:t xml:space="preserve"> </w:t>
      </w:r>
    </w:p>
    <w:p w14:paraId="040BE272" w14:textId="77777777" w:rsidR="00212862" w:rsidRPr="00212862" w:rsidRDefault="00212862" w:rsidP="00212862">
      <w:pPr>
        <w:rPr>
          <w:sz w:val="20"/>
          <w:szCs w:val="20"/>
        </w:rPr>
      </w:pPr>
      <w:r w:rsidRPr="00212862">
        <w:rPr>
          <w:sz w:val="20"/>
          <w:szCs w:val="20"/>
        </w:rPr>
        <w:t>As of December 31, 2021, our owned, co-owned, and in-licensed patent estate, on a worldwide basis, includes 19 granted U.S. patents, 3 allowed U.S. patent applications, 10 pending U.S. patent applications; 56 granted foreign patents, 20 pending foreign patent applications, 4 Patent Cooperation Treaty (PCT) applications, and 4 U.S. provisional applications spread over 25 patent families. The term of individual patents depends upon the laws of the countries in which they are obtained. In the countries in which we currently file, the patent term is 20 years from the earliest date of filing of a non-provisional patent application which serves as a priority application. In addition, we plan to seek patent term adjustments, restorations, and/or patent term extensions where applicable in the United States and other jurisdictions. For example, depending upon the timing, duration, and specifics of FDA approval of our vaccine products, some of our U.S. patents may be eligible for a patent term extension under the Drug Price Competition and Patent Term Restoration Act of 1984, commonly referred to as the “Hatch-Waxman Amendments,” and codified as 35 U.S.C. § 156. 35 U.S.C. § 156 permits restoration of the patent term of up to five years as compensation for patent term lost during product development and FDA regulatory review process. Patent term restoration, however, cannot extend the remaining term of a patent beyond a total of 14 years from the product’s approval date. The patent term restoration period is generally one half the time between the effective date of an IND and the submission date of a Biologics License Application (BLA), plus the time between the submission date of a BLA and the approval of that application, except that the review period is reduced by any time during which the applicant failed to exercise due diligence. Only one patent applicable to an approved vaccine product is eligible for such an extension and the application for the extension must be submitted prior to the expiration of the patent. The USPTO, in consultation with the FDA, reviews and approves the application for any patent term extension or restoration. A similar kind of patent extension, referred to as a Supplementary Protection Certificate, is available in Europe. Legal frameworks are also available in certain other jurisdictions to extend the term of a patent. We currently intend to seek patent term extensions on any of our, or our exclusively licensed, issued patents in any jurisdiction where we have a qualifying patent and the extension is available; however, there is no guarantee that the applicable regulatory authorities, including the FDA in the United States, will agree with our assessment of whether such extensions should be granted, and even if granted, the length of such extensions. Further, even if our patent is extended, the patent, including the extended portion of the patent, may be held invalid or unenforceable by a court of final jurisdiction in the United States or a foreign country.</w:t>
      </w:r>
    </w:p>
    <w:p w14:paraId="56FAF279" w14:textId="77777777" w:rsidR="00212862" w:rsidRPr="00212862" w:rsidRDefault="00212862" w:rsidP="00212862">
      <w:pPr>
        <w:rPr>
          <w:sz w:val="20"/>
          <w:szCs w:val="20"/>
        </w:rPr>
      </w:pPr>
      <w:r w:rsidRPr="00212862">
        <w:rPr>
          <w:sz w:val="20"/>
          <w:szCs w:val="20"/>
        </w:rPr>
        <w:t xml:space="preserve"> </w:t>
      </w:r>
    </w:p>
    <w:p w14:paraId="7434FB99" w14:textId="77777777" w:rsidR="00212862" w:rsidRPr="00212862" w:rsidRDefault="00212862" w:rsidP="00212862">
      <w:pPr>
        <w:rPr>
          <w:sz w:val="20"/>
          <w:szCs w:val="20"/>
        </w:rPr>
      </w:pPr>
      <w:r w:rsidRPr="00212862">
        <w:rPr>
          <w:sz w:val="20"/>
          <w:szCs w:val="20"/>
        </w:rPr>
        <w:t>Our current patent portfolio includes 5 patent families directed to various aspects of our DNA and MVA-based HIV vaccines, their genetic inserts expressing multiple HIV protein components, composition, structure, claim of immunization against multiple subtypes of HIV, routes of administration, safety and other related factors and methods of therapeutic and prophylactic use thereof including administration regimes. We have in-licensed patents from Emory University and the U.S. National Institutes of Health (NIH) relevant to our HIV-vaccine program.  These patents will expire between 2022 and 2028, exclusive of any patent term adjustments or extensions.  We wholly own one patent family, including one granted U.S. patent (US 11,098,086), directed to specific vaccine administration methods which, where issued, valid, and enforceable, will expire in 2037, exclusive of any patent term adjustments or extensions.</w:t>
      </w:r>
    </w:p>
    <w:p w14:paraId="2FA50F26" w14:textId="77777777" w:rsidR="00212862" w:rsidRPr="00212862" w:rsidRDefault="00212862" w:rsidP="00212862">
      <w:pPr>
        <w:rPr>
          <w:sz w:val="20"/>
          <w:szCs w:val="20"/>
        </w:rPr>
      </w:pPr>
    </w:p>
    <w:p w14:paraId="6A42F44D" w14:textId="77777777" w:rsidR="00212862" w:rsidRPr="00212862" w:rsidRDefault="00212862" w:rsidP="00212862">
      <w:pPr>
        <w:rPr>
          <w:sz w:val="20"/>
          <w:szCs w:val="20"/>
        </w:rPr>
      </w:pPr>
      <w:r w:rsidRPr="00212862">
        <w:rPr>
          <w:sz w:val="20"/>
          <w:szCs w:val="20"/>
        </w:rPr>
        <w:t xml:space="preserve">We wholly own one allowed U.S. patent application directed to preventive vaccines against Ebola virus, and one pending U.S. patent application directed to Marburg virus and uses thereof.  These applications, where issued, valid, and enforceable, will expire in 2036, exclusive of any patent term adjustments or extensions.  </w:t>
      </w:r>
    </w:p>
    <w:p w14:paraId="25A32376" w14:textId="77777777" w:rsidR="00212862" w:rsidRPr="00212862" w:rsidRDefault="00212862" w:rsidP="00212862">
      <w:pPr>
        <w:rPr>
          <w:sz w:val="20"/>
          <w:szCs w:val="20"/>
        </w:rPr>
      </w:pPr>
    </w:p>
    <w:p w14:paraId="7E943882" w14:textId="77777777" w:rsidR="00212862" w:rsidRPr="00212862" w:rsidRDefault="00212862" w:rsidP="00212862">
      <w:pPr>
        <w:rPr>
          <w:sz w:val="20"/>
          <w:szCs w:val="20"/>
        </w:rPr>
      </w:pPr>
      <w:r w:rsidRPr="00212862">
        <w:rPr>
          <w:sz w:val="20"/>
          <w:szCs w:val="20"/>
        </w:rPr>
        <w:t>We wholly own one U.S. patent application directed to preventive vaccines against Zika virus and uses thereof.</w:t>
      </w:r>
      <w:r w:rsidRPr="00212862">
        <w:rPr>
          <w:rFonts w:ascii="CG Times (WN)" w:hAnsi="CG Times (WN)"/>
          <w:sz w:val="20"/>
          <w:szCs w:val="20"/>
        </w:rPr>
        <w:t xml:space="preserve"> </w:t>
      </w:r>
      <w:r w:rsidRPr="00212862">
        <w:rPr>
          <w:sz w:val="20"/>
          <w:szCs w:val="20"/>
        </w:rPr>
        <w:t xml:space="preserve">This application, if issued, valid, and enforceable, will expire in 2037, exclusive of any patent term adjustments or extensions.  </w:t>
      </w:r>
    </w:p>
    <w:p w14:paraId="1748E0D8" w14:textId="77777777" w:rsidR="00212862" w:rsidRPr="00212862" w:rsidRDefault="00212862" w:rsidP="00212862">
      <w:pPr>
        <w:rPr>
          <w:sz w:val="20"/>
          <w:szCs w:val="20"/>
        </w:rPr>
      </w:pPr>
    </w:p>
    <w:p w14:paraId="61E67DA2" w14:textId="77777777" w:rsidR="00212862" w:rsidRPr="00212862" w:rsidRDefault="00212862" w:rsidP="00212862">
      <w:pPr>
        <w:rPr>
          <w:sz w:val="20"/>
          <w:szCs w:val="20"/>
        </w:rPr>
      </w:pPr>
      <w:r w:rsidRPr="00212862">
        <w:rPr>
          <w:sz w:val="20"/>
          <w:szCs w:val="20"/>
        </w:rPr>
        <w:t xml:space="preserve">We co-own one patent family with Georgia State University directed to preventive vaccines against hepatitis B virus (HBV), and uses thereof, including one granted U.S. patent (US 11,052,148).  These applications, where issued, valid, and enforceable, will expire in 2037, exclusive of any patent term adjustments or extensions.  </w:t>
      </w:r>
    </w:p>
    <w:p w14:paraId="626E8E69" w14:textId="77777777" w:rsidR="00212862" w:rsidRPr="00212862" w:rsidRDefault="00212862" w:rsidP="00212862">
      <w:pPr>
        <w:rPr>
          <w:sz w:val="20"/>
          <w:szCs w:val="20"/>
        </w:rPr>
      </w:pPr>
    </w:p>
    <w:p w14:paraId="465A34D3" w14:textId="77777777" w:rsidR="00212862" w:rsidRPr="00212862" w:rsidRDefault="00212862" w:rsidP="00212862">
      <w:pPr>
        <w:rPr>
          <w:sz w:val="20"/>
          <w:szCs w:val="20"/>
        </w:rPr>
      </w:pPr>
      <w:r w:rsidRPr="00212862">
        <w:rPr>
          <w:sz w:val="20"/>
          <w:szCs w:val="20"/>
        </w:rPr>
        <w:t xml:space="preserve">We wholly own one allowed U.S. patent application directed to preventive vaccines against malaria and use thereof.  This application, where issued, valid, and enforceable, will expire in 2038, exclusive of any patent term adjustments or extensions.  </w:t>
      </w:r>
    </w:p>
    <w:p w14:paraId="0DA964F6" w14:textId="77777777" w:rsidR="00212862" w:rsidRPr="00212862" w:rsidRDefault="00212862" w:rsidP="00212862">
      <w:pPr>
        <w:rPr>
          <w:sz w:val="20"/>
          <w:szCs w:val="20"/>
        </w:rPr>
      </w:pPr>
    </w:p>
    <w:p w14:paraId="3692F0D5" w14:textId="77777777" w:rsidR="00212862" w:rsidRPr="00212862" w:rsidRDefault="00212862" w:rsidP="00212862">
      <w:pPr>
        <w:rPr>
          <w:sz w:val="20"/>
          <w:szCs w:val="20"/>
        </w:rPr>
      </w:pPr>
      <w:r w:rsidRPr="00212862">
        <w:rPr>
          <w:sz w:val="20"/>
          <w:szCs w:val="20"/>
        </w:rPr>
        <w:t xml:space="preserve">We wholly own 3 patent families, which includes one allowed U.S. patent application and one granted foreign application (AU 2017206102), directed to our immuno-oncology vaccine compositions and methods of use thereof.  The patent applications of these families, where issued, valid, and enforceable, will expire between 2037-2040, exclusive of any patent term adjustments or extensions.  </w:t>
      </w:r>
    </w:p>
    <w:p w14:paraId="3E2DEF73" w14:textId="77777777" w:rsidR="00212862" w:rsidRPr="00212862" w:rsidRDefault="00212862" w:rsidP="00212862">
      <w:pPr>
        <w:rPr>
          <w:sz w:val="20"/>
          <w:szCs w:val="20"/>
        </w:rPr>
      </w:pPr>
    </w:p>
    <w:p w14:paraId="0347E0FA" w14:textId="77777777" w:rsidR="00212862" w:rsidRPr="00212862" w:rsidRDefault="00212862" w:rsidP="00212862">
      <w:pPr>
        <w:rPr>
          <w:sz w:val="20"/>
          <w:szCs w:val="20"/>
        </w:rPr>
      </w:pPr>
      <w:r w:rsidRPr="00212862">
        <w:rPr>
          <w:sz w:val="20"/>
          <w:szCs w:val="20"/>
        </w:rPr>
        <w:t>We wholly own two pending patent families directed to various MVA-based vaccines for the treatment of SARS CoV-2.  The patent applications in these families, if issued, valid, and enforceable, will expire between 2041-2042, exclusive of any patent term adjustments or extensions.  We have non-exclusively in-licensed from the U.S. National Institutes of Health (NIH) 3 patent families directed to certain aspects of our MVA-viral backbone used in our SARS-CoV2 vaccine, which will expire between 2023 and 2032, exclusive of any patent term adjustments or extensions.  We have non-exclusively in-licensed from the NIH 2 patent families relating to coronavirus spike protein compositions relevant to our MVA SARS-CoV2 vaccine candidates. The patent applications for these families, if issued, valid, and enforceable, will expire between 2037 and 2041, exclusive of any patent term adjustments or extensions.</w:t>
      </w:r>
    </w:p>
    <w:p w14:paraId="778E9442" w14:textId="77777777" w:rsidR="00212862" w:rsidRPr="00212862" w:rsidRDefault="00212862" w:rsidP="00212862">
      <w:pPr>
        <w:rPr>
          <w:sz w:val="20"/>
          <w:szCs w:val="20"/>
        </w:rPr>
      </w:pPr>
    </w:p>
    <w:p w14:paraId="33DAA616" w14:textId="77777777" w:rsidR="00212862" w:rsidRPr="00212862" w:rsidRDefault="00212862" w:rsidP="00212862">
      <w:pPr>
        <w:rPr>
          <w:sz w:val="20"/>
          <w:szCs w:val="20"/>
        </w:rPr>
      </w:pPr>
      <w:r w:rsidRPr="00212862">
        <w:rPr>
          <w:sz w:val="20"/>
          <w:szCs w:val="20"/>
        </w:rPr>
        <w:t>We wholly one pending U.S. application directed to MVA-based vaccines for the treatment of Zika virus.  The patent application, if issued, valid, and enforceable, will expire in 2037, exclusive of any patent term adjustments or extensions.</w:t>
      </w:r>
    </w:p>
    <w:p w14:paraId="66225901" w14:textId="77777777" w:rsidR="00212862" w:rsidRPr="00212862" w:rsidRDefault="00212862" w:rsidP="00212862">
      <w:pPr>
        <w:rPr>
          <w:sz w:val="20"/>
          <w:szCs w:val="20"/>
        </w:rPr>
      </w:pPr>
    </w:p>
    <w:p w14:paraId="4EBD7259" w14:textId="77777777" w:rsidR="00212862" w:rsidRPr="00212862" w:rsidRDefault="00212862" w:rsidP="00212862">
      <w:pPr>
        <w:rPr>
          <w:sz w:val="20"/>
          <w:szCs w:val="20"/>
        </w:rPr>
      </w:pPr>
      <w:r w:rsidRPr="00212862">
        <w:rPr>
          <w:sz w:val="20"/>
          <w:szCs w:val="20"/>
        </w:rPr>
        <w:t>We co-own one patent family with Leidos, Inc. directed to viral constructs for use in enhancing T-cell priming during vaccination.  The patent applications in this patent family, if issued, valid, and enforceable, will expire in 2042, exclusive of any patent term adjustments or extensions.</w:t>
      </w:r>
    </w:p>
    <w:p w14:paraId="54D8AB41" w14:textId="77777777" w:rsidR="00212862" w:rsidRPr="00212862" w:rsidRDefault="00212862" w:rsidP="00212862">
      <w:pPr>
        <w:rPr>
          <w:sz w:val="20"/>
          <w:szCs w:val="20"/>
        </w:rPr>
      </w:pPr>
      <w:r w:rsidRPr="00212862">
        <w:rPr>
          <w:sz w:val="20"/>
          <w:szCs w:val="20"/>
        </w:rPr>
        <w:t xml:space="preserve"> </w:t>
      </w:r>
    </w:p>
    <w:p w14:paraId="172EBE2C" w14:textId="77777777" w:rsidR="00212862" w:rsidRPr="00212862" w:rsidRDefault="00212862" w:rsidP="00212862">
      <w:pPr>
        <w:rPr>
          <w:sz w:val="20"/>
          <w:szCs w:val="20"/>
        </w:rPr>
      </w:pPr>
      <w:r w:rsidRPr="00212862">
        <w:rPr>
          <w:sz w:val="20"/>
          <w:szCs w:val="20"/>
        </w:rPr>
        <w:t xml:space="preserve">We are the exclusive, worldwide licensee of several patents and patent applications, which we refer to as the Emory Technology, owned, licensed or otherwise controlled by Emory University for HIV or smallpox vaccines pursuant to a license agreement originally entered into on August 23, 2002 and restated on June 23, 2004 (the “Emory License”).  The in-licensed Emory University patents will expire between 2022 and 2028, exclusive of any patent term extensions.  Through the Emory License we are also a non-exclusive licensee of four issued United States patents owned by the NIH related to the ability of our MVA vector vaccine to operate as a vehicle to deliver HIV virus antigens, and to induce an immune response in humans.  These in-licensed NIH patents will expire in 2023, exclusive of any patent term extensions.  </w:t>
      </w:r>
    </w:p>
    <w:p w14:paraId="7742647D" w14:textId="77777777" w:rsidR="00212862" w:rsidRPr="00212862" w:rsidRDefault="00212862" w:rsidP="00212862">
      <w:pPr>
        <w:rPr>
          <w:sz w:val="20"/>
          <w:szCs w:val="20"/>
        </w:rPr>
      </w:pPr>
      <w:r w:rsidRPr="00212862">
        <w:rPr>
          <w:sz w:val="20"/>
          <w:szCs w:val="20"/>
        </w:rPr>
        <w:t xml:space="preserve"> </w:t>
      </w:r>
    </w:p>
    <w:p w14:paraId="49160CB1" w14:textId="77777777" w:rsidR="00212862" w:rsidRPr="00212862" w:rsidRDefault="00212862" w:rsidP="00212862">
      <w:pPr>
        <w:rPr>
          <w:sz w:val="20"/>
          <w:szCs w:val="20"/>
        </w:rPr>
      </w:pPr>
      <w:r w:rsidRPr="00212862">
        <w:rPr>
          <w:sz w:val="20"/>
          <w:szCs w:val="20"/>
        </w:rPr>
        <w:t>The MVA backbone that we have been using in our vaccines was provided to us by the laboratory of Dr. Bernard Moss of the NIAID, Laboratory of Viral Diseases (LVD). We have a non-exclusive commercial license to the NIH MVA backbone for our SARS CoV-2 vaccine with the NIAID of the National Institutes of Health NIH on behalf of the United States, which includes the use of certain patents and patent applications arising from the Moss laboratory and the provided materials. We also have a non-exclusive research and development license to use the MVA backbone for our other vaccine candidates. If we later decide to commercialize vaccine candidates that are under the research and development license, we will need to negotiate appropriate commercialization licenses.  These in-licensed NIH patents and patent applications, if and where issued</w:t>
      </w:r>
      <w:r w:rsidRPr="00212862">
        <w:rPr>
          <w:rFonts w:ascii="CG Times (WN)" w:hAnsi="CG Times (WN)"/>
          <w:sz w:val="20"/>
          <w:szCs w:val="20"/>
        </w:rPr>
        <w:t xml:space="preserve">, </w:t>
      </w:r>
      <w:r w:rsidRPr="00212862">
        <w:rPr>
          <w:sz w:val="20"/>
          <w:szCs w:val="20"/>
        </w:rPr>
        <w:t>valid, and enforceable, will expire between 2023 and 2032, exclusive of any patent term adjustments or extensions.</w:t>
      </w:r>
    </w:p>
    <w:p w14:paraId="6DF1B0C0" w14:textId="77777777" w:rsidR="00212862" w:rsidRPr="00212862" w:rsidRDefault="00212862" w:rsidP="00212862">
      <w:pPr>
        <w:rPr>
          <w:sz w:val="20"/>
          <w:szCs w:val="20"/>
        </w:rPr>
      </w:pPr>
    </w:p>
    <w:p w14:paraId="6C169668" w14:textId="77777777" w:rsidR="00212862" w:rsidRPr="00212862" w:rsidRDefault="00212862" w:rsidP="00212862">
      <w:pPr>
        <w:rPr>
          <w:sz w:val="20"/>
          <w:szCs w:val="20"/>
        </w:rPr>
      </w:pPr>
      <w:r w:rsidRPr="00212862">
        <w:rPr>
          <w:sz w:val="20"/>
          <w:szCs w:val="20"/>
        </w:rPr>
        <w:t xml:space="preserve">We have exclusively in-licensed three patent families from the City of Hope in the field of vaccine products targeted for prevention, reduction, amelioration or treatment of COVID-19 pursuant to an Exclusive License Agreement entered into on November 9, 2021.  The in-licensed patent families are directed to synthetic MVA vectors, including synthetic MVA vaccines encoding one or more SARS-CoV-2 antigens, and their methods of production and use, and encompass COH04S1, a multi-antigenic SARS-CoV-2 vaccine currently undergoing Phase 2 human clinical </w:t>
      </w:r>
      <w:r w:rsidRPr="00212862">
        <w:rPr>
          <w:sz w:val="20"/>
          <w:szCs w:val="20"/>
        </w:rPr>
        <w:lastRenderedPageBreak/>
        <w:t xml:space="preserve">trials.  </w:t>
      </w:r>
      <w:bookmarkStart w:id="25" w:name="_Hlk94629153"/>
      <w:r w:rsidRPr="00212862">
        <w:rPr>
          <w:sz w:val="20"/>
          <w:szCs w:val="20"/>
        </w:rPr>
        <w:t>These in-licensed City of Hope patent families, if issued, valid, and enforceable, will expire in 2041, exclusive of any patent term adjustments or extensions</w:t>
      </w:r>
      <w:bookmarkEnd w:id="25"/>
      <w:r w:rsidRPr="00212862">
        <w:rPr>
          <w:sz w:val="20"/>
          <w:szCs w:val="20"/>
        </w:rPr>
        <w:t>.</w:t>
      </w:r>
    </w:p>
    <w:p w14:paraId="3994F9E9" w14:textId="77777777" w:rsidR="00212862" w:rsidRPr="00212862" w:rsidRDefault="00212862" w:rsidP="00212862">
      <w:pPr>
        <w:rPr>
          <w:sz w:val="20"/>
          <w:szCs w:val="20"/>
        </w:rPr>
      </w:pPr>
    </w:p>
    <w:p w14:paraId="2344294D" w14:textId="77777777" w:rsidR="00212862" w:rsidRPr="00212862" w:rsidRDefault="00212862" w:rsidP="00212862">
      <w:pPr>
        <w:rPr>
          <w:sz w:val="20"/>
          <w:szCs w:val="20"/>
        </w:rPr>
      </w:pPr>
      <w:r w:rsidRPr="00212862">
        <w:rPr>
          <w:sz w:val="20"/>
          <w:szCs w:val="20"/>
        </w:rPr>
        <w:t xml:space="preserve">We have exclusively in-licensed two patent families from the University of Alabama and the Southern Research Institute pursuant to an Assignment and License Agreement with PNP Therapeutics, Inc. entered into on September 28, 2021.  The two patent families are directed to the use of tail-mutant purine nucleoside phosphorylase enzymes and fludarabine for the treatment of cancer, and cover aspects of the use of our </w:t>
      </w:r>
      <w:proofErr w:type="spellStart"/>
      <w:r w:rsidRPr="00212862">
        <w:rPr>
          <w:sz w:val="20"/>
          <w:szCs w:val="20"/>
        </w:rPr>
        <w:t>Gedeptin</w:t>
      </w:r>
      <w:proofErr w:type="spellEnd"/>
      <w:r w:rsidRPr="00212862">
        <w:rPr>
          <w:sz w:val="20"/>
          <w:szCs w:val="20"/>
        </w:rPr>
        <w:t xml:space="preserve"> clinical product candidate.  These in-licensed patent families, where issued, valid, and enforceable, will expire between 2029 and 2032, exclusive of any patent term adjustments or extensions.</w:t>
      </w:r>
    </w:p>
    <w:p w14:paraId="08F137A8" w14:textId="77777777" w:rsidR="00212862" w:rsidRPr="00212862" w:rsidRDefault="00212862" w:rsidP="00212862">
      <w:pPr>
        <w:rPr>
          <w:sz w:val="20"/>
          <w:szCs w:val="20"/>
        </w:rPr>
      </w:pPr>
    </w:p>
    <w:p w14:paraId="28F0E2DA" w14:textId="77777777" w:rsidR="00212862" w:rsidRPr="00212862" w:rsidRDefault="00212862" w:rsidP="00212862">
      <w:pPr>
        <w:rPr>
          <w:sz w:val="20"/>
          <w:szCs w:val="20"/>
        </w:rPr>
      </w:pPr>
      <w:r w:rsidRPr="00212862">
        <w:rPr>
          <w:sz w:val="20"/>
          <w:szCs w:val="20"/>
        </w:rPr>
        <w:t>We cannot be certain that any of the current pending patent applications we have or have licensed, or any new patent applications we may file or license, will ever be issued in the United States or any other country. Even if issued, there can be no assurance that those patents will be sufficiently broad to prevent others from using our products or processes. Furthermore, our patents, as well as those we have licensed or may license in the future, may be held invalid or unenforceable by a court, or third parties could obtain patents that we would need to either license or to design around, which we may be unable to do. Current and future competitors may have licensed or filed patent applications or received patents and may acquire additional patents or proprietary rights relating to products or processes competitive to ours. In addition, any claims relating to the infringement of third-party proprietary rights, or earlier date of invention, even if not meritorious, could result in costly litigation, lengthy governmental proceedings, divert management’s attention and resources and require us to enter royalty or license agreements which are not advantageous to us, if available at all.</w:t>
      </w:r>
    </w:p>
    <w:p w14:paraId="3C3B8F3A" w14:textId="77777777" w:rsidR="00212862" w:rsidRPr="00212862" w:rsidRDefault="00212862" w:rsidP="00212862">
      <w:pPr>
        <w:rPr>
          <w:sz w:val="20"/>
          <w:szCs w:val="20"/>
        </w:rPr>
      </w:pPr>
      <w:r w:rsidRPr="00212862">
        <w:rPr>
          <w:sz w:val="20"/>
          <w:szCs w:val="20"/>
        </w:rPr>
        <w:t xml:space="preserve"> </w:t>
      </w:r>
    </w:p>
    <w:p w14:paraId="53F2693A" w14:textId="77777777" w:rsidR="00212862" w:rsidRPr="00212862" w:rsidRDefault="00212862" w:rsidP="00212862">
      <w:pPr>
        <w:rPr>
          <w:sz w:val="20"/>
          <w:szCs w:val="20"/>
        </w:rPr>
      </w:pPr>
      <w:r w:rsidRPr="00212862">
        <w:rPr>
          <w:sz w:val="20"/>
          <w:szCs w:val="20"/>
        </w:rPr>
        <w:t>We also expect to benefit, where appropriate, from statutory frameworks in the United States, Europe, and other countries that provide a period of regulatory exclusivity to compensate for the time and cost required in securing regulatory approval of our clinical products. For example, in 2010, the United States enacted the Biologics Price Competition and Innovation Act (BPCIA). Under the BPCIA, innovator manufacturers of biological products may be granted 12 years of exclusive use before biosimilar versions of such products can be licensed for marketing in the U.S. This means that the FDA may not approve an application for a biosimilar version of our products until 12 years after the date the product is approved for sale (with a potential six-month extension of exclusivity if certain pediatric studies are conducted and the results accepted by the FDA), although a biosimilar application may be submitted four years after the date we receive approval from the FDA to sell our product. Additionally, the BPCIA establishes procedures by which potentially relevant patents may be shared and litigation over patents may proceed in advance of approval. The BPCIA also provides incentives to biosimilar applicants by providing a period of exclusivity to the first biosimilar of a product approved by the FDA. The 12-year data exclusivity provision of the BPCIA does not prevent a competitor from seeking marketing approval of one of our products, or a product similar thereto, by submitting its own, original Biologics License Application (BLA).</w:t>
      </w:r>
    </w:p>
    <w:p w14:paraId="15BBC903" w14:textId="77777777" w:rsidR="00212862" w:rsidRPr="00212862" w:rsidRDefault="00212862" w:rsidP="00212862">
      <w:pPr>
        <w:rPr>
          <w:sz w:val="20"/>
          <w:szCs w:val="20"/>
        </w:rPr>
      </w:pPr>
      <w:r w:rsidRPr="00212862">
        <w:rPr>
          <w:sz w:val="20"/>
          <w:szCs w:val="20"/>
        </w:rPr>
        <w:t xml:space="preserve"> </w:t>
      </w:r>
    </w:p>
    <w:p w14:paraId="601B43FE" w14:textId="77777777" w:rsidR="00212862" w:rsidRPr="00212862" w:rsidRDefault="00212862" w:rsidP="00212862">
      <w:pPr>
        <w:rPr>
          <w:sz w:val="20"/>
          <w:szCs w:val="20"/>
        </w:rPr>
      </w:pPr>
      <w:r w:rsidRPr="00212862">
        <w:rPr>
          <w:sz w:val="20"/>
          <w:szCs w:val="20"/>
        </w:rPr>
        <w:t>We intend to benefit, where applicable, from additional market exclusivity provisions in various jurisdictions that reward the treatments of rare diseases. For example, in the United States under the Orphan Drug Act of 1983, the FDA may grant orphan designation to a vaccine product intended to prevent or treat a rare disease or condition, which is generally a disease or condition that affects fewer than 200,000 individuals in the United States, or more than 200,000 individuals in the United States and for which there is no reasonable expectation that the cost of developing and making the product available in the United States for this type of disease or condition will be recovered from sales of the product. Orphan designation must be requested before submitting a BLA. After the FDA grants orphan designation, the identity of the therapeutic agent and its potential orphan use are disclosed publicly by the FDA. If a product that has orphan designation subsequently receives the first FDA approval for the disease or condition for which it has such designation, the product is entitled to orphan drug exclusivity, which means that the FDA may not approve any other applications to market the same drug for the same indication for seven years from the date of such approval, except in limited circumstances, such as a showing of clinical superiority to the product with orphan exclusivity by means of greater effectiveness, greater safety, or providing a major contribution to patient care, or in instances of drug supply issues. Competitors, however, may receive approval of either a different product for the same indication or the same product for a different indication; in the latter case, because health care professionals are free to prescribe products for off-label uses, the competitor’s product could be used for the orphan indication despite our orphan exclusivity.</w:t>
      </w:r>
    </w:p>
    <w:p w14:paraId="110C4131" w14:textId="77777777" w:rsidR="00212862" w:rsidRPr="00212862" w:rsidRDefault="00212862" w:rsidP="00212862">
      <w:pPr>
        <w:rPr>
          <w:sz w:val="20"/>
          <w:szCs w:val="20"/>
        </w:rPr>
      </w:pPr>
      <w:r w:rsidRPr="00212862">
        <w:rPr>
          <w:sz w:val="20"/>
          <w:szCs w:val="20"/>
        </w:rPr>
        <w:t xml:space="preserve"> </w:t>
      </w:r>
    </w:p>
    <w:p w14:paraId="1E2DA714" w14:textId="77777777" w:rsidR="00212862" w:rsidRPr="00212862" w:rsidRDefault="00212862" w:rsidP="00212862">
      <w:pPr>
        <w:rPr>
          <w:sz w:val="20"/>
          <w:szCs w:val="20"/>
        </w:rPr>
      </w:pPr>
      <w:r w:rsidRPr="00212862">
        <w:rPr>
          <w:sz w:val="20"/>
          <w:szCs w:val="20"/>
        </w:rPr>
        <w:lastRenderedPageBreak/>
        <w:t>We are not a party to any litigation, opposition, interference, or other potentially adverse proceeding with regard to our patent positions. However, if we become involved in litigation, interference proceedings, oppositions or other intellectual property proceedings, for example as a result of an alleged infringement or a third-party alleging an earlier date of invention, we may have to spend significant amounts of money and time and, in the event of an adverse ruling, we could be subject to liability for damages, invalidation of our intellectual property and injunctive relief that could prevent us from using technologies or developing products, any of which could have a significant adverse effect on our business, financial conditions or results of operations. In addition, any claims relating to the infringement of third-party proprietary rights, or earlier date of invention, even if not meritorious, could result in costly litigation, lengthy governmental proceedings, divert management’s attention and resources and require us to enter royalty or license agreements which are not advantageous if available at all.</w:t>
      </w:r>
    </w:p>
    <w:p w14:paraId="586F7F88" w14:textId="77777777" w:rsidR="00212862" w:rsidRPr="00212862" w:rsidRDefault="00212862" w:rsidP="00212862">
      <w:pPr>
        <w:rPr>
          <w:sz w:val="20"/>
          <w:szCs w:val="20"/>
        </w:rPr>
      </w:pPr>
      <w:r w:rsidRPr="00212862">
        <w:rPr>
          <w:sz w:val="20"/>
          <w:szCs w:val="20"/>
        </w:rPr>
        <w:t xml:space="preserve"> </w:t>
      </w:r>
    </w:p>
    <w:p w14:paraId="487C795E" w14:textId="77777777" w:rsidR="00212862" w:rsidRPr="00212862" w:rsidRDefault="00212862" w:rsidP="00212862">
      <w:pPr>
        <w:rPr>
          <w:sz w:val="20"/>
          <w:szCs w:val="20"/>
        </w:rPr>
      </w:pPr>
      <w:r w:rsidRPr="00212862">
        <w:rPr>
          <w:sz w:val="20"/>
          <w:szCs w:val="20"/>
        </w:rPr>
        <w:t>In addition to patents, we rely upon unpatented, proprietary trade secrets and know-how and continuing technological innovation to develop and maintain our competitive position. We seek to protect our proprietary information, in part, using confidentiality agreements with our commercial partners, collaborators, employees, and consultants, and invention assignment agreements with our employees. These agreements are designed to protect our proprietary information and, in the case of the invention assignment agreements, to grant us ownership of technologies that are developed through a relationship with a third party. These agreements may be breached, and we may not have adequate remedies for any breach. In addition, our trade secrets may otherwise become known or be independently discovered by competitors. To the extent that our commercial partners, collaborators, employees, and consultants use intellectual property owned by others in their work for us, disputes may arise as to the rights in related or resulting know-how and inventions.</w:t>
      </w:r>
    </w:p>
    <w:p w14:paraId="6A48F9BE" w14:textId="77777777" w:rsidR="00212862" w:rsidRPr="00212862" w:rsidRDefault="00212862" w:rsidP="00212862">
      <w:pPr>
        <w:rPr>
          <w:sz w:val="20"/>
          <w:szCs w:val="20"/>
        </w:rPr>
      </w:pPr>
    </w:p>
    <w:p w14:paraId="0CA1CBC3" w14:textId="77777777" w:rsidR="00212862" w:rsidRPr="00212862" w:rsidRDefault="00212862" w:rsidP="00212862">
      <w:pPr>
        <w:rPr>
          <w:b/>
          <w:bCs/>
          <w:sz w:val="20"/>
          <w:szCs w:val="20"/>
        </w:rPr>
      </w:pPr>
      <w:r w:rsidRPr="00212862">
        <w:rPr>
          <w:b/>
          <w:bCs/>
          <w:sz w:val="20"/>
          <w:szCs w:val="20"/>
        </w:rPr>
        <w:t>License Agreements</w:t>
      </w:r>
    </w:p>
    <w:p w14:paraId="3612B43C" w14:textId="77777777" w:rsidR="00212862" w:rsidRPr="00212862" w:rsidRDefault="00212862" w:rsidP="00212862">
      <w:pPr>
        <w:rPr>
          <w:sz w:val="20"/>
          <w:szCs w:val="20"/>
        </w:rPr>
      </w:pPr>
    </w:p>
    <w:p w14:paraId="069924B6" w14:textId="77777777" w:rsidR="00212862" w:rsidRPr="00212862" w:rsidRDefault="00212862" w:rsidP="00212862">
      <w:pPr>
        <w:rPr>
          <w:sz w:val="20"/>
          <w:szCs w:val="20"/>
        </w:rPr>
      </w:pPr>
      <w:r w:rsidRPr="00212862">
        <w:rPr>
          <w:b/>
          <w:bCs/>
          <w:sz w:val="20"/>
          <w:szCs w:val="20"/>
        </w:rPr>
        <w:t>City of Hope License</w:t>
      </w:r>
      <w:r w:rsidRPr="00212862">
        <w:rPr>
          <w:sz w:val="20"/>
          <w:szCs w:val="20"/>
        </w:rPr>
        <w:t xml:space="preserve"> – </w:t>
      </w:r>
      <w:r w:rsidRPr="00212862">
        <w:rPr>
          <w:bCs/>
          <w:sz w:val="20"/>
          <w:szCs w:val="20"/>
        </w:rPr>
        <w:t xml:space="preserve">On November 9, 2021, we entered into an Exclusive License Agreement (COH License) with City of Hope (COH), a California nonprofit public benefit corporation, under which the Company obtained exclusive worldwide rights to further develop and commercialize COH04S1, a multi-antigenic SARS-CoV-2 vaccine currently undergoing Phase 2 human clinical trials. The COH License grants </w:t>
      </w:r>
      <w:proofErr w:type="spellStart"/>
      <w:r w:rsidRPr="00212862">
        <w:rPr>
          <w:bCs/>
          <w:sz w:val="20"/>
          <w:szCs w:val="20"/>
        </w:rPr>
        <w:t>GeoVax</w:t>
      </w:r>
      <w:proofErr w:type="spellEnd"/>
      <w:r w:rsidRPr="00212862">
        <w:rPr>
          <w:bCs/>
          <w:sz w:val="20"/>
          <w:szCs w:val="20"/>
        </w:rPr>
        <w:t xml:space="preserve"> exclusive rights to key patents, know-how, regulatory filings and clinical materials for use against COVID-19.</w:t>
      </w:r>
      <w:r w:rsidRPr="00212862">
        <w:rPr>
          <w:sz w:val="20"/>
          <w:szCs w:val="20"/>
        </w:rPr>
        <w:t xml:space="preserve"> </w:t>
      </w:r>
      <w:r w:rsidRPr="00212862">
        <w:rPr>
          <w:bCs/>
          <w:sz w:val="20"/>
          <w:szCs w:val="20"/>
        </w:rPr>
        <w:t>The terms of the COH License, include an upfront fee consisting of an initial payment to COH of $5,000,000 within 30 days of the effective date of the COH License, and additional payments of $3,000,000 and $2,000,000 on the first and second anniversaries, respectively, of the effective date of the COH License. The terms also include milestone payments due upon the achievement of selected development, regulatory and sales events. The Company will also pay COH an annual royalty on net sales of products covered by the patents licensed from COH on a country-by-country and licensed product-by-licensed product basis, subject to specified reductions.</w:t>
      </w:r>
    </w:p>
    <w:p w14:paraId="3C221576" w14:textId="77777777" w:rsidR="00212862" w:rsidRPr="00212862" w:rsidRDefault="00212862" w:rsidP="00212862">
      <w:pPr>
        <w:rPr>
          <w:sz w:val="20"/>
          <w:szCs w:val="20"/>
        </w:rPr>
      </w:pPr>
    </w:p>
    <w:p w14:paraId="029E2451" w14:textId="77777777" w:rsidR="00212862" w:rsidRPr="00212862" w:rsidRDefault="00212862" w:rsidP="00212862">
      <w:pPr>
        <w:rPr>
          <w:bCs/>
          <w:sz w:val="20"/>
          <w:szCs w:val="20"/>
        </w:rPr>
      </w:pPr>
      <w:proofErr w:type="spellStart"/>
      <w:r w:rsidRPr="00212862">
        <w:rPr>
          <w:b/>
          <w:sz w:val="20"/>
          <w:szCs w:val="20"/>
        </w:rPr>
        <w:t>Gedeptin</w:t>
      </w:r>
      <w:proofErr w:type="spellEnd"/>
      <w:r w:rsidRPr="00212862">
        <w:rPr>
          <w:b/>
          <w:sz w:val="20"/>
          <w:szCs w:val="20"/>
        </w:rPr>
        <w:t xml:space="preserve"> License</w:t>
      </w:r>
      <w:r w:rsidRPr="00212862">
        <w:rPr>
          <w:bCs/>
          <w:sz w:val="20"/>
          <w:szCs w:val="20"/>
        </w:rPr>
        <w:t xml:space="preserve"> – On September 28, 2021, we entered into an Assignment and License Agreement (the “</w:t>
      </w:r>
      <w:proofErr w:type="spellStart"/>
      <w:r w:rsidRPr="00212862">
        <w:rPr>
          <w:bCs/>
          <w:sz w:val="20"/>
          <w:szCs w:val="20"/>
        </w:rPr>
        <w:t>Gedeptin</w:t>
      </w:r>
      <w:proofErr w:type="spellEnd"/>
      <w:r w:rsidRPr="00212862">
        <w:rPr>
          <w:bCs/>
          <w:sz w:val="20"/>
          <w:szCs w:val="20"/>
        </w:rPr>
        <w:t xml:space="preserve"> License”) with PNP Therapeutics, Inc. (“PNP”) under which the Company obtained exclusive worldwide rights to key intellectual property, including </w:t>
      </w:r>
      <w:proofErr w:type="spellStart"/>
      <w:r w:rsidRPr="00212862">
        <w:rPr>
          <w:bCs/>
          <w:sz w:val="20"/>
          <w:szCs w:val="20"/>
        </w:rPr>
        <w:t>Gedeptin</w:t>
      </w:r>
      <w:proofErr w:type="spellEnd"/>
      <w:r w:rsidRPr="00212862">
        <w:rPr>
          <w:bCs/>
          <w:sz w:val="20"/>
          <w:szCs w:val="20"/>
        </w:rPr>
        <w:t xml:space="preserve"> patents, know-how, regulatory filings, clinical materials, and trademarks. The </w:t>
      </w:r>
      <w:proofErr w:type="spellStart"/>
      <w:r w:rsidRPr="00212862">
        <w:rPr>
          <w:bCs/>
          <w:sz w:val="20"/>
          <w:szCs w:val="20"/>
        </w:rPr>
        <w:t>Gedeptin</w:t>
      </w:r>
      <w:proofErr w:type="spellEnd"/>
      <w:r w:rsidRPr="00212862">
        <w:rPr>
          <w:bCs/>
          <w:sz w:val="20"/>
          <w:szCs w:val="20"/>
        </w:rPr>
        <w:t xml:space="preserve"> patent portfolio was originally licensed from the University of Alabama at Birmingham (“UAB”) and Southern Research Institute (“SRI”) by PNP. Under the terms of the </w:t>
      </w:r>
      <w:proofErr w:type="spellStart"/>
      <w:r w:rsidRPr="00212862">
        <w:rPr>
          <w:bCs/>
          <w:sz w:val="20"/>
          <w:szCs w:val="20"/>
        </w:rPr>
        <w:t>Gedeptin</w:t>
      </w:r>
      <w:proofErr w:type="spellEnd"/>
      <w:r w:rsidRPr="00212862">
        <w:rPr>
          <w:bCs/>
          <w:sz w:val="20"/>
          <w:szCs w:val="20"/>
        </w:rPr>
        <w:t xml:space="preserve"> License, the Company is the successor to PNP under the Exclusive License Agreement between UAB, SRI and PNP, and has acquired the exclusive rights to develop and commercialize </w:t>
      </w:r>
      <w:proofErr w:type="spellStart"/>
      <w:r w:rsidRPr="00212862">
        <w:rPr>
          <w:bCs/>
          <w:sz w:val="20"/>
          <w:szCs w:val="20"/>
        </w:rPr>
        <w:t>Gedeptin</w:t>
      </w:r>
      <w:proofErr w:type="spellEnd"/>
      <w:r w:rsidRPr="00212862">
        <w:rPr>
          <w:bCs/>
          <w:sz w:val="20"/>
          <w:szCs w:val="20"/>
        </w:rPr>
        <w:t xml:space="preserve">, a novel patented product for the treatment of solid tumors. </w:t>
      </w:r>
    </w:p>
    <w:p w14:paraId="07E3DFBE" w14:textId="77777777" w:rsidR="00212862" w:rsidRPr="00212862" w:rsidRDefault="00212862" w:rsidP="00212862">
      <w:pPr>
        <w:rPr>
          <w:bCs/>
          <w:sz w:val="20"/>
          <w:szCs w:val="20"/>
        </w:rPr>
      </w:pPr>
    </w:p>
    <w:p w14:paraId="4C0B24DC" w14:textId="77777777" w:rsidR="00212862" w:rsidRPr="00212862" w:rsidRDefault="00212862" w:rsidP="00212862">
      <w:pPr>
        <w:rPr>
          <w:bCs/>
          <w:sz w:val="20"/>
          <w:szCs w:val="20"/>
        </w:rPr>
      </w:pPr>
      <w:r w:rsidRPr="00212862">
        <w:rPr>
          <w:bCs/>
          <w:sz w:val="20"/>
          <w:szCs w:val="20"/>
        </w:rPr>
        <w:t xml:space="preserve">The terms of the </w:t>
      </w:r>
      <w:proofErr w:type="spellStart"/>
      <w:r w:rsidRPr="00212862">
        <w:rPr>
          <w:bCs/>
          <w:sz w:val="20"/>
          <w:szCs w:val="20"/>
        </w:rPr>
        <w:t>Gedeptin</w:t>
      </w:r>
      <w:proofErr w:type="spellEnd"/>
      <w:r w:rsidRPr="00212862">
        <w:rPr>
          <w:bCs/>
          <w:sz w:val="20"/>
          <w:szCs w:val="20"/>
        </w:rPr>
        <w:t xml:space="preserve"> License, include (i) an upfront payment at closing, (ii) milestone payments due upon the achievement of selected development and regulatory events, and (iii) quarterly support payments for the lesser period of three years or the Company’s filing for FDA approval of its Biologics License Application on the use of </w:t>
      </w:r>
      <w:proofErr w:type="spellStart"/>
      <w:r w:rsidRPr="00212862">
        <w:rPr>
          <w:bCs/>
          <w:sz w:val="20"/>
          <w:szCs w:val="20"/>
        </w:rPr>
        <w:t>Gedeptin</w:t>
      </w:r>
      <w:proofErr w:type="spellEnd"/>
      <w:r w:rsidRPr="00212862">
        <w:rPr>
          <w:bCs/>
          <w:sz w:val="20"/>
          <w:szCs w:val="20"/>
        </w:rPr>
        <w:t xml:space="preserve"> for the treatment of head and neck cancer in humans. The Company will also pay tiered percentage annual royalties in the low-to-mid teens on Net Sales (as defined in the </w:t>
      </w:r>
      <w:proofErr w:type="spellStart"/>
      <w:r w:rsidRPr="00212862">
        <w:rPr>
          <w:bCs/>
          <w:sz w:val="20"/>
          <w:szCs w:val="20"/>
        </w:rPr>
        <w:t>Gedeptin</w:t>
      </w:r>
      <w:proofErr w:type="spellEnd"/>
      <w:r w:rsidRPr="00212862">
        <w:rPr>
          <w:bCs/>
          <w:sz w:val="20"/>
          <w:szCs w:val="20"/>
        </w:rPr>
        <w:t xml:space="preserve"> License) of products covered under the </w:t>
      </w:r>
      <w:proofErr w:type="spellStart"/>
      <w:r w:rsidRPr="00212862">
        <w:rPr>
          <w:bCs/>
          <w:sz w:val="20"/>
          <w:szCs w:val="20"/>
        </w:rPr>
        <w:t>Gedeptin</w:t>
      </w:r>
      <w:proofErr w:type="spellEnd"/>
      <w:r w:rsidRPr="00212862">
        <w:rPr>
          <w:bCs/>
          <w:sz w:val="20"/>
          <w:szCs w:val="20"/>
        </w:rPr>
        <w:t xml:space="preserve"> License on a country-by-country and product-by-product basis, subject to specified reductions. The Company also issued a warrant to PNP, exercisable at any time following March 28, 2022, and prior to September 28, 2026, for up to 100,000 shares of the Company’s common stock at an exercise price of $13.00 per share. The </w:t>
      </w:r>
      <w:proofErr w:type="spellStart"/>
      <w:r w:rsidRPr="00212862">
        <w:rPr>
          <w:bCs/>
          <w:sz w:val="20"/>
          <w:szCs w:val="20"/>
        </w:rPr>
        <w:t>Gedeptin</w:t>
      </w:r>
      <w:proofErr w:type="spellEnd"/>
      <w:r w:rsidRPr="00212862">
        <w:rPr>
          <w:bCs/>
          <w:sz w:val="20"/>
          <w:szCs w:val="20"/>
        </w:rPr>
        <w:t xml:space="preserve"> License will remain in effect during the original term, which concludes upon FDA approval of a generic or biosimilar product, and then will automatically renew for 5-year additional terms, subject to customary termination rights.</w:t>
      </w:r>
    </w:p>
    <w:p w14:paraId="6291FC87" w14:textId="77777777" w:rsidR="00212862" w:rsidRPr="00212862" w:rsidRDefault="00212862" w:rsidP="00212862">
      <w:pPr>
        <w:rPr>
          <w:bCs/>
          <w:sz w:val="20"/>
          <w:szCs w:val="20"/>
        </w:rPr>
      </w:pPr>
    </w:p>
    <w:p w14:paraId="1591B830" w14:textId="77777777" w:rsidR="00212862" w:rsidRPr="00212862" w:rsidRDefault="00212862" w:rsidP="00212862">
      <w:pPr>
        <w:rPr>
          <w:b/>
          <w:sz w:val="20"/>
          <w:szCs w:val="20"/>
        </w:rPr>
      </w:pPr>
      <w:r w:rsidRPr="00212862">
        <w:rPr>
          <w:b/>
          <w:sz w:val="20"/>
          <w:szCs w:val="20"/>
        </w:rPr>
        <w:lastRenderedPageBreak/>
        <w:t xml:space="preserve">NIH Licenses – </w:t>
      </w:r>
      <w:r w:rsidRPr="00212862">
        <w:rPr>
          <w:bCs/>
          <w:sz w:val="20"/>
          <w:szCs w:val="20"/>
        </w:rPr>
        <w:t xml:space="preserve">On November 25, 2020, the Company entered into a Patent and Biological Materials License Agreement for Internal Research Use (the “Research License”) with the U.S. Department of Health and Human Services (HHS), as represented by NIAID, in support of the Company’s non-clinical development of vaccines against numerous pathogens. The Research License allows </w:t>
      </w:r>
      <w:proofErr w:type="spellStart"/>
      <w:r w:rsidRPr="00212862">
        <w:rPr>
          <w:bCs/>
          <w:sz w:val="20"/>
          <w:szCs w:val="20"/>
        </w:rPr>
        <w:t>GeoVax</w:t>
      </w:r>
      <w:proofErr w:type="spellEnd"/>
      <w:r w:rsidRPr="00212862">
        <w:rPr>
          <w:bCs/>
          <w:sz w:val="20"/>
          <w:szCs w:val="20"/>
        </w:rPr>
        <w:t xml:space="preserve"> to use these materials and patent rights owned by agencies of the HHS in combination with the Company’s proprietary technology for the creation of preventive and/or therapeutic Modified Vaccinia Ankara Virus-Virus Like Particle (MVA-VLP) vaccines against Ebola-Zaire virus, Ebola-Sudan virus, Lassa virus, Marburg virus, Zika virus and malaria. The agreement also extends to the Company’s research and development efforts in certain oncology areas. The agreement provides </w:t>
      </w:r>
      <w:proofErr w:type="spellStart"/>
      <w:r w:rsidRPr="00212862">
        <w:rPr>
          <w:bCs/>
          <w:sz w:val="20"/>
          <w:szCs w:val="20"/>
        </w:rPr>
        <w:t>GeoVax</w:t>
      </w:r>
      <w:proofErr w:type="spellEnd"/>
      <w:r w:rsidRPr="00212862">
        <w:rPr>
          <w:bCs/>
          <w:sz w:val="20"/>
          <w:szCs w:val="20"/>
        </w:rPr>
        <w:t xml:space="preserve"> with nonexclusive rights for the nonclinical development and manufacturing of its vaccine and immunotherapy candidates using HHS patents and materials.</w:t>
      </w:r>
    </w:p>
    <w:p w14:paraId="1253C78E" w14:textId="77777777" w:rsidR="00212862" w:rsidRPr="00212862" w:rsidRDefault="00212862" w:rsidP="00212862">
      <w:pPr>
        <w:rPr>
          <w:bCs/>
          <w:sz w:val="20"/>
          <w:szCs w:val="20"/>
        </w:rPr>
      </w:pPr>
    </w:p>
    <w:p w14:paraId="331B5C51" w14:textId="77777777" w:rsidR="00212862" w:rsidRPr="00212862" w:rsidRDefault="00212862" w:rsidP="00212862">
      <w:pPr>
        <w:rPr>
          <w:bCs/>
          <w:sz w:val="20"/>
          <w:szCs w:val="20"/>
        </w:rPr>
      </w:pPr>
      <w:r w:rsidRPr="00212862">
        <w:rPr>
          <w:bCs/>
          <w:sz w:val="20"/>
          <w:szCs w:val="20"/>
        </w:rPr>
        <w:t xml:space="preserve">On October 22, 2020, the Company entered into a Patent and Biological Materials License Agreement (the “COVID License”) with HHS, as represented by NIAID, in support of the Company’s development of a vaccine against SARS-CoV-2, the virus that causes COVID-19. The COVID License allows </w:t>
      </w:r>
      <w:proofErr w:type="spellStart"/>
      <w:r w:rsidRPr="00212862">
        <w:rPr>
          <w:bCs/>
          <w:sz w:val="20"/>
          <w:szCs w:val="20"/>
        </w:rPr>
        <w:t>GeoVax</w:t>
      </w:r>
      <w:proofErr w:type="spellEnd"/>
      <w:r w:rsidRPr="00212862">
        <w:rPr>
          <w:bCs/>
          <w:sz w:val="20"/>
          <w:szCs w:val="20"/>
        </w:rPr>
        <w:t xml:space="preserve"> to use these materials and patent rights owned by agencies of the HHS in combination with the Company’s proprietary technology for the creation of a preventive Modified Vaccinia Ankara Virus-Virus Like Particle (MVA-VLP) vaccine that primes and/or boosts the immune system against COVID-19. The COVID License provides </w:t>
      </w:r>
      <w:proofErr w:type="spellStart"/>
      <w:r w:rsidRPr="00212862">
        <w:rPr>
          <w:bCs/>
          <w:sz w:val="20"/>
          <w:szCs w:val="20"/>
        </w:rPr>
        <w:t>GeoVax</w:t>
      </w:r>
      <w:proofErr w:type="spellEnd"/>
      <w:r w:rsidRPr="00212862">
        <w:rPr>
          <w:bCs/>
          <w:sz w:val="20"/>
          <w:szCs w:val="20"/>
        </w:rPr>
        <w:t xml:space="preserve"> with nonexclusive rights to develop, manufacture and commercialize its COVID-19 vaccine and includes access to NIAID’s patent rights in the stabilized SPIKE protein, which is the protein that SARS-CoV-2 uses to gain entry into human tissue.</w:t>
      </w:r>
    </w:p>
    <w:p w14:paraId="0F8F95C4" w14:textId="77777777" w:rsidR="00745DD1" w:rsidRPr="003221AE" w:rsidRDefault="00745DD1" w:rsidP="00745DD1">
      <w:pPr>
        <w:rPr>
          <w:sz w:val="20"/>
          <w:szCs w:val="20"/>
        </w:rPr>
      </w:pPr>
    </w:p>
    <w:p w14:paraId="127131CF" w14:textId="113392C8" w:rsidR="00745DD1" w:rsidRDefault="00745DD1" w:rsidP="00745DD1">
      <w:pPr>
        <w:rPr>
          <w:sz w:val="20"/>
          <w:szCs w:val="20"/>
        </w:rPr>
      </w:pPr>
      <w:r w:rsidRPr="003221AE">
        <w:rPr>
          <w:b/>
          <w:bCs/>
          <w:sz w:val="20"/>
          <w:szCs w:val="20"/>
        </w:rPr>
        <w:t>Research and Development</w:t>
      </w:r>
    </w:p>
    <w:p w14:paraId="1B908F1E" w14:textId="77777777" w:rsidR="0057793B" w:rsidRPr="003221AE" w:rsidRDefault="0057793B" w:rsidP="00745DD1">
      <w:pPr>
        <w:rPr>
          <w:sz w:val="20"/>
          <w:szCs w:val="20"/>
        </w:rPr>
      </w:pPr>
    </w:p>
    <w:p w14:paraId="13CF3F3A" w14:textId="0311943B" w:rsidR="00745DD1" w:rsidRPr="003221AE" w:rsidRDefault="00745DD1" w:rsidP="003E5A31">
      <w:pPr>
        <w:ind w:firstLine="720"/>
        <w:jc w:val="both"/>
        <w:rPr>
          <w:sz w:val="20"/>
          <w:szCs w:val="20"/>
        </w:rPr>
      </w:pPr>
      <w:r w:rsidRPr="003B0B2C">
        <w:rPr>
          <w:sz w:val="20"/>
          <w:szCs w:val="20"/>
        </w:rPr>
        <w:t xml:space="preserve">Our expenditures for research and development activities were </w:t>
      </w:r>
      <w:r w:rsidR="003B0B2C" w:rsidRPr="003B0B2C">
        <w:rPr>
          <w:sz w:val="20"/>
          <w:szCs w:val="20"/>
        </w:rPr>
        <w:t>$</w:t>
      </w:r>
      <w:r w:rsidR="007058C2">
        <w:rPr>
          <w:sz w:val="20"/>
          <w:szCs w:val="20"/>
        </w:rPr>
        <w:t>15.6</w:t>
      </w:r>
      <w:r w:rsidR="003B0B2C" w:rsidRPr="003B0B2C">
        <w:rPr>
          <w:sz w:val="20"/>
          <w:szCs w:val="20"/>
        </w:rPr>
        <w:t xml:space="preserve"> million, $</w:t>
      </w:r>
      <w:r w:rsidR="007058C2">
        <w:rPr>
          <w:sz w:val="20"/>
          <w:szCs w:val="20"/>
        </w:rPr>
        <w:t>2.4</w:t>
      </w:r>
      <w:r w:rsidR="003B0B2C" w:rsidRPr="003B0B2C">
        <w:rPr>
          <w:sz w:val="20"/>
          <w:szCs w:val="20"/>
        </w:rPr>
        <w:t xml:space="preserve"> million, $</w:t>
      </w:r>
      <w:r w:rsidR="007058C2">
        <w:rPr>
          <w:sz w:val="20"/>
          <w:szCs w:val="20"/>
        </w:rPr>
        <w:t>1.3</w:t>
      </w:r>
      <w:r w:rsidR="003B0B2C" w:rsidRPr="003B0B2C">
        <w:rPr>
          <w:sz w:val="20"/>
          <w:szCs w:val="20"/>
        </w:rPr>
        <w:t xml:space="preserve"> million and $</w:t>
      </w:r>
      <w:r w:rsidR="007058C2">
        <w:rPr>
          <w:sz w:val="20"/>
          <w:szCs w:val="20"/>
        </w:rPr>
        <w:t>0.6</w:t>
      </w:r>
      <w:r w:rsidR="003B0B2C" w:rsidRPr="003B0B2C">
        <w:rPr>
          <w:sz w:val="20"/>
          <w:szCs w:val="20"/>
        </w:rPr>
        <w:t xml:space="preserve"> million </w:t>
      </w:r>
      <w:r w:rsidRPr="003B0B2C">
        <w:rPr>
          <w:sz w:val="20"/>
          <w:szCs w:val="20"/>
        </w:rPr>
        <w:t>during the years ended December 31, 202</w:t>
      </w:r>
      <w:r w:rsidR="007058C2">
        <w:rPr>
          <w:sz w:val="20"/>
          <w:szCs w:val="20"/>
        </w:rPr>
        <w:t>1</w:t>
      </w:r>
      <w:r w:rsidRPr="003B0B2C">
        <w:rPr>
          <w:sz w:val="20"/>
          <w:szCs w:val="20"/>
        </w:rPr>
        <w:t xml:space="preserve"> and 20</w:t>
      </w:r>
      <w:r w:rsidR="007058C2">
        <w:rPr>
          <w:sz w:val="20"/>
          <w:szCs w:val="20"/>
        </w:rPr>
        <w:t>20</w:t>
      </w:r>
      <w:r w:rsidR="003B0B2C" w:rsidRPr="003B0B2C">
        <w:rPr>
          <w:sz w:val="20"/>
          <w:szCs w:val="20"/>
        </w:rPr>
        <w:t xml:space="preserve"> and the </w:t>
      </w:r>
      <w:r w:rsidR="007058C2">
        <w:rPr>
          <w:sz w:val="20"/>
          <w:szCs w:val="20"/>
        </w:rPr>
        <w:t>three</w:t>
      </w:r>
      <w:r w:rsidR="003B0B2C" w:rsidRPr="003B0B2C">
        <w:rPr>
          <w:sz w:val="20"/>
          <w:szCs w:val="20"/>
        </w:rPr>
        <w:t xml:space="preserve"> months ended </w:t>
      </w:r>
      <w:r w:rsidR="007058C2">
        <w:rPr>
          <w:sz w:val="20"/>
          <w:szCs w:val="20"/>
        </w:rPr>
        <w:t>March</w:t>
      </w:r>
      <w:r w:rsidR="003B0B2C" w:rsidRPr="003B0B2C">
        <w:rPr>
          <w:sz w:val="20"/>
          <w:szCs w:val="20"/>
        </w:rPr>
        <w:t xml:space="preserve"> 3</w:t>
      </w:r>
      <w:r w:rsidR="007058C2">
        <w:rPr>
          <w:sz w:val="20"/>
          <w:szCs w:val="20"/>
        </w:rPr>
        <w:t>1</w:t>
      </w:r>
      <w:r w:rsidR="003B0B2C" w:rsidRPr="003B0B2C">
        <w:rPr>
          <w:sz w:val="20"/>
          <w:szCs w:val="20"/>
        </w:rPr>
        <w:t>, 202</w:t>
      </w:r>
      <w:r w:rsidR="007058C2">
        <w:rPr>
          <w:sz w:val="20"/>
          <w:szCs w:val="20"/>
        </w:rPr>
        <w:t>2</w:t>
      </w:r>
      <w:r w:rsidR="003B0B2C" w:rsidRPr="003B0B2C">
        <w:rPr>
          <w:sz w:val="20"/>
          <w:szCs w:val="20"/>
        </w:rPr>
        <w:t xml:space="preserve"> and 202</w:t>
      </w:r>
      <w:r w:rsidR="007058C2">
        <w:rPr>
          <w:sz w:val="20"/>
          <w:szCs w:val="20"/>
        </w:rPr>
        <w:t>1</w:t>
      </w:r>
      <w:r w:rsidRPr="003B0B2C">
        <w:rPr>
          <w:sz w:val="20"/>
          <w:szCs w:val="20"/>
        </w:rPr>
        <w:t>, respectively. As our</w:t>
      </w:r>
      <w:r w:rsidRPr="003221AE">
        <w:rPr>
          <w:sz w:val="20"/>
          <w:szCs w:val="20"/>
        </w:rPr>
        <w:t xml:space="preserve"> vaccines continue to go through the process to obtain regulatory approval, we expect our research and development costs to increase. We have not yet formulated any plans for marketing and sales of any vaccine candidate we may successfully develop. Compliance with environmental protection laws and regulations has not had a material effect on our capital expenditures, earnings or competitive position to date.</w:t>
      </w:r>
    </w:p>
    <w:p w14:paraId="10B958EF" w14:textId="77777777" w:rsidR="00745DD1" w:rsidRPr="003221AE" w:rsidRDefault="00745DD1" w:rsidP="00745DD1">
      <w:pPr>
        <w:rPr>
          <w:b/>
          <w:bCs/>
          <w:sz w:val="20"/>
          <w:szCs w:val="20"/>
        </w:rPr>
      </w:pPr>
    </w:p>
    <w:p w14:paraId="31957987" w14:textId="77777777" w:rsidR="00745DD1" w:rsidRPr="003221AE" w:rsidRDefault="00745DD1" w:rsidP="00745DD1">
      <w:pPr>
        <w:rPr>
          <w:b/>
          <w:bCs/>
          <w:sz w:val="20"/>
          <w:szCs w:val="20"/>
        </w:rPr>
      </w:pPr>
      <w:r w:rsidRPr="003221AE">
        <w:rPr>
          <w:b/>
          <w:bCs/>
          <w:sz w:val="20"/>
          <w:szCs w:val="20"/>
        </w:rPr>
        <w:t>Scientific Advisors</w:t>
      </w:r>
    </w:p>
    <w:p w14:paraId="4E640C6E" w14:textId="77777777" w:rsidR="00745DD1" w:rsidRPr="003221AE" w:rsidRDefault="00745DD1" w:rsidP="00745DD1">
      <w:pPr>
        <w:rPr>
          <w:bCs/>
          <w:sz w:val="20"/>
          <w:szCs w:val="20"/>
        </w:rPr>
      </w:pPr>
    </w:p>
    <w:p w14:paraId="6F3DB060" w14:textId="77777777" w:rsidR="00745DD1" w:rsidRDefault="00745DD1" w:rsidP="003E5A31">
      <w:pPr>
        <w:ind w:firstLine="720"/>
        <w:jc w:val="both"/>
        <w:rPr>
          <w:bCs/>
          <w:sz w:val="20"/>
          <w:szCs w:val="20"/>
        </w:rPr>
      </w:pPr>
      <w:r w:rsidRPr="003221AE">
        <w:rPr>
          <w:bCs/>
          <w:sz w:val="20"/>
          <w:szCs w:val="20"/>
        </w:rPr>
        <w:t>We seek advice from our Scientific Advisory Board, which consists of a number of leading scientists, on scientific and medical matters.  The current members of our Scientific Advisory Board are:</w:t>
      </w:r>
    </w:p>
    <w:p w14:paraId="2CA4399A" w14:textId="77777777" w:rsidR="003B0B2C" w:rsidRDefault="003B0B2C" w:rsidP="003B0B2C">
      <w:pPr>
        <w:rPr>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6655"/>
      </w:tblGrid>
      <w:tr w:rsidR="003B0B2C" w14:paraId="0CB25FF2" w14:textId="77777777" w:rsidTr="003B0B2C">
        <w:tc>
          <w:tcPr>
            <w:tcW w:w="2695" w:type="dxa"/>
          </w:tcPr>
          <w:p w14:paraId="3342A3FC" w14:textId="77777777" w:rsidR="003B0B2C" w:rsidRPr="003B0B2C" w:rsidRDefault="003B0B2C" w:rsidP="003B0B2C">
            <w:pPr>
              <w:pBdr>
                <w:bottom w:val="single" w:sz="4" w:space="1" w:color="auto"/>
              </w:pBdr>
              <w:jc w:val="center"/>
              <w:rPr>
                <w:b/>
                <w:bCs/>
                <w:sz w:val="20"/>
                <w:szCs w:val="20"/>
              </w:rPr>
            </w:pPr>
            <w:r w:rsidRPr="003B0B2C">
              <w:rPr>
                <w:b/>
                <w:bCs/>
                <w:sz w:val="20"/>
                <w:szCs w:val="20"/>
              </w:rPr>
              <w:t>Name</w:t>
            </w:r>
          </w:p>
        </w:tc>
        <w:tc>
          <w:tcPr>
            <w:tcW w:w="6655" w:type="dxa"/>
          </w:tcPr>
          <w:p w14:paraId="1E99C8A0" w14:textId="77777777" w:rsidR="003B0B2C" w:rsidRPr="003B0B2C" w:rsidRDefault="003B0B2C" w:rsidP="003B0B2C">
            <w:pPr>
              <w:pBdr>
                <w:bottom w:val="single" w:sz="4" w:space="1" w:color="auto"/>
              </w:pBdr>
              <w:jc w:val="center"/>
              <w:rPr>
                <w:b/>
                <w:bCs/>
                <w:sz w:val="20"/>
                <w:szCs w:val="20"/>
              </w:rPr>
            </w:pPr>
            <w:r w:rsidRPr="003B0B2C">
              <w:rPr>
                <w:b/>
                <w:bCs/>
                <w:sz w:val="20"/>
                <w:szCs w:val="20"/>
              </w:rPr>
              <w:t>Position/Institutional Affiliation</w:t>
            </w:r>
          </w:p>
        </w:tc>
      </w:tr>
      <w:tr w:rsidR="003B0B2C" w14:paraId="759A7396" w14:textId="77777777" w:rsidTr="003B0B2C">
        <w:tc>
          <w:tcPr>
            <w:tcW w:w="2695" w:type="dxa"/>
          </w:tcPr>
          <w:p w14:paraId="321774C5" w14:textId="77777777" w:rsidR="003B0B2C" w:rsidRDefault="003B0B2C" w:rsidP="003B0B2C">
            <w:pPr>
              <w:rPr>
                <w:bCs/>
                <w:sz w:val="20"/>
                <w:szCs w:val="20"/>
              </w:rPr>
            </w:pPr>
            <w:r w:rsidRPr="003221AE">
              <w:rPr>
                <w:bCs/>
                <w:sz w:val="20"/>
                <w:szCs w:val="20"/>
              </w:rPr>
              <w:t>Harriet L. Robinson, PhD.</w:t>
            </w:r>
          </w:p>
        </w:tc>
        <w:tc>
          <w:tcPr>
            <w:tcW w:w="6655" w:type="dxa"/>
          </w:tcPr>
          <w:p w14:paraId="48E789B3" w14:textId="77777777" w:rsidR="003B0B2C" w:rsidRDefault="003B0B2C" w:rsidP="003B0B2C">
            <w:pPr>
              <w:rPr>
                <w:bCs/>
                <w:sz w:val="20"/>
                <w:szCs w:val="20"/>
              </w:rPr>
            </w:pPr>
            <w:r w:rsidRPr="003221AE">
              <w:rPr>
                <w:bCs/>
                <w:sz w:val="20"/>
                <w:szCs w:val="20"/>
              </w:rPr>
              <w:t xml:space="preserve">Chief Scientific Officer Emeritus, </w:t>
            </w:r>
            <w:proofErr w:type="spellStart"/>
            <w:r w:rsidRPr="003221AE">
              <w:rPr>
                <w:bCs/>
                <w:sz w:val="20"/>
                <w:szCs w:val="20"/>
              </w:rPr>
              <w:t>GeoVax</w:t>
            </w:r>
            <w:proofErr w:type="spellEnd"/>
          </w:p>
        </w:tc>
      </w:tr>
      <w:tr w:rsidR="003B0B2C" w14:paraId="58FEF978" w14:textId="77777777" w:rsidTr="003B0B2C">
        <w:tc>
          <w:tcPr>
            <w:tcW w:w="2695" w:type="dxa"/>
          </w:tcPr>
          <w:p w14:paraId="41514059" w14:textId="77777777" w:rsidR="003B0B2C" w:rsidRDefault="003B0B2C" w:rsidP="003B0B2C">
            <w:pPr>
              <w:rPr>
                <w:bCs/>
                <w:sz w:val="20"/>
                <w:szCs w:val="20"/>
              </w:rPr>
            </w:pPr>
            <w:r w:rsidRPr="003221AE">
              <w:rPr>
                <w:bCs/>
                <w:sz w:val="20"/>
                <w:szCs w:val="20"/>
              </w:rPr>
              <w:t>Stanley A. Plotkin, MD</w:t>
            </w:r>
          </w:p>
        </w:tc>
        <w:tc>
          <w:tcPr>
            <w:tcW w:w="6655" w:type="dxa"/>
          </w:tcPr>
          <w:p w14:paraId="651E5DBD" w14:textId="77777777" w:rsidR="003B0B2C" w:rsidRDefault="003B0B2C" w:rsidP="003B0B2C">
            <w:pPr>
              <w:rPr>
                <w:bCs/>
                <w:sz w:val="20"/>
                <w:szCs w:val="20"/>
              </w:rPr>
            </w:pPr>
            <w:r w:rsidRPr="003B0B2C">
              <w:rPr>
                <w:bCs/>
                <w:sz w:val="20"/>
                <w:szCs w:val="20"/>
              </w:rPr>
              <w:t>Professor Emeritus, University of Pennsylvania,</w:t>
            </w:r>
            <w:r>
              <w:rPr>
                <w:bCs/>
                <w:sz w:val="20"/>
                <w:szCs w:val="20"/>
              </w:rPr>
              <w:t xml:space="preserve"> </w:t>
            </w:r>
            <w:r w:rsidRPr="003B0B2C">
              <w:rPr>
                <w:bCs/>
                <w:sz w:val="20"/>
                <w:szCs w:val="20"/>
              </w:rPr>
              <w:t>Adjunct Professor, Johns Hopkins University</w:t>
            </w:r>
          </w:p>
        </w:tc>
      </w:tr>
      <w:tr w:rsidR="003B0B2C" w14:paraId="4A40A1D9" w14:textId="77777777" w:rsidTr="003B0B2C">
        <w:tc>
          <w:tcPr>
            <w:tcW w:w="2695" w:type="dxa"/>
          </w:tcPr>
          <w:p w14:paraId="48B55A51" w14:textId="77777777" w:rsidR="003B0B2C" w:rsidRDefault="003B0B2C" w:rsidP="003B0B2C">
            <w:pPr>
              <w:rPr>
                <w:bCs/>
                <w:sz w:val="20"/>
                <w:szCs w:val="20"/>
              </w:rPr>
            </w:pPr>
            <w:r w:rsidRPr="003221AE">
              <w:rPr>
                <w:bCs/>
                <w:sz w:val="20"/>
                <w:szCs w:val="20"/>
              </w:rPr>
              <w:t>Barney S. Graham, MD, PhD</w:t>
            </w:r>
          </w:p>
        </w:tc>
        <w:tc>
          <w:tcPr>
            <w:tcW w:w="6655" w:type="dxa"/>
          </w:tcPr>
          <w:p w14:paraId="7056BA94" w14:textId="77777777" w:rsidR="003B0B2C" w:rsidRDefault="003B0B2C" w:rsidP="003B0B2C">
            <w:pPr>
              <w:rPr>
                <w:bCs/>
                <w:sz w:val="20"/>
                <w:szCs w:val="20"/>
              </w:rPr>
            </w:pPr>
            <w:r w:rsidRPr="003B0B2C">
              <w:rPr>
                <w:bCs/>
                <w:sz w:val="20"/>
                <w:szCs w:val="20"/>
              </w:rPr>
              <w:t>Senior Investigator, Vaccine Research Center, NIAID</w:t>
            </w:r>
          </w:p>
        </w:tc>
      </w:tr>
      <w:tr w:rsidR="003B0B2C" w14:paraId="794333D2" w14:textId="77777777" w:rsidTr="003B0B2C">
        <w:tc>
          <w:tcPr>
            <w:tcW w:w="2695" w:type="dxa"/>
          </w:tcPr>
          <w:p w14:paraId="2C8DD2D5" w14:textId="77777777" w:rsidR="003B0B2C" w:rsidRDefault="003B0B2C" w:rsidP="003B0B2C">
            <w:pPr>
              <w:rPr>
                <w:bCs/>
                <w:sz w:val="20"/>
                <w:szCs w:val="20"/>
              </w:rPr>
            </w:pPr>
            <w:r w:rsidRPr="003221AE">
              <w:rPr>
                <w:bCs/>
                <w:sz w:val="20"/>
                <w:szCs w:val="20"/>
              </w:rPr>
              <w:t>Scott C. Weaver, PhD</w:t>
            </w:r>
          </w:p>
        </w:tc>
        <w:tc>
          <w:tcPr>
            <w:tcW w:w="6655" w:type="dxa"/>
          </w:tcPr>
          <w:p w14:paraId="57DDF66A" w14:textId="77777777" w:rsidR="003B0B2C" w:rsidRDefault="003B0B2C" w:rsidP="003B0B2C">
            <w:pPr>
              <w:rPr>
                <w:bCs/>
                <w:sz w:val="20"/>
                <w:szCs w:val="20"/>
              </w:rPr>
            </w:pPr>
            <w:r w:rsidRPr="003B0B2C">
              <w:rPr>
                <w:bCs/>
                <w:sz w:val="20"/>
                <w:szCs w:val="20"/>
              </w:rPr>
              <w:t>Director, University of Texas Medical Branch Institute for Human Infections and Immunity</w:t>
            </w:r>
          </w:p>
        </w:tc>
      </w:tr>
      <w:tr w:rsidR="003B0B2C" w14:paraId="65CD8C05" w14:textId="77777777" w:rsidTr="003B0B2C">
        <w:tc>
          <w:tcPr>
            <w:tcW w:w="2695" w:type="dxa"/>
          </w:tcPr>
          <w:p w14:paraId="2227EE09" w14:textId="77777777" w:rsidR="003B0B2C" w:rsidRDefault="003B0B2C" w:rsidP="003B0B2C">
            <w:pPr>
              <w:rPr>
                <w:bCs/>
                <w:sz w:val="20"/>
                <w:szCs w:val="20"/>
              </w:rPr>
            </w:pPr>
            <w:r w:rsidRPr="003221AE">
              <w:rPr>
                <w:bCs/>
                <w:sz w:val="20"/>
                <w:szCs w:val="20"/>
              </w:rPr>
              <w:t>Olivera J. Finn, PhD</w:t>
            </w:r>
          </w:p>
        </w:tc>
        <w:tc>
          <w:tcPr>
            <w:tcW w:w="6655" w:type="dxa"/>
          </w:tcPr>
          <w:p w14:paraId="70E394BA" w14:textId="77777777" w:rsidR="003B0B2C" w:rsidRDefault="003B0B2C" w:rsidP="003B0B2C">
            <w:pPr>
              <w:rPr>
                <w:bCs/>
                <w:sz w:val="20"/>
                <w:szCs w:val="20"/>
              </w:rPr>
            </w:pPr>
            <w:r w:rsidRPr="003B0B2C">
              <w:rPr>
                <w:bCs/>
                <w:sz w:val="20"/>
                <w:szCs w:val="20"/>
              </w:rPr>
              <w:t>Distinguished Professor of Immunology and Surgery, University of Pittsburgh</w:t>
            </w:r>
          </w:p>
        </w:tc>
      </w:tr>
    </w:tbl>
    <w:p w14:paraId="19817DC0" w14:textId="77777777" w:rsidR="00745DD1" w:rsidRPr="003221AE" w:rsidRDefault="00745DD1" w:rsidP="00745DD1">
      <w:pPr>
        <w:rPr>
          <w:b/>
          <w:bCs/>
          <w:sz w:val="20"/>
          <w:szCs w:val="20"/>
        </w:rPr>
      </w:pPr>
    </w:p>
    <w:p w14:paraId="17C1F1BD" w14:textId="77777777" w:rsidR="00745DD1" w:rsidRPr="003221AE" w:rsidRDefault="00745DD1" w:rsidP="00745DD1">
      <w:pPr>
        <w:rPr>
          <w:sz w:val="20"/>
          <w:szCs w:val="20"/>
        </w:rPr>
      </w:pPr>
      <w:r w:rsidRPr="003221AE">
        <w:rPr>
          <w:b/>
          <w:bCs/>
          <w:sz w:val="20"/>
          <w:szCs w:val="20"/>
        </w:rPr>
        <w:t>Properties</w:t>
      </w:r>
    </w:p>
    <w:p w14:paraId="0663A1FA" w14:textId="77777777" w:rsidR="00745DD1" w:rsidRPr="003221AE" w:rsidRDefault="00745DD1" w:rsidP="00745DD1">
      <w:pPr>
        <w:rPr>
          <w:sz w:val="20"/>
          <w:szCs w:val="20"/>
        </w:rPr>
      </w:pPr>
    </w:p>
    <w:p w14:paraId="37499DC8" w14:textId="77777777" w:rsidR="00745DD1" w:rsidRPr="003221AE" w:rsidRDefault="00745DD1" w:rsidP="00212862">
      <w:pPr>
        <w:jc w:val="both"/>
        <w:rPr>
          <w:sz w:val="20"/>
          <w:szCs w:val="20"/>
        </w:rPr>
      </w:pPr>
      <w:bookmarkStart w:id="26" w:name="_Hlk91772279"/>
      <w:r w:rsidRPr="003221AE">
        <w:rPr>
          <w:sz w:val="20"/>
          <w:szCs w:val="20"/>
        </w:rPr>
        <w:t>Our principal executive offices are located in Smyrna, Georgia, where we lease approximately 8,400 square feet of office and laboratory space. Our lease for the premises is currently scheduled to terminate on December 31, 2022. We do not currently own any real property. We believe that our current facilities are adequate to meet our immediate needs and believe that we should be able to renew our lease without an adverse impact on our operations. In addition, we believe that if we require additional space, we will be able to obtain additional facilities on commercially reasonable terms.</w:t>
      </w:r>
    </w:p>
    <w:bookmarkEnd w:id="26"/>
    <w:p w14:paraId="1E36D0B5" w14:textId="77777777" w:rsidR="00745DD1" w:rsidRPr="003221AE" w:rsidRDefault="00745DD1" w:rsidP="00745DD1">
      <w:pPr>
        <w:rPr>
          <w:sz w:val="20"/>
          <w:szCs w:val="20"/>
        </w:rPr>
      </w:pPr>
    </w:p>
    <w:p w14:paraId="78B60286" w14:textId="77777777" w:rsidR="00A41B26" w:rsidRDefault="00A41B26">
      <w:pPr>
        <w:rPr>
          <w:b/>
          <w:bCs/>
          <w:sz w:val="20"/>
          <w:szCs w:val="20"/>
        </w:rPr>
      </w:pPr>
      <w:r>
        <w:rPr>
          <w:b/>
          <w:bCs/>
          <w:sz w:val="20"/>
          <w:szCs w:val="20"/>
        </w:rPr>
        <w:br w:type="page"/>
      </w:r>
    </w:p>
    <w:p w14:paraId="37F17B6F" w14:textId="2BE48459" w:rsidR="00745DD1" w:rsidRPr="003221AE" w:rsidRDefault="00745DD1" w:rsidP="00745DD1">
      <w:pPr>
        <w:rPr>
          <w:b/>
          <w:bCs/>
          <w:sz w:val="20"/>
          <w:szCs w:val="20"/>
        </w:rPr>
      </w:pPr>
      <w:r w:rsidRPr="003221AE">
        <w:rPr>
          <w:b/>
          <w:bCs/>
          <w:sz w:val="20"/>
          <w:szCs w:val="20"/>
        </w:rPr>
        <w:lastRenderedPageBreak/>
        <w:t>Human Capital Resources</w:t>
      </w:r>
    </w:p>
    <w:p w14:paraId="46191655" w14:textId="77777777" w:rsidR="00745DD1" w:rsidRPr="003221AE" w:rsidRDefault="00745DD1" w:rsidP="003E5A31">
      <w:pPr>
        <w:jc w:val="both"/>
        <w:rPr>
          <w:sz w:val="20"/>
          <w:szCs w:val="20"/>
        </w:rPr>
      </w:pPr>
    </w:p>
    <w:p w14:paraId="7AB7ACC0" w14:textId="181FA618" w:rsidR="00212862" w:rsidRPr="00212862" w:rsidRDefault="00212862" w:rsidP="00212862">
      <w:pPr>
        <w:rPr>
          <w:sz w:val="20"/>
          <w:szCs w:val="20"/>
        </w:rPr>
      </w:pPr>
      <w:r w:rsidRPr="00212862">
        <w:rPr>
          <w:sz w:val="20"/>
          <w:szCs w:val="20"/>
        </w:rPr>
        <w:t xml:space="preserve">We currently have </w:t>
      </w:r>
      <w:r>
        <w:rPr>
          <w:sz w:val="20"/>
          <w:szCs w:val="20"/>
        </w:rPr>
        <w:t>twelve</w:t>
      </w:r>
      <w:r w:rsidRPr="00212862">
        <w:rPr>
          <w:sz w:val="20"/>
          <w:szCs w:val="20"/>
        </w:rPr>
        <w:t xml:space="preserve"> full-time employees. None of our employees are covered by collective bargaining agreements and we believe that our employee relations are good. We also engage consultants and independent contractors to fulfill key roles and/or provide expert services on both an ongoing and short-term basis.</w:t>
      </w:r>
    </w:p>
    <w:p w14:paraId="736B3C1B" w14:textId="77777777" w:rsidR="00212862" w:rsidRPr="00212862" w:rsidRDefault="00212862" w:rsidP="00212862">
      <w:pPr>
        <w:rPr>
          <w:b/>
          <w:sz w:val="20"/>
          <w:szCs w:val="20"/>
        </w:rPr>
      </w:pPr>
    </w:p>
    <w:p w14:paraId="73EDC979" w14:textId="77777777" w:rsidR="00212862" w:rsidRPr="00212862" w:rsidRDefault="00212862" w:rsidP="00212862">
      <w:pPr>
        <w:rPr>
          <w:bCs/>
          <w:sz w:val="20"/>
          <w:szCs w:val="20"/>
        </w:rPr>
      </w:pPr>
      <w:r w:rsidRPr="00212862">
        <w:rPr>
          <w:bCs/>
          <w:sz w:val="20"/>
          <w:szCs w:val="20"/>
        </w:rPr>
        <w:t>We believe that our future success largely depends upon our continued ability to attract and retain highly skilled employees. We provide our employees with competitive compensation, opportunity for equity ownership, and a robust employment package that promotes wellness across all aspects of their lives, including healthcare, retirement planning, and paid time off.</w:t>
      </w:r>
    </w:p>
    <w:p w14:paraId="32D49168" w14:textId="77777777" w:rsidR="00745DD1" w:rsidRPr="003221AE" w:rsidRDefault="00745DD1" w:rsidP="00745DD1">
      <w:pPr>
        <w:rPr>
          <w:sz w:val="20"/>
          <w:szCs w:val="20"/>
        </w:rPr>
      </w:pPr>
    </w:p>
    <w:p w14:paraId="1FDB1AE6" w14:textId="77777777" w:rsidR="00745DD1" w:rsidRPr="003221AE" w:rsidRDefault="00745DD1" w:rsidP="00745DD1">
      <w:pPr>
        <w:rPr>
          <w:b/>
          <w:sz w:val="20"/>
          <w:szCs w:val="20"/>
        </w:rPr>
      </w:pPr>
      <w:r w:rsidRPr="003221AE">
        <w:rPr>
          <w:b/>
          <w:sz w:val="20"/>
          <w:szCs w:val="20"/>
        </w:rPr>
        <w:t>Corporate Background</w:t>
      </w:r>
    </w:p>
    <w:p w14:paraId="33A3B469" w14:textId="77777777" w:rsidR="00745DD1" w:rsidRPr="003221AE" w:rsidRDefault="00745DD1" w:rsidP="003E5A31">
      <w:pPr>
        <w:jc w:val="both"/>
        <w:rPr>
          <w:b/>
          <w:sz w:val="20"/>
          <w:szCs w:val="20"/>
        </w:rPr>
      </w:pPr>
    </w:p>
    <w:p w14:paraId="2A4CE53B" w14:textId="77777777" w:rsidR="00745DD1" w:rsidRDefault="00745DD1" w:rsidP="00212862">
      <w:pPr>
        <w:ind w:firstLine="720"/>
        <w:rPr>
          <w:sz w:val="20"/>
          <w:szCs w:val="20"/>
        </w:rPr>
      </w:pPr>
      <w:r w:rsidRPr="003221AE">
        <w:rPr>
          <w:sz w:val="20"/>
          <w:szCs w:val="20"/>
        </w:rPr>
        <w:t xml:space="preserve">Our primary business is conducted by our wholly owned subsidiary, </w:t>
      </w:r>
      <w:proofErr w:type="spellStart"/>
      <w:r w:rsidRPr="003221AE">
        <w:rPr>
          <w:sz w:val="20"/>
          <w:szCs w:val="20"/>
        </w:rPr>
        <w:t>GeoVax</w:t>
      </w:r>
      <w:proofErr w:type="spellEnd"/>
      <w:r w:rsidRPr="003221AE">
        <w:rPr>
          <w:sz w:val="20"/>
          <w:szCs w:val="20"/>
        </w:rPr>
        <w:t xml:space="preserve">, Inc., which was incorporated under the laws of Georgia in June 2001. Our address is 1900 Lake Park Drive, Smyrna, Georgia 30080, and our telephone number at that address is 678-384-7220. The predecessor of our parent company, </w:t>
      </w:r>
      <w:proofErr w:type="spellStart"/>
      <w:r w:rsidRPr="003221AE">
        <w:rPr>
          <w:sz w:val="20"/>
          <w:szCs w:val="20"/>
        </w:rPr>
        <w:t>GeoVax</w:t>
      </w:r>
      <w:proofErr w:type="spellEnd"/>
      <w:r w:rsidRPr="003221AE">
        <w:rPr>
          <w:sz w:val="20"/>
          <w:szCs w:val="20"/>
        </w:rPr>
        <w:t xml:space="preserve"> Labs, Inc. (the reporting entity) was originally incorporated in June 1988 under the laws of Illinois as Dauphin Technology, Inc. (“Dauphin”). In September 2006, Dauphin completed a merger with </w:t>
      </w:r>
      <w:proofErr w:type="spellStart"/>
      <w:r w:rsidRPr="003221AE">
        <w:rPr>
          <w:sz w:val="20"/>
          <w:szCs w:val="20"/>
        </w:rPr>
        <w:t>GeoVax</w:t>
      </w:r>
      <w:proofErr w:type="spellEnd"/>
      <w:r w:rsidRPr="003221AE">
        <w:rPr>
          <w:sz w:val="20"/>
          <w:szCs w:val="20"/>
        </w:rPr>
        <w:t xml:space="preserve">, Inc. As a result of the merger, </w:t>
      </w:r>
      <w:proofErr w:type="spellStart"/>
      <w:r w:rsidRPr="003221AE">
        <w:rPr>
          <w:sz w:val="20"/>
          <w:szCs w:val="20"/>
        </w:rPr>
        <w:t>GeoVax</w:t>
      </w:r>
      <w:proofErr w:type="spellEnd"/>
      <w:r w:rsidRPr="003221AE">
        <w:rPr>
          <w:sz w:val="20"/>
          <w:szCs w:val="20"/>
        </w:rPr>
        <w:t xml:space="preserve">, Inc. became a wholly owned subsidiary of Dauphin, and Dauphin changed its name to </w:t>
      </w:r>
      <w:proofErr w:type="spellStart"/>
      <w:r w:rsidRPr="003221AE">
        <w:rPr>
          <w:sz w:val="20"/>
          <w:szCs w:val="20"/>
        </w:rPr>
        <w:t>GeoVax</w:t>
      </w:r>
      <w:proofErr w:type="spellEnd"/>
      <w:r w:rsidRPr="003221AE">
        <w:rPr>
          <w:sz w:val="20"/>
          <w:szCs w:val="20"/>
        </w:rPr>
        <w:t xml:space="preserve"> Labs, Inc. In June 2008, the Company was reincorporated under the laws of Delaware. We currently do not conduct any business other than </w:t>
      </w:r>
      <w:proofErr w:type="spellStart"/>
      <w:r w:rsidRPr="003221AE">
        <w:rPr>
          <w:sz w:val="20"/>
          <w:szCs w:val="20"/>
        </w:rPr>
        <w:t>GeoVax</w:t>
      </w:r>
      <w:proofErr w:type="spellEnd"/>
      <w:r w:rsidRPr="003221AE">
        <w:rPr>
          <w:sz w:val="20"/>
          <w:szCs w:val="20"/>
        </w:rPr>
        <w:t>, Inc.’s business of developing new products for the treatment or prevention of human diseases. Our principal offices are in Smyrna, Georgia (metropolitan Atlanta).</w:t>
      </w:r>
    </w:p>
    <w:p w14:paraId="6302CE0A" w14:textId="77777777" w:rsidR="003B0B2C" w:rsidRDefault="003B0B2C" w:rsidP="003B0B2C">
      <w:pPr>
        <w:rPr>
          <w:sz w:val="20"/>
          <w:szCs w:val="20"/>
        </w:rPr>
      </w:pPr>
    </w:p>
    <w:p w14:paraId="7DA74C04" w14:textId="77777777" w:rsidR="003B0B2C" w:rsidRDefault="003B0B2C" w:rsidP="003B0B2C">
      <w:pPr>
        <w:rPr>
          <w:sz w:val="20"/>
          <w:szCs w:val="20"/>
        </w:rPr>
        <w:sectPr w:rsidR="003B0B2C" w:rsidSect="00AE0555">
          <w:pgSz w:w="12240" w:h="15840"/>
          <w:pgMar w:top="1440" w:right="1440" w:bottom="1440" w:left="1440" w:header="720" w:footer="720" w:gutter="0"/>
          <w:cols w:space="720"/>
          <w:docGrid w:linePitch="326"/>
        </w:sectPr>
      </w:pPr>
    </w:p>
    <w:p w14:paraId="161C355C" w14:textId="77777777" w:rsidR="003B0B2C" w:rsidRPr="00212B8B" w:rsidRDefault="006D3AC2" w:rsidP="006D3AC2">
      <w:pPr>
        <w:jc w:val="center"/>
        <w:rPr>
          <w:b/>
          <w:sz w:val="20"/>
          <w:szCs w:val="20"/>
        </w:rPr>
      </w:pPr>
      <w:r w:rsidRPr="00212B8B">
        <w:rPr>
          <w:b/>
          <w:sz w:val="20"/>
          <w:szCs w:val="20"/>
        </w:rPr>
        <w:lastRenderedPageBreak/>
        <w:t>MANAGEMENT’S DISCUSSION AND ANALYSIS OF FINANCIAL CONDITION AND RESULTS OF OPERATION</w:t>
      </w:r>
    </w:p>
    <w:p w14:paraId="1CD8EE17" w14:textId="77777777" w:rsidR="006D3AC2" w:rsidRPr="00212B8B" w:rsidRDefault="006D3AC2" w:rsidP="006D3AC2">
      <w:pPr>
        <w:rPr>
          <w:sz w:val="20"/>
          <w:szCs w:val="20"/>
        </w:rPr>
      </w:pPr>
    </w:p>
    <w:p w14:paraId="4932B0F6" w14:textId="77777777" w:rsidR="006D3AC2" w:rsidRPr="00212B8B" w:rsidRDefault="006D3AC2" w:rsidP="006D3AC2">
      <w:pPr>
        <w:ind w:firstLine="720"/>
        <w:rPr>
          <w:i/>
          <w:sz w:val="20"/>
          <w:szCs w:val="20"/>
        </w:rPr>
      </w:pPr>
      <w:r w:rsidRPr="00212B8B">
        <w:rPr>
          <w:i/>
          <w:sz w:val="20"/>
          <w:szCs w:val="20"/>
        </w:rPr>
        <w:t>The following discussion and analysis of our financial condition and results of operations should be read together with our consolidated financial statements and the related notes included in this prospectus. This discussion contains forward-looking statements that involve risks and uncertainties because they are based on current expectations and relate to future events and our future financial performance. Our actual results may differ materially from those anticipated in these forward-looking statements because of many important factors, including those set forth under “Risk Factors” and elsewhere in this prospectus.</w:t>
      </w:r>
    </w:p>
    <w:p w14:paraId="38BBA795" w14:textId="77777777" w:rsidR="006D3AC2" w:rsidRPr="00212B8B" w:rsidRDefault="006D3AC2" w:rsidP="006D3AC2">
      <w:pPr>
        <w:ind w:firstLine="720"/>
        <w:rPr>
          <w:i/>
          <w:sz w:val="20"/>
          <w:szCs w:val="20"/>
        </w:rPr>
      </w:pPr>
    </w:p>
    <w:p w14:paraId="1218CD48" w14:textId="77777777" w:rsidR="008F3E8B" w:rsidRPr="00212B8B" w:rsidRDefault="008F3E8B" w:rsidP="003E5A31">
      <w:pPr>
        <w:rPr>
          <w:sz w:val="20"/>
          <w:szCs w:val="20"/>
        </w:rPr>
      </w:pPr>
      <w:r w:rsidRPr="00212B8B">
        <w:rPr>
          <w:b/>
          <w:bCs/>
          <w:sz w:val="20"/>
          <w:szCs w:val="20"/>
        </w:rPr>
        <w:t>Overview and Recent Developments</w:t>
      </w:r>
    </w:p>
    <w:p w14:paraId="5C8807F0" w14:textId="77777777" w:rsidR="008F3E8B" w:rsidRPr="00212B8B" w:rsidRDefault="008F3E8B" w:rsidP="003E5A31">
      <w:pPr>
        <w:ind w:left="144"/>
        <w:rPr>
          <w:sz w:val="20"/>
          <w:szCs w:val="20"/>
        </w:rPr>
      </w:pPr>
      <w:r w:rsidRPr="00212B8B">
        <w:rPr>
          <w:sz w:val="20"/>
          <w:szCs w:val="20"/>
        </w:rPr>
        <w:t> </w:t>
      </w:r>
    </w:p>
    <w:p w14:paraId="69A578A6" w14:textId="433B9C4D" w:rsidR="008F3E8B" w:rsidRDefault="008F3E8B" w:rsidP="004F0831">
      <w:pPr>
        <w:ind w:firstLine="720"/>
        <w:rPr>
          <w:sz w:val="20"/>
          <w:szCs w:val="20"/>
        </w:rPr>
      </w:pPr>
      <w:proofErr w:type="spellStart"/>
      <w:r w:rsidRPr="00212B8B">
        <w:rPr>
          <w:sz w:val="20"/>
          <w:szCs w:val="20"/>
        </w:rPr>
        <w:t>GeoVax</w:t>
      </w:r>
      <w:proofErr w:type="spellEnd"/>
      <w:r w:rsidRPr="00212B8B">
        <w:rPr>
          <w:sz w:val="20"/>
          <w:szCs w:val="20"/>
        </w:rPr>
        <w:t xml:space="preserve"> is a clinical-stage biotechnology company developing immunotherapies and vaccines against infectious diseases and cancers using novel vector vaccine platforms. </w:t>
      </w:r>
      <w:proofErr w:type="spellStart"/>
      <w:r w:rsidRPr="00212B8B">
        <w:rPr>
          <w:bCs/>
          <w:sz w:val="20"/>
          <w:szCs w:val="20"/>
        </w:rPr>
        <w:t>GeoVax’s</w:t>
      </w:r>
      <w:proofErr w:type="spellEnd"/>
      <w:r w:rsidRPr="00212B8B">
        <w:rPr>
          <w:bCs/>
          <w:sz w:val="20"/>
          <w:szCs w:val="20"/>
        </w:rPr>
        <w:t xml:space="preserve"> product pipeline includes ongoing human clinical trials in COVID-19 and </w:t>
      </w:r>
      <w:r w:rsidRPr="00212B8B">
        <w:rPr>
          <w:sz w:val="20"/>
          <w:szCs w:val="20"/>
        </w:rPr>
        <w:t xml:space="preserve">head and neck cancer. Additional research and development programs include preventive vaccines against HIV, Zika Virus, hemorrhagic fever viruses (Ebola, Sudan, Marburg, and Lassa) and malaria, as well as immunotherapies for solid tumors. </w:t>
      </w:r>
    </w:p>
    <w:p w14:paraId="60E80D0A" w14:textId="77777777" w:rsidR="007C1EE1" w:rsidRPr="00212B8B" w:rsidRDefault="007C1EE1" w:rsidP="003E5A31">
      <w:pPr>
        <w:ind w:firstLine="720"/>
        <w:jc w:val="both"/>
        <w:rPr>
          <w:sz w:val="20"/>
          <w:szCs w:val="20"/>
        </w:rPr>
      </w:pPr>
    </w:p>
    <w:p w14:paraId="3D8A2AEB" w14:textId="77777777" w:rsidR="007C1EE1" w:rsidRPr="007C1EE1" w:rsidRDefault="007C1EE1" w:rsidP="007C1EE1">
      <w:pPr>
        <w:rPr>
          <w:sz w:val="20"/>
          <w:szCs w:val="20"/>
        </w:rPr>
      </w:pPr>
      <w:bookmarkStart w:id="27" w:name="_Hlk104885490"/>
      <w:bookmarkStart w:id="28" w:name="_Hlk80882987"/>
      <w:r w:rsidRPr="007C1EE1">
        <w:rPr>
          <w:sz w:val="20"/>
          <w:szCs w:val="20"/>
        </w:rPr>
        <w:t>Our programs are in various stages of development</w:t>
      </w:r>
      <w:bookmarkStart w:id="29" w:name="_Hlk86323645"/>
      <w:r w:rsidRPr="007C1EE1">
        <w:rPr>
          <w:sz w:val="20"/>
          <w:szCs w:val="20"/>
        </w:rPr>
        <w:t>, the most significant of which are summarized below:</w:t>
      </w:r>
    </w:p>
    <w:p w14:paraId="789D46FE" w14:textId="77777777" w:rsidR="007C1EE1" w:rsidRPr="007C1EE1" w:rsidRDefault="007C1EE1" w:rsidP="007C1EE1">
      <w:pPr>
        <w:numPr>
          <w:ilvl w:val="0"/>
          <w:numId w:val="25"/>
        </w:numPr>
        <w:ind w:left="360"/>
        <w:contextualSpacing/>
        <w:rPr>
          <w:bCs/>
          <w:sz w:val="20"/>
          <w:szCs w:val="20"/>
        </w:rPr>
      </w:pPr>
      <w:r w:rsidRPr="007C1EE1">
        <w:rPr>
          <w:bCs/>
          <w:sz w:val="20"/>
          <w:szCs w:val="20"/>
        </w:rPr>
        <w:t xml:space="preserve">GEO-CM04S1 is currently undergoing a Phase 2 clinical trial (NCT04977024), evaluating its safety and efficacy as a preventive COVID-19 vaccine, compared to the Pfizer/BioNTech mRNA-based vaccine, in blood cancer patients who have received a bone marrow transplant or chimeric antigen receptor therapy (CAR T). </w:t>
      </w:r>
    </w:p>
    <w:p w14:paraId="44B9855F" w14:textId="77777777" w:rsidR="007C1EE1" w:rsidRPr="007C1EE1" w:rsidRDefault="007C1EE1" w:rsidP="007C1EE1">
      <w:pPr>
        <w:numPr>
          <w:ilvl w:val="0"/>
          <w:numId w:val="25"/>
        </w:numPr>
        <w:ind w:left="360"/>
        <w:contextualSpacing/>
        <w:rPr>
          <w:bCs/>
          <w:sz w:val="20"/>
          <w:szCs w:val="20"/>
        </w:rPr>
      </w:pPr>
      <w:r w:rsidRPr="007C1EE1">
        <w:rPr>
          <w:bCs/>
          <w:sz w:val="20"/>
          <w:szCs w:val="20"/>
        </w:rPr>
        <w:t>In December 2021, patient enrollment began for the Phase 2 portion of a Phase 1/2 trial (NCT04639466) of GEO-CM04S1, evaluating its use as a universal booster vaccine to current FDA-approved two-shot mRNA vaccines from Pfizer/BioNTech and Moderna.</w:t>
      </w:r>
    </w:p>
    <w:p w14:paraId="1C3E542C" w14:textId="77777777" w:rsidR="007C1EE1" w:rsidRPr="007C1EE1" w:rsidRDefault="007C1EE1" w:rsidP="007C1EE1">
      <w:pPr>
        <w:numPr>
          <w:ilvl w:val="0"/>
          <w:numId w:val="25"/>
        </w:numPr>
        <w:ind w:left="360"/>
        <w:contextualSpacing/>
        <w:rPr>
          <w:bCs/>
          <w:sz w:val="20"/>
          <w:szCs w:val="20"/>
        </w:rPr>
      </w:pPr>
      <w:proofErr w:type="spellStart"/>
      <w:r w:rsidRPr="007C1EE1">
        <w:rPr>
          <w:bCs/>
          <w:sz w:val="20"/>
          <w:szCs w:val="20"/>
        </w:rPr>
        <w:t>Gedeptin</w:t>
      </w:r>
      <w:proofErr w:type="spellEnd"/>
      <w:r w:rsidRPr="007C1EE1">
        <w:rPr>
          <w:bCs/>
          <w:sz w:val="20"/>
          <w:szCs w:val="20"/>
          <w:vertAlign w:val="superscript"/>
        </w:rPr>
        <w:t>®</w:t>
      </w:r>
      <w:r w:rsidRPr="007C1EE1">
        <w:rPr>
          <w:bCs/>
          <w:sz w:val="20"/>
          <w:szCs w:val="20"/>
        </w:rPr>
        <w:t xml:space="preserve"> is currently undergoing a Phase 1/2 clinical trial (NCT03754933) for treatment of patients with advanced head and neck cancer, </w:t>
      </w:r>
      <w:bookmarkEnd w:id="29"/>
      <w:r w:rsidRPr="007C1EE1">
        <w:rPr>
          <w:bCs/>
          <w:sz w:val="20"/>
          <w:szCs w:val="20"/>
        </w:rPr>
        <w:t xml:space="preserve">which is being conducted with funding support from the U.S. Food &amp; Drug Administration (FDA) pursuant to its Orphan Products Grants Program.  </w:t>
      </w:r>
    </w:p>
    <w:p w14:paraId="1E2FDA7A" w14:textId="77777777" w:rsidR="007C1EE1" w:rsidRPr="007C1EE1" w:rsidRDefault="007C1EE1" w:rsidP="007C1EE1">
      <w:pPr>
        <w:numPr>
          <w:ilvl w:val="0"/>
          <w:numId w:val="25"/>
        </w:numPr>
        <w:ind w:left="360"/>
        <w:contextualSpacing/>
        <w:rPr>
          <w:sz w:val="20"/>
          <w:szCs w:val="20"/>
        </w:rPr>
      </w:pPr>
      <w:r w:rsidRPr="007C1EE1">
        <w:rPr>
          <w:sz w:val="20"/>
          <w:szCs w:val="20"/>
        </w:rPr>
        <w:t>Our pan coronavirus vaccine (GEO-CM02) has shown promising results in preclinical studies to date and with additional studies planned for 2022 to prepare for IND (Investigational New Drug) filing and subsequent human clinical trials.</w:t>
      </w:r>
    </w:p>
    <w:p w14:paraId="2CDD4088" w14:textId="77777777" w:rsidR="007C1EE1" w:rsidRPr="007C1EE1" w:rsidRDefault="007C1EE1" w:rsidP="007C1EE1">
      <w:pPr>
        <w:numPr>
          <w:ilvl w:val="0"/>
          <w:numId w:val="25"/>
        </w:numPr>
        <w:ind w:left="360"/>
        <w:contextualSpacing/>
        <w:rPr>
          <w:sz w:val="20"/>
          <w:szCs w:val="20"/>
        </w:rPr>
      </w:pPr>
      <w:r w:rsidRPr="007C1EE1">
        <w:rPr>
          <w:sz w:val="20"/>
          <w:szCs w:val="20"/>
        </w:rPr>
        <w:t>Our additional research programs for treatment of solid tumors, and vaccines against Zika virus, malaria and hemorrhagic fever viruses are at various stages of preclinical development.</w:t>
      </w:r>
    </w:p>
    <w:bookmarkEnd w:id="27"/>
    <w:p w14:paraId="6B4EF397" w14:textId="3DFAFAB9" w:rsidR="004765CB" w:rsidRDefault="004765CB" w:rsidP="003E5A31">
      <w:pPr>
        <w:ind w:firstLine="720"/>
        <w:jc w:val="both"/>
        <w:rPr>
          <w:bCs/>
          <w:sz w:val="20"/>
          <w:szCs w:val="20"/>
        </w:rPr>
      </w:pPr>
    </w:p>
    <w:p w14:paraId="62457B70" w14:textId="19364438" w:rsidR="007C1EE1" w:rsidRPr="007C1EE1" w:rsidRDefault="007C1EE1" w:rsidP="004F0831">
      <w:pPr>
        <w:ind w:firstLine="720"/>
        <w:rPr>
          <w:bCs/>
          <w:sz w:val="20"/>
          <w:szCs w:val="20"/>
        </w:rPr>
      </w:pPr>
      <w:bookmarkStart w:id="30" w:name="_Hlk104884523"/>
      <w:r w:rsidRPr="007C1EE1">
        <w:rPr>
          <w:bCs/>
          <w:sz w:val="20"/>
          <w:szCs w:val="20"/>
        </w:rPr>
        <w:t xml:space="preserve">On May 25, 2022, we entered into a Securities Purchase Agreement (the “PIPE Securities Purchase Agreement”) with </w:t>
      </w:r>
      <w:r w:rsidR="0002579B">
        <w:rPr>
          <w:bCs/>
          <w:sz w:val="20"/>
          <w:szCs w:val="20"/>
        </w:rPr>
        <w:t xml:space="preserve">Armistice </w:t>
      </w:r>
      <w:r w:rsidRPr="007C1EE1">
        <w:rPr>
          <w:bCs/>
          <w:sz w:val="20"/>
          <w:szCs w:val="20"/>
        </w:rPr>
        <w:t xml:space="preserve">providing for the issuance and sale to </w:t>
      </w:r>
      <w:r w:rsidR="0002579B">
        <w:rPr>
          <w:bCs/>
          <w:sz w:val="20"/>
          <w:szCs w:val="20"/>
        </w:rPr>
        <w:t xml:space="preserve">Armistice </w:t>
      </w:r>
      <w:r w:rsidRPr="007C1EE1">
        <w:rPr>
          <w:bCs/>
          <w:sz w:val="20"/>
          <w:szCs w:val="20"/>
        </w:rPr>
        <w:t xml:space="preserve">in a private placement offering of 9,090,910 shares of our common stock </w:t>
      </w:r>
      <w:r w:rsidR="004C7E37">
        <w:rPr>
          <w:bCs/>
          <w:sz w:val="20"/>
          <w:szCs w:val="20"/>
        </w:rPr>
        <w:t>issuable upon exercise of a p</w:t>
      </w:r>
      <w:r w:rsidRPr="007C1EE1">
        <w:rPr>
          <w:bCs/>
          <w:sz w:val="20"/>
          <w:szCs w:val="20"/>
        </w:rPr>
        <w:t>re-</w:t>
      </w:r>
      <w:r w:rsidR="004C7E37">
        <w:rPr>
          <w:bCs/>
          <w:sz w:val="20"/>
          <w:szCs w:val="20"/>
        </w:rPr>
        <w:t>f</w:t>
      </w:r>
      <w:r w:rsidRPr="007C1EE1">
        <w:rPr>
          <w:bCs/>
          <w:sz w:val="20"/>
          <w:szCs w:val="20"/>
        </w:rPr>
        <w:t xml:space="preserve">unded </w:t>
      </w:r>
      <w:r w:rsidR="004C7E37">
        <w:rPr>
          <w:bCs/>
          <w:sz w:val="20"/>
          <w:szCs w:val="20"/>
        </w:rPr>
        <w:t>w</w:t>
      </w:r>
      <w:r w:rsidRPr="007C1EE1">
        <w:rPr>
          <w:bCs/>
          <w:sz w:val="20"/>
          <w:szCs w:val="20"/>
        </w:rPr>
        <w:t>arrant and a preferred investment option to purchase up to 9,090,910 shares of common stock</w:t>
      </w:r>
      <w:r w:rsidR="004C7E37">
        <w:rPr>
          <w:bCs/>
          <w:sz w:val="20"/>
          <w:szCs w:val="20"/>
        </w:rPr>
        <w:t xml:space="preserve">. </w:t>
      </w:r>
      <w:r w:rsidRPr="007C1EE1">
        <w:rPr>
          <w:bCs/>
          <w:sz w:val="20"/>
          <w:szCs w:val="20"/>
        </w:rPr>
        <w:t xml:space="preserve">Concurrently with the entrance into the PIPE Securities Purchase Agreement, we entered into another Securities Purchase Agreement (the “RD Securities Purchase Agreement”) with </w:t>
      </w:r>
      <w:r w:rsidR="0002579B">
        <w:rPr>
          <w:bCs/>
          <w:sz w:val="20"/>
          <w:szCs w:val="20"/>
        </w:rPr>
        <w:t xml:space="preserve">Armistice </w:t>
      </w:r>
      <w:r w:rsidRPr="007C1EE1">
        <w:rPr>
          <w:bCs/>
          <w:sz w:val="20"/>
          <w:szCs w:val="20"/>
        </w:rPr>
        <w:t xml:space="preserve">providing for the issuance and sale to </w:t>
      </w:r>
      <w:r w:rsidR="0002579B">
        <w:rPr>
          <w:bCs/>
          <w:sz w:val="20"/>
          <w:szCs w:val="20"/>
        </w:rPr>
        <w:t xml:space="preserve">Armistice </w:t>
      </w:r>
      <w:r w:rsidRPr="007C1EE1">
        <w:rPr>
          <w:bCs/>
          <w:sz w:val="20"/>
          <w:szCs w:val="20"/>
        </w:rPr>
        <w:t>in a registered direct offering of 1,050,000 shares of our common stock</w:t>
      </w:r>
      <w:r w:rsidR="004C7E37">
        <w:rPr>
          <w:bCs/>
          <w:sz w:val="20"/>
          <w:szCs w:val="20"/>
        </w:rPr>
        <w:t xml:space="preserve">, </w:t>
      </w:r>
      <w:r w:rsidRPr="007C1EE1">
        <w:rPr>
          <w:bCs/>
          <w:sz w:val="20"/>
          <w:szCs w:val="20"/>
        </w:rPr>
        <w:t>a pre-funded warrant to purchase up to 1,980,304 shares of our common stock and a preferred investment option to purchase up to 3,030,304 shares of common stock</w:t>
      </w:r>
      <w:r w:rsidR="004C7E37">
        <w:rPr>
          <w:bCs/>
          <w:sz w:val="20"/>
          <w:szCs w:val="20"/>
        </w:rPr>
        <w:t>.  A</w:t>
      </w:r>
      <w:r w:rsidRPr="007C1EE1">
        <w:rPr>
          <w:bCs/>
          <w:sz w:val="20"/>
          <w:szCs w:val="20"/>
        </w:rPr>
        <w:t xml:space="preserve">ggregate gross proceeds from the private placement and registered direct offerings to the Company </w:t>
      </w:r>
      <w:r w:rsidR="004C7E37">
        <w:rPr>
          <w:bCs/>
          <w:sz w:val="20"/>
          <w:szCs w:val="20"/>
        </w:rPr>
        <w:t>were</w:t>
      </w:r>
      <w:r w:rsidRPr="007C1EE1">
        <w:rPr>
          <w:bCs/>
          <w:sz w:val="20"/>
          <w:szCs w:val="20"/>
        </w:rPr>
        <w:t xml:space="preserve"> approximately $20.0 million.  </w:t>
      </w:r>
    </w:p>
    <w:bookmarkEnd w:id="28"/>
    <w:bookmarkEnd w:id="30"/>
    <w:p w14:paraId="1492E3EE" w14:textId="77777777" w:rsidR="008F3E8B" w:rsidRPr="00212B8B" w:rsidRDefault="008F3E8B" w:rsidP="004F0831">
      <w:pPr>
        <w:rPr>
          <w:sz w:val="20"/>
          <w:szCs w:val="20"/>
        </w:rPr>
      </w:pPr>
    </w:p>
    <w:p w14:paraId="623EE9D7" w14:textId="77777777" w:rsidR="008F3E8B" w:rsidRPr="00212B8B" w:rsidRDefault="008F3E8B" w:rsidP="004F0831">
      <w:pPr>
        <w:ind w:firstLine="720"/>
        <w:rPr>
          <w:sz w:val="20"/>
          <w:szCs w:val="20"/>
        </w:rPr>
      </w:pPr>
      <w:r w:rsidRPr="00212B8B">
        <w:rPr>
          <w:sz w:val="20"/>
          <w:szCs w:val="20"/>
        </w:rPr>
        <w:t>Our corporate strategy is to advance, protect and exploit our differentiated vaccine/immunotherapy technologies leading to the successful development of preventive and therapeutic vaccines and immunotherapies against infectious diseases and various cancers. Our goal is to advance products through to human clinical testing, and to seek partnership or licensing arrangements for achieving regulatory approval and commercialization. We also leverage third party resources through collaborations and partnerships for preclinical and clinical testing with multiple government, academic and corporate entities.</w:t>
      </w:r>
    </w:p>
    <w:p w14:paraId="229DC8C8" w14:textId="77777777" w:rsidR="008F3E8B" w:rsidRPr="00212B8B" w:rsidRDefault="008F3E8B" w:rsidP="003E5A31">
      <w:pPr>
        <w:jc w:val="both"/>
        <w:rPr>
          <w:sz w:val="20"/>
          <w:szCs w:val="20"/>
        </w:rPr>
      </w:pPr>
    </w:p>
    <w:p w14:paraId="1A2C54CF" w14:textId="77777777" w:rsidR="008F3E8B" w:rsidRPr="00212B8B" w:rsidRDefault="008F3E8B" w:rsidP="004F0831">
      <w:pPr>
        <w:ind w:firstLine="720"/>
        <w:rPr>
          <w:sz w:val="20"/>
          <w:szCs w:val="20"/>
        </w:rPr>
      </w:pPr>
      <w:r w:rsidRPr="00212B8B">
        <w:rPr>
          <w:sz w:val="20"/>
          <w:szCs w:val="20"/>
        </w:rPr>
        <w:t xml:space="preserve">We have not generated any revenues from the sale of the products we are developing, and we do not expect to generate any such revenues for at least the next several years. Our product candidates will require significant additional research and development efforts, including extensive preclinical and clinical testing. All product candidates that we advance to clinical testing will require regulatory approval prior to commercial use and will </w:t>
      </w:r>
      <w:r w:rsidRPr="00212B8B">
        <w:rPr>
          <w:sz w:val="20"/>
          <w:szCs w:val="20"/>
        </w:rPr>
        <w:lastRenderedPageBreak/>
        <w:t>require significant costs for commercialization. We may not be successful in our research and development efforts, and we may never generate sufficient product revenue to be profitable.</w:t>
      </w:r>
    </w:p>
    <w:p w14:paraId="31BE4CDC" w14:textId="77777777" w:rsidR="008F3E8B" w:rsidRPr="00212B8B" w:rsidRDefault="008F3E8B" w:rsidP="003E5A31">
      <w:pPr>
        <w:rPr>
          <w:sz w:val="20"/>
          <w:szCs w:val="20"/>
        </w:rPr>
      </w:pPr>
      <w:r w:rsidRPr="00212B8B">
        <w:rPr>
          <w:sz w:val="20"/>
          <w:szCs w:val="20"/>
        </w:rPr>
        <w:t> </w:t>
      </w:r>
    </w:p>
    <w:p w14:paraId="6C976E95" w14:textId="77777777" w:rsidR="008F3E8B" w:rsidRPr="00212B8B" w:rsidRDefault="008F3E8B" w:rsidP="003E5A31">
      <w:pPr>
        <w:rPr>
          <w:sz w:val="20"/>
          <w:szCs w:val="20"/>
        </w:rPr>
      </w:pPr>
      <w:r w:rsidRPr="00212B8B">
        <w:rPr>
          <w:b/>
          <w:bCs/>
          <w:sz w:val="20"/>
          <w:szCs w:val="20"/>
        </w:rPr>
        <w:t>Results of Operations</w:t>
      </w:r>
    </w:p>
    <w:p w14:paraId="087A4218" w14:textId="77777777" w:rsidR="008F3E8B" w:rsidRPr="00212B8B" w:rsidRDefault="008F3E8B" w:rsidP="003E5A31">
      <w:pPr>
        <w:ind w:left="144"/>
        <w:rPr>
          <w:sz w:val="20"/>
          <w:szCs w:val="20"/>
        </w:rPr>
      </w:pPr>
      <w:r w:rsidRPr="00212B8B">
        <w:rPr>
          <w:sz w:val="20"/>
          <w:szCs w:val="20"/>
        </w:rPr>
        <w:t> </w:t>
      </w:r>
    </w:p>
    <w:p w14:paraId="02E60A84" w14:textId="652073FE" w:rsidR="007D691F" w:rsidRDefault="007808C9" w:rsidP="004F0831">
      <w:pPr>
        <w:ind w:firstLine="720"/>
        <w:rPr>
          <w:sz w:val="20"/>
          <w:szCs w:val="20"/>
        </w:rPr>
      </w:pPr>
      <w:r w:rsidRPr="00212B8B">
        <w:rPr>
          <w:sz w:val="20"/>
          <w:szCs w:val="20"/>
        </w:rPr>
        <w:t xml:space="preserve">Our operating results typically fluctuate due to the timing of activities and related costs associated with our research and development activities and our general and administrative costs, as described below. </w:t>
      </w:r>
      <w:r w:rsidR="008F3E8B" w:rsidRPr="00212B8B">
        <w:rPr>
          <w:sz w:val="20"/>
          <w:szCs w:val="20"/>
        </w:rPr>
        <w:t xml:space="preserve">The following tables summarize our results of operations for the </w:t>
      </w:r>
      <w:r w:rsidR="007D691F" w:rsidRPr="00212B8B">
        <w:rPr>
          <w:sz w:val="20"/>
          <w:szCs w:val="20"/>
        </w:rPr>
        <w:t>years ended December 3</w:t>
      </w:r>
      <w:r w:rsidRPr="00212B8B">
        <w:rPr>
          <w:sz w:val="20"/>
          <w:szCs w:val="20"/>
        </w:rPr>
        <w:t>1</w:t>
      </w:r>
      <w:r w:rsidR="007D691F" w:rsidRPr="00212B8B">
        <w:rPr>
          <w:sz w:val="20"/>
          <w:szCs w:val="20"/>
        </w:rPr>
        <w:t>, 202</w:t>
      </w:r>
      <w:r w:rsidR="005A43BC">
        <w:rPr>
          <w:sz w:val="20"/>
          <w:szCs w:val="20"/>
        </w:rPr>
        <w:t>1</w:t>
      </w:r>
      <w:r w:rsidR="007D691F" w:rsidRPr="00212B8B">
        <w:rPr>
          <w:sz w:val="20"/>
          <w:szCs w:val="20"/>
        </w:rPr>
        <w:t xml:space="preserve"> and 20</w:t>
      </w:r>
      <w:r w:rsidR="005A43BC">
        <w:rPr>
          <w:sz w:val="20"/>
          <w:szCs w:val="20"/>
        </w:rPr>
        <w:t>20</w:t>
      </w:r>
      <w:r w:rsidR="007D691F" w:rsidRPr="00212B8B">
        <w:rPr>
          <w:sz w:val="20"/>
          <w:szCs w:val="20"/>
        </w:rPr>
        <w:t xml:space="preserve"> and the </w:t>
      </w:r>
      <w:r w:rsidR="005A43BC">
        <w:rPr>
          <w:sz w:val="20"/>
          <w:szCs w:val="20"/>
        </w:rPr>
        <w:t>three</w:t>
      </w:r>
      <w:r w:rsidR="008F3E8B" w:rsidRPr="00212B8B">
        <w:rPr>
          <w:sz w:val="20"/>
          <w:szCs w:val="20"/>
        </w:rPr>
        <w:t xml:space="preserve">-month periods ended </w:t>
      </w:r>
      <w:r w:rsidR="005A43BC">
        <w:rPr>
          <w:sz w:val="20"/>
          <w:szCs w:val="20"/>
        </w:rPr>
        <w:t>March</w:t>
      </w:r>
      <w:r w:rsidR="008F3E8B" w:rsidRPr="00212B8B">
        <w:rPr>
          <w:sz w:val="20"/>
          <w:szCs w:val="20"/>
        </w:rPr>
        <w:t xml:space="preserve"> 3</w:t>
      </w:r>
      <w:r w:rsidR="005A43BC">
        <w:rPr>
          <w:sz w:val="20"/>
          <w:szCs w:val="20"/>
        </w:rPr>
        <w:t>1</w:t>
      </w:r>
      <w:r w:rsidR="008F3E8B" w:rsidRPr="00212B8B">
        <w:rPr>
          <w:sz w:val="20"/>
          <w:szCs w:val="20"/>
        </w:rPr>
        <w:t>, 202</w:t>
      </w:r>
      <w:r w:rsidR="005A43BC">
        <w:rPr>
          <w:sz w:val="20"/>
          <w:szCs w:val="20"/>
        </w:rPr>
        <w:t>2</w:t>
      </w:r>
      <w:r w:rsidR="008F3E8B" w:rsidRPr="00212B8B">
        <w:rPr>
          <w:sz w:val="20"/>
          <w:szCs w:val="20"/>
        </w:rPr>
        <w:t xml:space="preserve"> and 202</w:t>
      </w:r>
      <w:r w:rsidR="005A43BC">
        <w:rPr>
          <w:sz w:val="20"/>
          <w:szCs w:val="20"/>
        </w:rPr>
        <w:t>1</w:t>
      </w:r>
      <w:r w:rsidR="008F3E8B" w:rsidRPr="00212B8B">
        <w:rPr>
          <w:sz w:val="20"/>
          <w:szCs w:val="20"/>
        </w:rPr>
        <w:t>:</w:t>
      </w:r>
    </w:p>
    <w:p w14:paraId="24326DDD" w14:textId="77777777" w:rsidR="005A43BC" w:rsidRPr="005A43BC" w:rsidRDefault="005A43BC" w:rsidP="005A43BC">
      <w:pPr>
        <w:tabs>
          <w:tab w:val="left" w:pos="1080"/>
          <w:tab w:val="left" w:pos="1260"/>
          <w:tab w:val="left" w:pos="2340"/>
          <w:tab w:val="right" w:pos="9180"/>
        </w:tabs>
        <w:ind w:right="36"/>
        <w:rPr>
          <w:rFonts w:ascii="CG Times (WN)" w:hAnsi="CG Times (WN)"/>
          <w:bCs/>
          <w:sz w:val="20"/>
          <w:szCs w:val="20"/>
        </w:rPr>
      </w:pPr>
    </w:p>
    <w:tbl>
      <w:tblPr>
        <w:tblW w:w="9288" w:type="dxa"/>
        <w:tblLayout w:type="fixed"/>
        <w:tblLook w:val="01E0" w:firstRow="1" w:lastRow="1" w:firstColumn="1" w:lastColumn="1" w:noHBand="0" w:noVBand="0"/>
      </w:tblPr>
      <w:tblGrid>
        <w:gridCol w:w="378"/>
        <w:gridCol w:w="450"/>
        <w:gridCol w:w="450"/>
        <w:gridCol w:w="2160"/>
        <w:gridCol w:w="1152"/>
        <w:gridCol w:w="1530"/>
        <w:gridCol w:w="1638"/>
        <w:gridCol w:w="1530"/>
      </w:tblGrid>
      <w:tr w:rsidR="005A43BC" w:rsidRPr="005A43BC" w14:paraId="6D3DEB2C" w14:textId="77777777" w:rsidTr="005A43BC">
        <w:tc>
          <w:tcPr>
            <w:tcW w:w="378" w:type="dxa"/>
          </w:tcPr>
          <w:p w14:paraId="3DAD74BA" w14:textId="77777777" w:rsidR="005A43BC" w:rsidRPr="005A43BC" w:rsidRDefault="005A43BC" w:rsidP="005A43BC">
            <w:pPr>
              <w:ind w:right="-360"/>
              <w:rPr>
                <w:rFonts w:ascii="CG Times (WN)" w:hAnsi="CG Times (WN)"/>
                <w:sz w:val="20"/>
                <w:szCs w:val="20"/>
              </w:rPr>
            </w:pPr>
            <w:bookmarkStart w:id="31" w:name="_Hlk104878718"/>
          </w:p>
        </w:tc>
        <w:tc>
          <w:tcPr>
            <w:tcW w:w="450" w:type="dxa"/>
          </w:tcPr>
          <w:p w14:paraId="4263DB50" w14:textId="77777777" w:rsidR="005A43BC" w:rsidRPr="005A43BC" w:rsidRDefault="005A43BC" w:rsidP="005A43BC">
            <w:pPr>
              <w:ind w:right="-360"/>
              <w:rPr>
                <w:rFonts w:ascii="CG Times (WN)" w:hAnsi="CG Times (WN)"/>
                <w:sz w:val="20"/>
                <w:szCs w:val="20"/>
              </w:rPr>
            </w:pPr>
          </w:p>
        </w:tc>
        <w:tc>
          <w:tcPr>
            <w:tcW w:w="450" w:type="dxa"/>
          </w:tcPr>
          <w:p w14:paraId="0BE15A71" w14:textId="77777777" w:rsidR="005A43BC" w:rsidRPr="005A43BC" w:rsidRDefault="005A43BC" w:rsidP="005A43BC">
            <w:pPr>
              <w:ind w:right="-360"/>
              <w:rPr>
                <w:rFonts w:ascii="CG Times (WN)" w:hAnsi="CG Times (WN)"/>
                <w:sz w:val="20"/>
                <w:szCs w:val="20"/>
              </w:rPr>
            </w:pPr>
          </w:p>
        </w:tc>
        <w:tc>
          <w:tcPr>
            <w:tcW w:w="2160" w:type="dxa"/>
          </w:tcPr>
          <w:p w14:paraId="5F575460" w14:textId="77777777" w:rsidR="005A43BC" w:rsidRPr="005A43BC" w:rsidRDefault="005A43BC" w:rsidP="005A43BC">
            <w:pPr>
              <w:tabs>
                <w:tab w:val="right" w:pos="9180"/>
              </w:tabs>
              <w:ind w:right="-360"/>
              <w:rPr>
                <w:rFonts w:ascii="CG Times (WN)" w:hAnsi="CG Times (WN)"/>
                <w:sz w:val="20"/>
                <w:szCs w:val="20"/>
              </w:rPr>
            </w:pPr>
          </w:p>
        </w:tc>
        <w:tc>
          <w:tcPr>
            <w:tcW w:w="1152" w:type="dxa"/>
          </w:tcPr>
          <w:p w14:paraId="344CD0F9" w14:textId="77777777" w:rsidR="005A43BC" w:rsidRPr="005A43BC" w:rsidRDefault="005A43BC" w:rsidP="005A43BC">
            <w:pPr>
              <w:tabs>
                <w:tab w:val="right" w:pos="9180"/>
              </w:tabs>
              <w:ind w:right="-46"/>
              <w:jc w:val="center"/>
              <w:rPr>
                <w:rFonts w:ascii="CG Times (WN)" w:hAnsi="CG Times (WN)"/>
                <w:sz w:val="20"/>
                <w:szCs w:val="20"/>
              </w:rPr>
            </w:pPr>
          </w:p>
        </w:tc>
        <w:tc>
          <w:tcPr>
            <w:tcW w:w="3168" w:type="dxa"/>
            <w:gridSpan w:val="2"/>
            <w:tcBorders>
              <w:bottom w:val="single" w:sz="4" w:space="0" w:color="auto"/>
            </w:tcBorders>
          </w:tcPr>
          <w:p w14:paraId="6597B9D4" w14:textId="50461EAA" w:rsidR="005A43BC" w:rsidRPr="005A43BC" w:rsidRDefault="005A43BC" w:rsidP="005A43BC">
            <w:pPr>
              <w:tabs>
                <w:tab w:val="right" w:pos="9180"/>
              </w:tabs>
              <w:ind w:right="-18"/>
              <w:jc w:val="center"/>
              <w:rPr>
                <w:rFonts w:ascii="CG Times (WN)" w:hAnsi="CG Times (WN)"/>
                <w:sz w:val="20"/>
                <w:szCs w:val="20"/>
              </w:rPr>
            </w:pPr>
            <w:r>
              <w:rPr>
                <w:rFonts w:ascii="CG Times (WN)" w:hAnsi="CG Times (WN)"/>
                <w:sz w:val="20"/>
                <w:szCs w:val="20"/>
              </w:rPr>
              <w:t>Year Ended December 31,</w:t>
            </w:r>
          </w:p>
        </w:tc>
        <w:tc>
          <w:tcPr>
            <w:tcW w:w="1530" w:type="dxa"/>
          </w:tcPr>
          <w:p w14:paraId="08C0F32E" w14:textId="01D51BE9" w:rsidR="005A43BC" w:rsidRPr="005A43BC" w:rsidRDefault="005A43BC" w:rsidP="005A43BC">
            <w:pPr>
              <w:tabs>
                <w:tab w:val="right" w:pos="9180"/>
              </w:tabs>
              <w:ind w:right="-18"/>
              <w:jc w:val="center"/>
              <w:rPr>
                <w:rFonts w:ascii="CG Times (WN)" w:hAnsi="CG Times (WN)"/>
                <w:sz w:val="20"/>
                <w:szCs w:val="20"/>
              </w:rPr>
            </w:pPr>
          </w:p>
        </w:tc>
      </w:tr>
      <w:tr w:rsidR="005A43BC" w:rsidRPr="005A43BC" w14:paraId="5864D00B" w14:textId="77777777" w:rsidTr="005A43BC">
        <w:tc>
          <w:tcPr>
            <w:tcW w:w="378" w:type="dxa"/>
          </w:tcPr>
          <w:p w14:paraId="31B79BC2" w14:textId="77777777" w:rsidR="005A43BC" w:rsidRPr="005A43BC" w:rsidRDefault="005A43BC" w:rsidP="004F5282">
            <w:pPr>
              <w:ind w:right="-360"/>
              <w:rPr>
                <w:rFonts w:ascii="CG Times (WN)" w:hAnsi="CG Times (WN)"/>
                <w:sz w:val="20"/>
                <w:szCs w:val="20"/>
              </w:rPr>
            </w:pPr>
          </w:p>
        </w:tc>
        <w:tc>
          <w:tcPr>
            <w:tcW w:w="450" w:type="dxa"/>
          </w:tcPr>
          <w:p w14:paraId="6BDF297C" w14:textId="77777777" w:rsidR="005A43BC" w:rsidRPr="005A43BC" w:rsidRDefault="005A43BC" w:rsidP="004F5282">
            <w:pPr>
              <w:ind w:right="-360"/>
              <w:rPr>
                <w:rFonts w:ascii="CG Times (WN)" w:hAnsi="CG Times (WN)"/>
                <w:sz w:val="20"/>
                <w:szCs w:val="20"/>
              </w:rPr>
            </w:pPr>
          </w:p>
        </w:tc>
        <w:tc>
          <w:tcPr>
            <w:tcW w:w="450" w:type="dxa"/>
          </w:tcPr>
          <w:p w14:paraId="6B4759E1" w14:textId="77777777" w:rsidR="005A43BC" w:rsidRPr="005A43BC" w:rsidRDefault="005A43BC" w:rsidP="004F5282">
            <w:pPr>
              <w:ind w:right="-360"/>
              <w:rPr>
                <w:rFonts w:ascii="CG Times (WN)" w:hAnsi="CG Times (WN)"/>
                <w:sz w:val="20"/>
                <w:szCs w:val="20"/>
              </w:rPr>
            </w:pPr>
          </w:p>
        </w:tc>
        <w:tc>
          <w:tcPr>
            <w:tcW w:w="2160" w:type="dxa"/>
          </w:tcPr>
          <w:p w14:paraId="2B4FF2DE" w14:textId="77777777" w:rsidR="005A43BC" w:rsidRPr="005A43BC" w:rsidRDefault="005A43BC" w:rsidP="004F5282">
            <w:pPr>
              <w:tabs>
                <w:tab w:val="right" w:pos="9180"/>
              </w:tabs>
              <w:ind w:right="-360"/>
              <w:rPr>
                <w:rFonts w:ascii="CG Times (WN)" w:hAnsi="CG Times (WN)"/>
                <w:sz w:val="20"/>
                <w:szCs w:val="20"/>
              </w:rPr>
            </w:pPr>
          </w:p>
        </w:tc>
        <w:tc>
          <w:tcPr>
            <w:tcW w:w="1152" w:type="dxa"/>
          </w:tcPr>
          <w:p w14:paraId="3524F84E" w14:textId="77777777" w:rsidR="005A43BC" w:rsidRPr="005A43BC" w:rsidRDefault="005A43BC" w:rsidP="004F5282">
            <w:pPr>
              <w:tabs>
                <w:tab w:val="right" w:pos="9180"/>
              </w:tabs>
              <w:ind w:right="-46"/>
              <w:jc w:val="center"/>
              <w:rPr>
                <w:rFonts w:ascii="CG Times (WN)" w:hAnsi="CG Times (WN)"/>
                <w:sz w:val="20"/>
                <w:szCs w:val="20"/>
              </w:rPr>
            </w:pPr>
          </w:p>
        </w:tc>
        <w:tc>
          <w:tcPr>
            <w:tcW w:w="1530" w:type="dxa"/>
            <w:tcBorders>
              <w:bottom w:val="single" w:sz="4" w:space="0" w:color="auto"/>
            </w:tcBorders>
          </w:tcPr>
          <w:p w14:paraId="66569104" w14:textId="77777777" w:rsidR="005A43BC" w:rsidRPr="005A43BC" w:rsidRDefault="005A43BC" w:rsidP="004F5282">
            <w:pPr>
              <w:tabs>
                <w:tab w:val="right" w:pos="9180"/>
              </w:tabs>
              <w:ind w:right="-46"/>
              <w:jc w:val="center"/>
              <w:rPr>
                <w:rFonts w:ascii="CG Times (WN)" w:hAnsi="CG Times (WN)"/>
                <w:sz w:val="20"/>
                <w:szCs w:val="20"/>
              </w:rPr>
            </w:pPr>
            <w:r w:rsidRPr="005A43BC">
              <w:rPr>
                <w:rFonts w:ascii="CG Times (WN)" w:hAnsi="CG Times (WN)"/>
                <w:sz w:val="20"/>
                <w:szCs w:val="20"/>
              </w:rPr>
              <w:t>2021</w:t>
            </w:r>
          </w:p>
        </w:tc>
        <w:tc>
          <w:tcPr>
            <w:tcW w:w="1638" w:type="dxa"/>
            <w:tcBorders>
              <w:bottom w:val="single" w:sz="4" w:space="0" w:color="auto"/>
            </w:tcBorders>
          </w:tcPr>
          <w:p w14:paraId="220627A3" w14:textId="77777777" w:rsidR="005A43BC" w:rsidRPr="005A43BC" w:rsidRDefault="005A43BC" w:rsidP="004F5282">
            <w:pPr>
              <w:tabs>
                <w:tab w:val="right" w:pos="9180"/>
              </w:tabs>
              <w:ind w:right="-18"/>
              <w:jc w:val="center"/>
              <w:rPr>
                <w:rFonts w:ascii="CG Times (WN)" w:hAnsi="CG Times (WN)"/>
                <w:sz w:val="20"/>
                <w:szCs w:val="20"/>
              </w:rPr>
            </w:pPr>
            <w:r w:rsidRPr="005A43BC">
              <w:rPr>
                <w:rFonts w:ascii="CG Times (WN)" w:hAnsi="CG Times (WN)"/>
                <w:sz w:val="20"/>
                <w:szCs w:val="20"/>
              </w:rPr>
              <w:t>2020</w:t>
            </w:r>
          </w:p>
        </w:tc>
        <w:tc>
          <w:tcPr>
            <w:tcW w:w="1530" w:type="dxa"/>
            <w:tcBorders>
              <w:bottom w:val="single" w:sz="4" w:space="0" w:color="auto"/>
            </w:tcBorders>
          </w:tcPr>
          <w:p w14:paraId="612B623E" w14:textId="77777777" w:rsidR="005A43BC" w:rsidRPr="005A43BC" w:rsidRDefault="005A43BC" w:rsidP="004F5282">
            <w:pPr>
              <w:tabs>
                <w:tab w:val="right" w:pos="9180"/>
              </w:tabs>
              <w:ind w:right="-18"/>
              <w:jc w:val="center"/>
              <w:rPr>
                <w:rFonts w:ascii="CG Times (WN)" w:hAnsi="CG Times (WN)"/>
                <w:sz w:val="20"/>
                <w:szCs w:val="20"/>
              </w:rPr>
            </w:pPr>
            <w:r w:rsidRPr="005A43BC">
              <w:rPr>
                <w:rFonts w:ascii="CG Times (WN)" w:hAnsi="CG Times (WN)"/>
                <w:sz w:val="20"/>
                <w:szCs w:val="20"/>
              </w:rPr>
              <w:t>Change</w:t>
            </w:r>
          </w:p>
        </w:tc>
      </w:tr>
      <w:bookmarkEnd w:id="31"/>
      <w:tr w:rsidR="005A43BC" w:rsidRPr="005A43BC" w14:paraId="4DAAEB96" w14:textId="77777777" w:rsidTr="004F5282">
        <w:tc>
          <w:tcPr>
            <w:tcW w:w="3438" w:type="dxa"/>
            <w:gridSpan w:val="4"/>
          </w:tcPr>
          <w:p w14:paraId="7B73F16A" w14:textId="77777777" w:rsidR="005A43BC" w:rsidRPr="005A43BC" w:rsidRDefault="005A43BC" w:rsidP="005A43BC">
            <w:pPr>
              <w:tabs>
                <w:tab w:val="right" w:pos="9180"/>
              </w:tabs>
              <w:ind w:right="-360"/>
              <w:rPr>
                <w:rFonts w:ascii="CG Times (WN)" w:hAnsi="CG Times (WN)"/>
                <w:sz w:val="20"/>
                <w:szCs w:val="20"/>
              </w:rPr>
            </w:pPr>
            <w:r w:rsidRPr="005A43BC">
              <w:rPr>
                <w:rFonts w:ascii="CG Times (WN)" w:hAnsi="CG Times (WN)"/>
                <w:sz w:val="20"/>
                <w:szCs w:val="20"/>
              </w:rPr>
              <w:t>Grant and collaboration revenue</w:t>
            </w:r>
          </w:p>
        </w:tc>
        <w:tc>
          <w:tcPr>
            <w:tcW w:w="1152" w:type="dxa"/>
          </w:tcPr>
          <w:p w14:paraId="2A016838" w14:textId="77777777" w:rsidR="005A43BC" w:rsidRPr="005A43BC" w:rsidRDefault="005A43BC" w:rsidP="005A43BC">
            <w:pPr>
              <w:tabs>
                <w:tab w:val="decimal" w:pos="1062"/>
                <w:tab w:val="right" w:pos="9180"/>
              </w:tabs>
              <w:ind w:right="-46"/>
              <w:rPr>
                <w:rFonts w:ascii="CG Times (WN)" w:hAnsi="CG Times (WN)"/>
                <w:sz w:val="20"/>
                <w:szCs w:val="20"/>
              </w:rPr>
            </w:pPr>
          </w:p>
        </w:tc>
        <w:tc>
          <w:tcPr>
            <w:tcW w:w="1530" w:type="dxa"/>
            <w:tcBorders>
              <w:top w:val="single" w:sz="4" w:space="0" w:color="auto"/>
            </w:tcBorders>
          </w:tcPr>
          <w:p w14:paraId="1307F7CD" w14:textId="77777777" w:rsidR="005A43BC" w:rsidRPr="005A43BC" w:rsidRDefault="005A43BC" w:rsidP="005A43BC">
            <w:pPr>
              <w:tabs>
                <w:tab w:val="decimal" w:pos="1062"/>
                <w:tab w:val="right" w:pos="9180"/>
              </w:tabs>
              <w:ind w:right="-46"/>
              <w:rPr>
                <w:rFonts w:ascii="CG Times (WN)" w:hAnsi="CG Times (WN)"/>
                <w:sz w:val="20"/>
                <w:szCs w:val="20"/>
              </w:rPr>
            </w:pPr>
            <w:r w:rsidRPr="005A43BC">
              <w:rPr>
                <w:rFonts w:ascii="CG Times (WN)" w:hAnsi="CG Times (WN)"/>
                <w:sz w:val="20"/>
                <w:szCs w:val="20"/>
              </w:rPr>
              <w:t>$</w:t>
            </w:r>
            <w:r w:rsidRPr="005A43BC">
              <w:rPr>
                <w:rFonts w:ascii="CG Times (WN)" w:hAnsi="CG Times (WN)"/>
                <w:sz w:val="20"/>
                <w:szCs w:val="20"/>
              </w:rPr>
              <w:tab/>
              <w:t>385,501</w:t>
            </w:r>
          </w:p>
        </w:tc>
        <w:tc>
          <w:tcPr>
            <w:tcW w:w="1638" w:type="dxa"/>
          </w:tcPr>
          <w:p w14:paraId="33BA2394" w14:textId="77777777" w:rsidR="005A43BC" w:rsidRPr="005A43BC" w:rsidRDefault="005A43BC" w:rsidP="005A43BC">
            <w:pPr>
              <w:tabs>
                <w:tab w:val="decimal" w:pos="1062"/>
                <w:tab w:val="right" w:pos="9180"/>
              </w:tabs>
              <w:ind w:right="-18"/>
              <w:rPr>
                <w:rFonts w:ascii="CG Times (WN)" w:hAnsi="CG Times (WN)"/>
                <w:sz w:val="20"/>
                <w:szCs w:val="20"/>
              </w:rPr>
            </w:pPr>
            <w:r w:rsidRPr="005A43BC">
              <w:rPr>
                <w:rFonts w:ascii="CG Times (WN)" w:hAnsi="CG Times (WN)"/>
                <w:sz w:val="20"/>
                <w:szCs w:val="20"/>
              </w:rPr>
              <w:t>$</w:t>
            </w:r>
            <w:r w:rsidRPr="005A43BC">
              <w:rPr>
                <w:rFonts w:ascii="CG Times (WN)" w:hAnsi="CG Times (WN)"/>
                <w:sz w:val="20"/>
                <w:szCs w:val="20"/>
              </w:rPr>
              <w:tab/>
              <w:t>1,823,658</w:t>
            </w:r>
          </w:p>
        </w:tc>
        <w:tc>
          <w:tcPr>
            <w:tcW w:w="1530" w:type="dxa"/>
          </w:tcPr>
          <w:p w14:paraId="06F3AFC6" w14:textId="77777777" w:rsidR="005A43BC" w:rsidRPr="005A43BC" w:rsidRDefault="005A43BC" w:rsidP="005A43BC">
            <w:pPr>
              <w:tabs>
                <w:tab w:val="decimal" w:pos="1152"/>
                <w:tab w:val="right" w:pos="9180"/>
              </w:tabs>
              <w:ind w:right="-18"/>
              <w:rPr>
                <w:rFonts w:ascii="CG Times (WN)" w:hAnsi="CG Times (WN)"/>
                <w:sz w:val="20"/>
                <w:szCs w:val="20"/>
              </w:rPr>
            </w:pPr>
            <w:r w:rsidRPr="005A43BC">
              <w:rPr>
                <w:rFonts w:ascii="CG Times (WN)" w:hAnsi="CG Times (WN)"/>
                <w:sz w:val="20"/>
                <w:szCs w:val="20"/>
              </w:rPr>
              <w:t>$</w:t>
            </w:r>
            <w:r w:rsidRPr="005A43BC">
              <w:rPr>
                <w:rFonts w:ascii="CG Times (WN)" w:hAnsi="CG Times (WN)"/>
                <w:sz w:val="20"/>
                <w:szCs w:val="20"/>
              </w:rPr>
              <w:tab/>
              <w:t>(1,438,157)</w:t>
            </w:r>
          </w:p>
        </w:tc>
      </w:tr>
      <w:tr w:rsidR="005A43BC" w:rsidRPr="005A43BC" w14:paraId="3620E659" w14:textId="77777777" w:rsidTr="004F5282">
        <w:tc>
          <w:tcPr>
            <w:tcW w:w="3438" w:type="dxa"/>
            <w:gridSpan w:val="4"/>
          </w:tcPr>
          <w:p w14:paraId="311CBD39" w14:textId="77777777" w:rsidR="005A43BC" w:rsidRPr="005A43BC" w:rsidRDefault="005A43BC" w:rsidP="005A43BC">
            <w:pPr>
              <w:tabs>
                <w:tab w:val="right" w:pos="9180"/>
              </w:tabs>
              <w:ind w:right="-360"/>
              <w:rPr>
                <w:rFonts w:ascii="CG Times (WN)" w:hAnsi="CG Times (WN)"/>
                <w:sz w:val="20"/>
                <w:szCs w:val="20"/>
              </w:rPr>
            </w:pPr>
            <w:r w:rsidRPr="005A43BC">
              <w:rPr>
                <w:rFonts w:ascii="CG Times (WN)" w:hAnsi="CG Times (WN)"/>
                <w:sz w:val="20"/>
                <w:szCs w:val="20"/>
              </w:rPr>
              <w:t>Operating expenses:</w:t>
            </w:r>
          </w:p>
        </w:tc>
        <w:tc>
          <w:tcPr>
            <w:tcW w:w="1152" w:type="dxa"/>
          </w:tcPr>
          <w:p w14:paraId="3694047B" w14:textId="77777777" w:rsidR="005A43BC" w:rsidRPr="005A43BC" w:rsidRDefault="005A43BC" w:rsidP="005A43BC">
            <w:pPr>
              <w:tabs>
                <w:tab w:val="right" w:pos="9180"/>
              </w:tabs>
              <w:ind w:right="-46"/>
              <w:rPr>
                <w:rFonts w:ascii="CG Times (WN)" w:hAnsi="CG Times (WN)"/>
                <w:sz w:val="20"/>
                <w:szCs w:val="20"/>
              </w:rPr>
            </w:pPr>
          </w:p>
        </w:tc>
        <w:tc>
          <w:tcPr>
            <w:tcW w:w="1530" w:type="dxa"/>
          </w:tcPr>
          <w:p w14:paraId="677CB52D" w14:textId="77777777" w:rsidR="005A43BC" w:rsidRPr="005A43BC" w:rsidRDefault="005A43BC" w:rsidP="005A43BC">
            <w:pPr>
              <w:tabs>
                <w:tab w:val="right" w:pos="9180"/>
              </w:tabs>
              <w:ind w:right="-46"/>
              <w:rPr>
                <w:rFonts w:ascii="CG Times (WN)" w:hAnsi="CG Times (WN)"/>
                <w:sz w:val="20"/>
                <w:szCs w:val="20"/>
              </w:rPr>
            </w:pPr>
          </w:p>
        </w:tc>
        <w:tc>
          <w:tcPr>
            <w:tcW w:w="1638" w:type="dxa"/>
          </w:tcPr>
          <w:p w14:paraId="363F7F07" w14:textId="77777777" w:rsidR="005A43BC" w:rsidRPr="005A43BC" w:rsidRDefault="005A43BC" w:rsidP="005A43BC">
            <w:pPr>
              <w:tabs>
                <w:tab w:val="right" w:pos="9180"/>
              </w:tabs>
              <w:ind w:right="-18"/>
              <w:rPr>
                <w:rFonts w:ascii="CG Times (WN)" w:hAnsi="CG Times (WN)"/>
                <w:sz w:val="20"/>
                <w:szCs w:val="20"/>
              </w:rPr>
            </w:pPr>
          </w:p>
        </w:tc>
        <w:tc>
          <w:tcPr>
            <w:tcW w:w="1530" w:type="dxa"/>
          </w:tcPr>
          <w:p w14:paraId="3CF8F6CD" w14:textId="77777777" w:rsidR="005A43BC" w:rsidRPr="005A43BC" w:rsidRDefault="005A43BC" w:rsidP="005A43BC">
            <w:pPr>
              <w:tabs>
                <w:tab w:val="right" w:pos="9180"/>
              </w:tabs>
              <w:ind w:right="-18"/>
              <w:rPr>
                <w:rFonts w:ascii="CG Times (WN)" w:hAnsi="CG Times (WN)"/>
                <w:sz w:val="20"/>
                <w:szCs w:val="20"/>
              </w:rPr>
            </w:pPr>
          </w:p>
        </w:tc>
      </w:tr>
      <w:tr w:rsidR="005A43BC" w:rsidRPr="005A43BC" w14:paraId="6DA7BD31" w14:textId="77777777" w:rsidTr="004F5282">
        <w:tc>
          <w:tcPr>
            <w:tcW w:w="378" w:type="dxa"/>
          </w:tcPr>
          <w:p w14:paraId="2731AFF0" w14:textId="77777777" w:rsidR="005A43BC" w:rsidRPr="005A43BC" w:rsidRDefault="005A43BC" w:rsidP="005A43BC">
            <w:pPr>
              <w:ind w:right="-360"/>
              <w:rPr>
                <w:rFonts w:ascii="CG Times (WN)" w:hAnsi="CG Times (WN)"/>
                <w:sz w:val="20"/>
                <w:szCs w:val="20"/>
              </w:rPr>
            </w:pPr>
          </w:p>
        </w:tc>
        <w:tc>
          <w:tcPr>
            <w:tcW w:w="3060" w:type="dxa"/>
            <w:gridSpan w:val="3"/>
          </w:tcPr>
          <w:p w14:paraId="3837483B" w14:textId="77777777" w:rsidR="005A43BC" w:rsidRPr="005A43BC" w:rsidRDefault="005A43BC" w:rsidP="005A43BC">
            <w:pPr>
              <w:tabs>
                <w:tab w:val="right" w:pos="9180"/>
              </w:tabs>
              <w:ind w:right="-360"/>
              <w:rPr>
                <w:rFonts w:ascii="CG Times (WN)" w:hAnsi="CG Times (WN)"/>
                <w:sz w:val="20"/>
                <w:szCs w:val="20"/>
              </w:rPr>
            </w:pPr>
            <w:r w:rsidRPr="005A43BC">
              <w:rPr>
                <w:rFonts w:ascii="CG Times (WN)" w:hAnsi="CG Times (WN)"/>
                <w:sz w:val="20"/>
                <w:szCs w:val="20"/>
              </w:rPr>
              <w:t>Research and development</w:t>
            </w:r>
          </w:p>
        </w:tc>
        <w:tc>
          <w:tcPr>
            <w:tcW w:w="1152" w:type="dxa"/>
          </w:tcPr>
          <w:p w14:paraId="3BDAC232" w14:textId="77777777" w:rsidR="005A43BC" w:rsidRPr="005A43BC" w:rsidRDefault="005A43BC" w:rsidP="005A43BC">
            <w:pPr>
              <w:tabs>
                <w:tab w:val="decimal" w:pos="1062"/>
                <w:tab w:val="right" w:pos="9180"/>
              </w:tabs>
              <w:ind w:right="-46"/>
              <w:rPr>
                <w:rFonts w:ascii="CG Times (WN)" w:hAnsi="CG Times (WN)"/>
                <w:sz w:val="20"/>
                <w:szCs w:val="20"/>
              </w:rPr>
            </w:pPr>
          </w:p>
        </w:tc>
        <w:tc>
          <w:tcPr>
            <w:tcW w:w="1530" w:type="dxa"/>
          </w:tcPr>
          <w:p w14:paraId="5258CBEF" w14:textId="77777777" w:rsidR="005A43BC" w:rsidRPr="005A43BC" w:rsidRDefault="005A43BC" w:rsidP="005A43BC">
            <w:pPr>
              <w:tabs>
                <w:tab w:val="decimal" w:pos="1062"/>
                <w:tab w:val="right" w:pos="9180"/>
              </w:tabs>
              <w:ind w:right="-46"/>
              <w:rPr>
                <w:rFonts w:ascii="CG Times (WN)" w:hAnsi="CG Times (WN)"/>
                <w:sz w:val="20"/>
                <w:szCs w:val="20"/>
              </w:rPr>
            </w:pPr>
            <w:r w:rsidRPr="005A43BC">
              <w:rPr>
                <w:rFonts w:ascii="CG Times (WN)" w:hAnsi="CG Times (WN)"/>
                <w:sz w:val="20"/>
                <w:szCs w:val="20"/>
              </w:rPr>
              <w:tab/>
              <w:t>15,554,171</w:t>
            </w:r>
          </w:p>
        </w:tc>
        <w:tc>
          <w:tcPr>
            <w:tcW w:w="1638" w:type="dxa"/>
          </w:tcPr>
          <w:p w14:paraId="33946C83" w14:textId="77777777" w:rsidR="005A43BC" w:rsidRPr="005A43BC" w:rsidRDefault="005A43BC" w:rsidP="005A43BC">
            <w:pPr>
              <w:tabs>
                <w:tab w:val="decimal" w:pos="1062"/>
                <w:tab w:val="right" w:pos="9180"/>
              </w:tabs>
              <w:ind w:right="-18"/>
              <w:rPr>
                <w:rFonts w:ascii="CG Times (WN)" w:hAnsi="CG Times (WN)"/>
                <w:sz w:val="20"/>
                <w:szCs w:val="20"/>
              </w:rPr>
            </w:pPr>
            <w:r w:rsidRPr="005A43BC">
              <w:rPr>
                <w:rFonts w:ascii="CG Times (WN)" w:hAnsi="CG Times (WN)"/>
                <w:sz w:val="20"/>
                <w:szCs w:val="20"/>
              </w:rPr>
              <w:tab/>
              <w:t>2,444,459</w:t>
            </w:r>
          </w:p>
        </w:tc>
        <w:tc>
          <w:tcPr>
            <w:tcW w:w="1530" w:type="dxa"/>
          </w:tcPr>
          <w:p w14:paraId="6013AB83" w14:textId="77777777" w:rsidR="005A43BC" w:rsidRPr="005A43BC" w:rsidRDefault="005A43BC" w:rsidP="005A43BC">
            <w:pPr>
              <w:tabs>
                <w:tab w:val="decimal" w:pos="1152"/>
                <w:tab w:val="right" w:pos="9180"/>
              </w:tabs>
              <w:ind w:right="-18"/>
              <w:rPr>
                <w:rFonts w:ascii="CG Times (WN)" w:hAnsi="CG Times (WN)"/>
                <w:sz w:val="20"/>
                <w:szCs w:val="20"/>
              </w:rPr>
            </w:pPr>
            <w:r w:rsidRPr="005A43BC">
              <w:rPr>
                <w:rFonts w:ascii="CG Times (WN)" w:hAnsi="CG Times (WN)"/>
                <w:sz w:val="20"/>
                <w:szCs w:val="20"/>
              </w:rPr>
              <w:tab/>
              <w:t>13,109,712</w:t>
            </w:r>
          </w:p>
        </w:tc>
      </w:tr>
      <w:tr w:rsidR="005A43BC" w:rsidRPr="005A43BC" w14:paraId="038DBC91" w14:textId="77777777" w:rsidTr="004F5282">
        <w:tc>
          <w:tcPr>
            <w:tcW w:w="378" w:type="dxa"/>
          </w:tcPr>
          <w:p w14:paraId="571203A0" w14:textId="77777777" w:rsidR="005A43BC" w:rsidRPr="005A43BC" w:rsidRDefault="005A43BC" w:rsidP="005A43BC">
            <w:pPr>
              <w:ind w:right="-360"/>
              <w:rPr>
                <w:rFonts w:ascii="CG Times (WN)" w:hAnsi="CG Times (WN)"/>
                <w:sz w:val="20"/>
                <w:szCs w:val="20"/>
              </w:rPr>
            </w:pPr>
          </w:p>
        </w:tc>
        <w:tc>
          <w:tcPr>
            <w:tcW w:w="3060" w:type="dxa"/>
            <w:gridSpan w:val="3"/>
          </w:tcPr>
          <w:p w14:paraId="6921F0A8" w14:textId="77777777" w:rsidR="005A43BC" w:rsidRPr="005A43BC" w:rsidRDefault="005A43BC" w:rsidP="005A43BC">
            <w:pPr>
              <w:tabs>
                <w:tab w:val="right" w:pos="9180"/>
              </w:tabs>
              <w:ind w:right="-360"/>
              <w:rPr>
                <w:rFonts w:ascii="CG Times (WN)" w:hAnsi="CG Times (WN)"/>
                <w:sz w:val="20"/>
                <w:szCs w:val="20"/>
              </w:rPr>
            </w:pPr>
            <w:r w:rsidRPr="005A43BC">
              <w:rPr>
                <w:rFonts w:ascii="CG Times (WN)" w:hAnsi="CG Times (WN)"/>
                <w:sz w:val="20"/>
                <w:szCs w:val="20"/>
              </w:rPr>
              <w:t>General and administrative</w:t>
            </w:r>
          </w:p>
        </w:tc>
        <w:tc>
          <w:tcPr>
            <w:tcW w:w="1152" w:type="dxa"/>
          </w:tcPr>
          <w:p w14:paraId="561A4D93" w14:textId="77777777" w:rsidR="005A43BC" w:rsidRPr="005A43BC" w:rsidRDefault="005A43BC" w:rsidP="005A43BC">
            <w:pPr>
              <w:tabs>
                <w:tab w:val="decimal" w:pos="1062"/>
                <w:tab w:val="right" w:pos="9180"/>
              </w:tabs>
              <w:ind w:right="-46"/>
              <w:rPr>
                <w:rFonts w:ascii="CG Times (WN)" w:hAnsi="CG Times (WN)"/>
                <w:sz w:val="20"/>
                <w:szCs w:val="20"/>
              </w:rPr>
            </w:pPr>
          </w:p>
        </w:tc>
        <w:tc>
          <w:tcPr>
            <w:tcW w:w="1530" w:type="dxa"/>
          </w:tcPr>
          <w:p w14:paraId="4A1ED37F" w14:textId="77777777" w:rsidR="005A43BC" w:rsidRPr="005A43BC" w:rsidRDefault="005A43BC" w:rsidP="005A43BC">
            <w:pPr>
              <w:tabs>
                <w:tab w:val="decimal" w:pos="1062"/>
                <w:tab w:val="right" w:pos="9180"/>
              </w:tabs>
              <w:ind w:right="-46"/>
              <w:rPr>
                <w:rFonts w:ascii="CG Times (WN)" w:hAnsi="CG Times (WN)"/>
                <w:sz w:val="20"/>
                <w:szCs w:val="20"/>
              </w:rPr>
            </w:pPr>
            <w:r w:rsidRPr="005A43BC">
              <w:rPr>
                <w:rFonts w:ascii="CG Times (WN)" w:hAnsi="CG Times (WN)"/>
                <w:sz w:val="20"/>
                <w:szCs w:val="20"/>
              </w:rPr>
              <w:tab/>
              <w:t>3,577,153</w:t>
            </w:r>
          </w:p>
        </w:tc>
        <w:tc>
          <w:tcPr>
            <w:tcW w:w="1638" w:type="dxa"/>
          </w:tcPr>
          <w:p w14:paraId="1BA499D6" w14:textId="77777777" w:rsidR="005A43BC" w:rsidRPr="005A43BC" w:rsidRDefault="005A43BC" w:rsidP="005A43BC">
            <w:pPr>
              <w:tabs>
                <w:tab w:val="decimal" w:pos="1062"/>
                <w:tab w:val="right" w:pos="9180"/>
              </w:tabs>
              <w:ind w:right="-18"/>
              <w:rPr>
                <w:rFonts w:ascii="CG Times (WN)" w:hAnsi="CG Times (WN)"/>
                <w:sz w:val="20"/>
                <w:szCs w:val="20"/>
              </w:rPr>
            </w:pPr>
            <w:r w:rsidRPr="005A43BC">
              <w:rPr>
                <w:rFonts w:ascii="CG Times (WN)" w:hAnsi="CG Times (WN)"/>
                <w:sz w:val="20"/>
                <w:szCs w:val="20"/>
              </w:rPr>
              <w:tab/>
              <w:t>2,196,014</w:t>
            </w:r>
          </w:p>
        </w:tc>
        <w:tc>
          <w:tcPr>
            <w:tcW w:w="1530" w:type="dxa"/>
          </w:tcPr>
          <w:p w14:paraId="14AE7366" w14:textId="77777777" w:rsidR="005A43BC" w:rsidRPr="005A43BC" w:rsidRDefault="005A43BC" w:rsidP="005A43BC">
            <w:pPr>
              <w:tabs>
                <w:tab w:val="decimal" w:pos="1152"/>
                <w:tab w:val="right" w:pos="9180"/>
              </w:tabs>
              <w:ind w:right="-18"/>
              <w:rPr>
                <w:rFonts w:ascii="CG Times (WN)" w:hAnsi="CG Times (WN)"/>
                <w:sz w:val="20"/>
                <w:szCs w:val="20"/>
              </w:rPr>
            </w:pPr>
            <w:r w:rsidRPr="005A43BC">
              <w:rPr>
                <w:rFonts w:ascii="CG Times (WN)" w:hAnsi="CG Times (WN)"/>
                <w:sz w:val="20"/>
                <w:szCs w:val="20"/>
              </w:rPr>
              <w:tab/>
              <w:t>1,381,139</w:t>
            </w:r>
          </w:p>
        </w:tc>
      </w:tr>
      <w:tr w:rsidR="005A43BC" w:rsidRPr="005A43BC" w14:paraId="72AD91E7" w14:textId="77777777" w:rsidTr="004F5282">
        <w:tc>
          <w:tcPr>
            <w:tcW w:w="3438" w:type="dxa"/>
            <w:gridSpan w:val="4"/>
          </w:tcPr>
          <w:p w14:paraId="6F87B61A" w14:textId="77777777" w:rsidR="005A43BC" w:rsidRPr="005A43BC" w:rsidRDefault="005A43BC" w:rsidP="005A43BC">
            <w:pPr>
              <w:tabs>
                <w:tab w:val="right" w:pos="9180"/>
              </w:tabs>
              <w:ind w:right="-360"/>
              <w:rPr>
                <w:rFonts w:ascii="CG Times (WN)" w:hAnsi="CG Times (WN)"/>
                <w:sz w:val="20"/>
                <w:szCs w:val="20"/>
              </w:rPr>
            </w:pPr>
            <w:r w:rsidRPr="005A43BC">
              <w:rPr>
                <w:rFonts w:ascii="CG Times (WN)" w:hAnsi="CG Times (WN)"/>
                <w:sz w:val="20"/>
                <w:szCs w:val="20"/>
              </w:rPr>
              <w:t>Total operating expenses</w:t>
            </w:r>
          </w:p>
        </w:tc>
        <w:tc>
          <w:tcPr>
            <w:tcW w:w="1152" w:type="dxa"/>
          </w:tcPr>
          <w:p w14:paraId="446202D3" w14:textId="77777777" w:rsidR="005A43BC" w:rsidRPr="005A43BC" w:rsidRDefault="005A43BC" w:rsidP="005A43BC">
            <w:pPr>
              <w:tabs>
                <w:tab w:val="decimal" w:pos="1062"/>
                <w:tab w:val="right" w:pos="9180"/>
              </w:tabs>
              <w:ind w:right="-46"/>
              <w:rPr>
                <w:rFonts w:ascii="CG Times (WN)" w:hAnsi="CG Times (WN)"/>
                <w:sz w:val="20"/>
                <w:szCs w:val="20"/>
              </w:rPr>
            </w:pPr>
          </w:p>
        </w:tc>
        <w:tc>
          <w:tcPr>
            <w:tcW w:w="1530" w:type="dxa"/>
            <w:tcBorders>
              <w:top w:val="single" w:sz="4" w:space="0" w:color="auto"/>
              <w:bottom w:val="single" w:sz="4" w:space="0" w:color="auto"/>
            </w:tcBorders>
          </w:tcPr>
          <w:p w14:paraId="7F132A65" w14:textId="77777777" w:rsidR="005A43BC" w:rsidRPr="005A43BC" w:rsidRDefault="005A43BC" w:rsidP="005A43BC">
            <w:pPr>
              <w:tabs>
                <w:tab w:val="decimal" w:pos="1062"/>
                <w:tab w:val="right" w:pos="9180"/>
              </w:tabs>
              <w:ind w:right="-46"/>
              <w:rPr>
                <w:rFonts w:ascii="CG Times (WN)" w:hAnsi="CG Times (WN)"/>
                <w:sz w:val="20"/>
                <w:szCs w:val="20"/>
              </w:rPr>
            </w:pPr>
            <w:r w:rsidRPr="005A43BC">
              <w:rPr>
                <w:rFonts w:ascii="CG Times (WN)" w:hAnsi="CG Times (WN)"/>
                <w:sz w:val="20"/>
                <w:szCs w:val="20"/>
              </w:rPr>
              <w:tab/>
              <w:t>19,131,324</w:t>
            </w:r>
          </w:p>
        </w:tc>
        <w:tc>
          <w:tcPr>
            <w:tcW w:w="1638" w:type="dxa"/>
            <w:tcBorders>
              <w:top w:val="single" w:sz="4" w:space="0" w:color="auto"/>
              <w:bottom w:val="single" w:sz="4" w:space="0" w:color="auto"/>
            </w:tcBorders>
          </w:tcPr>
          <w:p w14:paraId="1D4E6B6A" w14:textId="77777777" w:rsidR="005A43BC" w:rsidRPr="005A43BC" w:rsidRDefault="005A43BC" w:rsidP="005A43BC">
            <w:pPr>
              <w:tabs>
                <w:tab w:val="decimal" w:pos="1062"/>
                <w:tab w:val="right" w:pos="9180"/>
              </w:tabs>
              <w:ind w:right="-18"/>
              <w:rPr>
                <w:rFonts w:ascii="CG Times (WN)" w:hAnsi="CG Times (WN)"/>
                <w:sz w:val="20"/>
                <w:szCs w:val="20"/>
              </w:rPr>
            </w:pPr>
            <w:r w:rsidRPr="005A43BC">
              <w:rPr>
                <w:rFonts w:ascii="CG Times (WN)" w:hAnsi="CG Times (WN)"/>
                <w:sz w:val="20"/>
                <w:szCs w:val="20"/>
              </w:rPr>
              <w:tab/>
              <w:t>4,640,473</w:t>
            </w:r>
          </w:p>
        </w:tc>
        <w:tc>
          <w:tcPr>
            <w:tcW w:w="1530" w:type="dxa"/>
            <w:tcBorders>
              <w:top w:val="single" w:sz="4" w:space="0" w:color="auto"/>
              <w:bottom w:val="single" w:sz="4" w:space="0" w:color="auto"/>
            </w:tcBorders>
          </w:tcPr>
          <w:p w14:paraId="647B8BC3" w14:textId="77777777" w:rsidR="005A43BC" w:rsidRPr="005A43BC" w:rsidRDefault="005A43BC" w:rsidP="005A43BC">
            <w:pPr>
              <w:tabs>
                <w:tab w:val="decimal" w:pos="1152"/>
                <w:tab w:val="right" w:pos="9180"/>
              </w:tabs>
              <w:ind w:right="-18"/>
              <w:rPr>
                <w:rFonts w:ascii="CG Times (WN)" w:hAnsi="CG Times (WN)"/>
                <w:sz w:val="20"/>
                <w:szCs w:val="20"/>
              </w:rPr>
            </w:pPr>
            <w:r w:rsidRPr="005A43BC">
              <w:rPr>
                <w:rFonts w:ascii="CG Times (WN)" w:hAnsi="CG Times (WN)"/>
                <w:sz w:val="20"/>
                <w:szCs w:val="20"/>
              </w:rPr>
              <w:tab/>
              <w:t>14,490,851</w:t>
            </w:r>
          </w:p>
        </w:tc>
      </w:tr>
      <w:tr w:rsidR="005A43BC" w:rsidRPr="005A43BC" w14:paraId="346B9A04" w14:textId="77777777" w:rsidTr="004F5282">
        <w:tc>
          <w:tcPr>
            <w:tcW w:w="3438" w:type="dxa"/>
            <w:gridSpan w:val="4"/>
          </w:tcPr>
          <w:p w14:paraId="07C33180" w14:textId="77777777" w:rsidR="005A43BC" w:rsidRPr="005A43BC" w:rsidRDefault="005A43BC" w:rsidP="005A43BC">
            <w:pPr>
              <w:tabs>
                <w:tab w:val="right" w:pos="9180"/>
              </w:tabs>
              <w:ind w:right="-360"/>
              <w:rPr>
                <w:rFonts w:ascii="CG Times (WN)" w:hAnsi="CG Times (WN)"/>
                <w:sz w:val="20"/>
                <w:szCs w:val="20"/>
              </w:rPr>
            </w:pPr>
            <w:r w:rsidRPr="005A43BC">
              <w:rPr>
                <w:rFonts w:ascii="CG Times (WN)" w:hAnsi="CG Times (WN)"/>
                <w:sz w:val="20"/>
                <w:szCs w:val="20"/>
              </w:rPr>
              <w:t>Loss from operations</w:t>
            </w:r>
          </w:p>
        </w:tc>
        <w:tc>
          <w:tcPr>
            <w:tcW w:w="1152" w:type="dxa"/>
          </w:tcPr>
          <w:p w14:paraId="664EA23C" w14:textId="77777777" w:rsidR="005A43BC" w:rsidRPr="005A43BC" w:rsidRDefault="005A43BC" w:rsidP="005A43BC">
            <w:pPr>
              <w:tabs>
                <w:tab w:val="decimal" w:pos="1062"/>
                <w:tab w:val="right" w:pos="9180"/>
              </w:tabs>
              <w:ind w:right="-46"/>
              <w:rPr>
                <w:rFonts w:ascii="CG Times (WN)" w:hAnsi="CG Times (WN)"/>
                <w:sz w:val="20"/>
                <w:szCs w:val="20"/>
              </w:rPr>
            </w:pPr>
          </w:p>
        </w:tc>
        <w:tc>
          <w:tcPr>
            <w:tcW w:w="1530" w:type="dxa"/>
          </w:tcPr>
          <w:p w14:paraId="71B2D47A" w14:textId="77777777" w:rsidR="005A43BC" w:rsidRPr="005A43BC" w:rsidRDefault="005A43BC" w:rsidP="005A43BC">
            <w:pPr>
              <w:tabs>
                <w:tab w:val="decimal" w:pos="1062"/>
                <w:tab w:val="right" w:pos="9180"/>
              </w:tabs>
              <w:ind w:right="-46"/>
              <w:rPr>
                <w:rFonts w:ascii="CG Times (WN)" w:hAnsi="CG Times (WN)"/>
                <w:sz w:val="20"/>
                <w:szCs w:val="20"/>
              </w:rPr>
            </w:pPr>
            <w:r w:rsidRPr="005A43BC">
              <w:rPr>
                <w:rFonts w:ascii="CG Times (WN)" w:hAnsi="CG Times (WN)"/>
                <w:sz w:val="20"/>
                <w:szCs w:val="20"/>
              </w:rPr>
              <w:tab/>
              <w:t>(18,745,823)</w:t>
            </w:r>
          </w:p>
        </w:tc>
        <w:tc>
          <w:tcPr>
            <w:tcW w:w="1638" w:type="dxa"/>
          </w:tcPr>
          <w:p w14:paraId="748E2FBF" w14:textId="77777777" w:rsidR="005A43BC" w:rsidRPr="005A43BC" w:rsidRDefault="005A43BC" w:rsidP="005A43BC">
            <w:pPr>
              <w:tabs>
                <w:tab w:val="decimal" w:pos="1044"/>
                <w:tab w:val="right" w:pos="9180"/>
              </w:tabs>
              <w:ind w:right="-18"/>
              <w:rPr>
                <w:rFonts w:ascii="CG Times (WN)" w:hAnsi="CG Times (WN)"/>
                <w:sz w:val="20"/>
                <w:szCs w:val="20"/>
              </w:rPr>
            </w:pPr>
            <w:r w:rsidRPr="005A43BC">
              <w:rPr>
                <w:rFonts w:ascii="CG Times (WN)" w:hAnsi="CG Times (WN)"/>
                <w:sz w:val="20"/>
                <w:szCs w:val="20"/>
              </w:rPr>
              <w:tab/>
              <w:t>(2,816,815)</w:t>
            </w:r>
          </w:p>
        </w:tc>
        <w:tc>
          <w:tcPr>
            <w:tcW w:w="1530" w:type="dxa"/>
          </w:tcPr>
          <w:p w14:paraId="0DCAB417" w14:textId="77777777" w:rsidR="005A43BC" w:rsidRPr="005A43BC" w:rsidRDefault="005A43BC" w:rsidP="005A43BC">
            <w:pPr>
              <w:tabs>
                <w:tab w:val="decimal" w:pos="1152"/>
                <w:tab w:val="right" w:pos="9180"/>
              </w:tabs>
              <w:ind w:right="-18"/>
              <w:rPr>
                <w:rFonts w:ascii="CG Times (WN)" w:hAnsi="CG Times (WN)"/>
                <w:sz w:val="20"/>
                <w:szCs w:val="20"/>
              </w:rPr>
            </w:pPr>
            <w:r w:rsidRPr="005A43BC">
              <w:rPr>
                <w:rFonts w:ascii="CG Times (WN)" w:hAnsi="CG Times (WN)"/>
                <w:sz w:val="20"/>
                <w:szCs w:val="20"/>
              </w:rPr>
              <w:tab/>
              <w:t>(15,929,008)</w:t>
            </w:r>
          </w:p>
        </w:tc>
      </w:tr>
      <w:tr w:rsidR="005A43BC" w:rsidRPr="005A43BC" w14:paraId="5B7BAF68" w14:textId="77777777" w:rsidTr="004F5282">
        <w:tc>
          <w:tcPr>
            <w:tcW w:w="3438" w:type="dxa"/>
            <w:gridSpan w:val="4"/>
          </w:tcPr>
          <w:p w14:paraId="1F00661E" w14:textId="77777777" w:rsidR="005A43BC" w:rsidRPr="005A43BC" w:rsidRDefault="005A43BC" w:rsidP="005A43BC">
            <w:pPr>
              <w:tabs>
                <w:tab w:val="right" w:pos="9180"/>
              </w:tabs>
              <w:ind w:right="-360"/>
              <w:rPr>
                <w:rFonts w:ascii="CG Times (WN)" w:hAnsi="CG Times (WN)"/>
                <w:sz w:val="20"/>
                <w:szCs w:val="20"/>
              </w:rPr>
            </w:pPr>
            <w:r w:rsidRPr="005A43BC">
              <w:rPr>
                <w:rFonts w:ascii="CG Times (WN)" w:hAnsi="CG Times (WN)"/>
                <w:sz w:val="20"/>
                <w:szCs w:val="20"/>
              </w:rPr>
              <w:t>Total other income (expense)</w:t>
            </w:r>
          </w:p>
        </w:tc>
        <w:tc>
          <w:tcPr>
            <w:tcW w:w="1152" w:type="dxa"/>
          </w:tcPr>
          <w:p w14:paraId="6D5A5E7E" w14:textId="77777777" w:rsidR="005A43BC" w:rsidRPr="005A43BC" w:rsidRDefault="005A43BC" w:rsidP="005A43BC">
            <w:pPr>
              <w:tabs>
                <w:tab w:val="decimal" w:pos="1062"/>
                <w:tab w:val="right" w:pos="9180"/>
              </w:tabs>
              <w:ind w:right="-46"/>
              <w:rPr>
                <w:rFonts w:ascii="CG Times (WN)" w:hAnsi="CG Times (WN)"/>
                <w:sz w:val="20"/>
                <w:szCs w:val="20"/>
              </w:rPr>
            </w:pPr>
          </w:p>
        </w:tc>
        <w:tc>
          <w:tcPr>
            <w:tcW w:w="1530" w:type="dxa"/>
            <w:tcBorders>
              <w:bottom w:val="single" w:sz="4" w:space="0" w:color="auto"/>
            </w:tcBorders>
          </w:tcPr>
          <w:p w14:paraId="3EE8008F" w14:textId="77777777" w:rsidR="005A43BC" w:rsidRPr="005A43BC" w:rsidRDefault="005A43BC" w:rsidP="005A43BC">
            <w:pPr>
              <w:tabs>
                <w:tab w:val="decimal" w:pos="1062"/>
                <w:tab w:val="right" w:pos="9180"/>
              </w:tabs>
              <w:ind w:right="-46"/>
              <w:rPr>
                <w:rFonts w:ascii="CG Times (WN)" w:hAnsi="CG Times (WN)"/>
                <w:sz w:val="20"/>
                <w:szCs w:val="20"/>
              </w:rPr>
            </w:pPr>
            <w:r w:rsidRPr="005A43BC">
              <w:rPr>
                <w:rFonts w:ascii="CG Times (WN)" w:hAnsi="CG Times (WN)"/>
                <w:sz w:val="20"/>
                <w:szCs w:val="20"/>
              </w:rPr>
              <w:tab/>
              <w:t>175,506</w:t>
            </w:r>
          </w:p>
        </w:tc>
        <w:tc>
          <w:tcPr>
            <w:tcW w:w="1638" w:type="dxa"/>
            <w:tcBorders>
              <w:bottom w:val="single" w:sz="4" w:space="0" w:color="auto"/>
            </w:tcBorders>
          </w:tcPr>
          <w:p w14:paraId="656A404B" w14:textId="77777777" w:rsidR="005A43BC" w:rsidRPr="005A43BC" w:rsidRDefault="005A43BC" w:rsidP="005A43BC">
            <w:pPr>
              <w:tabs>
                <w:tab w:val="decimal" w:pos="1062"/>
                <w:tab w:val="right" w:pos="9180"/>
              </w:tabs>
              <w:ind w:right="-18"/>
              <w:rPr>
                <w:rFonts w:ascii="CG Times (WN)" w:hAnsi="CG Times (WN)"/>
                <w:sz w:val="20"/>
                <w:szCs w:val="20"/>
              </w:rPr>
            </w:pPr>
            <w:r w:rsidRPr="005A43BC">
              <w:rPr>
                <w:rFonts w:ascii="CG Times (WN)" w:hAnsi="CG Times (WN)"/>
                <w:sz w:val="20"/>
                <w:szCs w:val="20"/>
              </w:rPr>
              <w:tab/>
              <w:t>(141,253)</w:t>
            </w:r>
          </w:p>
        </w:tc>
        <w:tc>
          <w:tcPr>
            <w:tcW w:w="1530" w:type="dxa"/>
            <w:tcBorders>
              <w:bottom w:val="single" w:sz="4" w:space="0" w:color="auto"/>
            </w:tcBorders>
          </w:tcPr>
          <w:p w14:paraId="38316EFD" w14:textId="77777777" w:rsidR="005A43BC" w:rsidRPr="005A43BC" w:rsidRDefault="005A43BC" w:rsidP="005A43BC">
            <w:pPr>
              <w:tabs>
                <w:tab w:val="decimal" w:pos="1152"/>
                <w:tab w:val="right" w:pos="9180"/>
              </w:tabs>
              <w:ind w:right="-18"/>
              <w:rPr>
                <w:rFonts w:ascii="CG Times (WN)" w:hAnsi="CG Times (WN)"/>
                <w:sz w:val="20"/>
                <w:szCs w:val="20"/>
              </w:rPr>
            </w:pPr>
            <w:r w:rsidRPr="005A43BC">
              <w:rPr>
                <w:rFonts w:ascii="CG Times (WN)" w:hAnsi="CG Times (WN)"/>
                <w:sz w:val="20"/>
                <w:szCs w:val="20"/>
              </w:rPr>
              <w:tab/>
              <w:t>316,759</w:t>
            </w:r>
          </w:p>
        </w:tc>
      </w:tr>
      <w:tr w:rsidR="005A43BC" w:rsidRPr="005A43BC" w14:paraId="496496AE" w14:textId="77777777" w:rsidTr="004F5282">
        <w:tc>
          <w:tcPr>
            <w:tcW w:w="3438" w:type="dxa"/>
            <w:gridSpan w:val="4"/>
          </w:tcPr>
          <w:p w14:paraId="33051E45" w14:textId="77777777" w:rsidR="005A43BC" w:rsidRPr="005A43BC" w:rsidRDefault="005A43BC" w:rsidP="005A43BC">
            <w:pPr>
              <w:tabs>
                <w:tab w:val="right" w:pos="9180"/>
              </w:tabs>
              <w:ind w:right="-360"/>
              <w:rPr>
                <w:rFonts w:ascii="CG Times (WN)" w:hAnsi="CG Times (WN)"/>
                <w:sz w:val="20"/>
                <w:szCs w:val="20"/>
              </w:rPr>
            </w:pPr>
            <w:r w:rsidRPr="005A43BC">
              <w:rPr>
                <w:rFonts w:ascii="CG Times (WN)" w:hAnsi="CG Times (WN)"/>
                <w:sz w:val="20"/>
                <w:szCs w:val="20"/>
              </w:rPr>
              <w:t>Net loss</w:t>
            </w:r>
          </w:p>
        </w:tc>
        <w:tc>
          <w:tcPr>
            <w:tcW w:w="1152" w:type="dxa"/>
          </w:tcPr>
          <w:p w14:paraId="66670FB6" w14:textId="77777777" w:rsidR="005A43BC" w:rsidRPr="005A43BC" w:rsidRDefault="005A43BC" w:rsidP="005A43BC">
            <w:pPr>
              <w:tabs>
                <w:tab w:val="decimal" w:pos="1062"/>
                <w:tab w:val="right" w:pos="9180"/>
              </w:tabs>
              <w:ind w:right="-46"/>
              <w:rPr>
                <w:rFonts w:ascii="CG Times (WN)" w:hAnsi="CG Times (WN)"/>
                <w:sz w:val="20"/>
                <w:szCs w:val="20"/>
              </w:rPr>
            </w:pPr>
          </w:p>
        </w:tc>
        <w:tc>
          <w:tcPr>
            <w:tcW w:w="1530" w:type="dxa"/>
            <w:tcBorders>
              <w:bottom w:val="double" w:sz="4" w:space="0" w:color="auto"/>
            </w:tcBorders>
          </w:tcPr>
          <w:p w14:paraId="1AD2A05F" w14:textId="77777777" w:rsidR="005A43BC" w:rsidRPr="005A43BC" w:rsidRDefault="005A43BC" w:rsidP="005A43BC">
            <w:pPr>
              <w:tabs>
                <w:tab w:val="decimal" w:pos="1062"/>
                <w:tab w:val="right" w:pos="9180"/>
              </w:tabs>
              <w:ind w:right="-46"/>
              <w:rPr>
                <w:rFonts w:ascii="CG Times (WN)" w:hAnsi="CG Times (WN)"/>
                <w:sz w:val="20"/>
                <w:szCs w:val="20"/>
              </w:rPr>
            </w:pPr>
            <w:r w:rsidRPr="005A43BC">
              <w:rPr>
                <w:rFonts w:ascii="CG Times (WN)" w:hAnsi="CG Times (WN)"/>
                <w:sz w:val="20"/>
                <w:szCs w:val="20"/>
              </w:rPr>
              <w:t>$</w:t>
            </w:r>
            <w:r w:rsidRPr="005A43BC">
              <w:rPr>
                <w:rFonts w:ascii="CG Times (WN)" w:hAnsi="CG Times (WN)"/>
                <w:sz w:val="20"/>
                <w:szCs w:val="20"/>
              </w:rPr>
              <w:tab/>
              <w:t>(18,570,317)</w:t>
            </w:r>
          </w:p>
        </w:tc>
        <w:tc>
          <w:tcPr>
            <w:tcW w:w="1638" w:type="dxa"/>
            <w:tcBorders>
              <w:top w:val="single" w:sz="4" w:space="0" w:color="auto"/>
              <w:bottom w:val="double" w:sz="4" w:space="0" w:color="auto"/>
            </w:tcBorders>
          </w:tcPr>
          <w:p w14:paraId="1D5F1B87" w14:textId="77777777" w:rsidR="005A43BC" w:rsidRPr="005A43BC" w:rsidRDefault="005A43BC" w:rsidP="005A43BC">
            <w:pPr>
              <w:tabs>
                <w:tab w:val="decimal" w:pos="1044"/>
                <w:tab w:val="right" w:pos="9180"/>
              </w:tabs>
              <w:ind w:right="-18"/>
              <w:rPr>
                <w:rFonts w:ascii="CG Times (WN)" w:hAnsi="CG Times (WN)"/>
                <w:sz w:val="20"/>
                <w:szCs w:val="20"/>
              </w:rPr>
            </w:pPr>
            <w:r w:rsidRPr="005A43BC">
              <w:rPr>
                <w:rFonts w:ascii="CG Times (WN)" w:hAnsi="CG Times (WN)"/>
                <w:sz w:val="20"/>
                <w:szCs w:val="20"/>
              </w:rPr>
              <w:t>$</w:t>
            </w:r>
            <w:r w:rsidRPr="005A43BC">
              <w:rPr>
                <w:rFonts w:ascii="CG Times (WN)" w:hAnsi="CG Times (WN)"/>
                <w:sz w:val="20"/>
                <w:szCs w:val="20"/>
              </w:rPr>
              <w:tab/>
              <w:t>(2,958,068)</w:t>
            </w:r>
          </w:p>
        </w:tc>
        <w:tc>
          <w:tcPr>
            <w:tcW w:w="1530" w:type="dxa"/>
            <w:tcBorders>
              <w:top w:val="single" w:sz="4" w:space="0" w:color="auto"/>
              <w:bottom w:val="double" w:sz="4" w:space="0" w:color="auto"/>
            </w:tcBorders>
          </w:tcPr>
          <w:p w14:paraId="64AFDAAA" w14:textId="77777777" w:rsidR="005A43BC" w:rsidRPr="005A43BC" w:rsidRDefault="005A43BC" w:rsidP="005A43BC">
            <w:pPr>
              <w:tabs>
                <w:tab w:val="decimal" w:pos="1152"/>
                <w:tab w:val="right" w:pos="9180"/>
              </w:tabs>
              <w:ind w:right="-18"/>
              <w:rPr>
                <w:rFonts w:ascii="CG Times (WN)" w:hAnsi="CG Times (WN)"/>
                <w:sz w:val="20"/>
                <w:szCs w:val="20"/>
              </w:rPr>
            </w:pPr>
            <w:r w:rsidRPr="005A43BC">
              <w:rPr>
                <w:rFonts w:ascii="CG Times (WN)" w:hAnsi="CG Times (WN)"/>
                <w:sz w:val="20"/>
                <w:szCs w:val="20"/>
              </w:rPr>
              <w:t>$</w:t>
            </w:r>
            <w:r w:rsidRPr="005A43BC">
              <w:rPr>
                <w:rFonts w:ascii="CG Times (WN)" w:hAnsi="CG Times (WN)"/>
                <w:sz w:val="20"/>
                <w:szCs w:val="20"/>
              </w:rPr>
              <w:tab/>
              <w:t>(15,612,249)</w:t>
            </w:r>
          </w:p>
        </w:tc>
      </w:tr>
    </w:tbl>
    <w:p w14:paraId="382583BC" w14:textId="77777777" w:rsidR="005A43BC" w:rsidRPr="005A43BC" w:rsidRDefault="005A43BC" w:rsidP="005A43BC">
      <w:pPr>
        <w:tabs>
          <w:tab w:val="left" w:pos="1080"/>
          <w:tab w:val="left" w:pos="1260"/>
          <w:tab w:val="left" w:pos="2340"/>
          <w:tab w:val="right" w:pos="9180"/>
        </w:tabs>
        <w:ind w:right="36"/>
        <w:rPr>
          <w:bCs/>
          <w:sz w:val="20"/>
          <w:szCs w:val="20"/>
        </w:rPr>
      </w:pPr>
    </w:p>
    <w:tbl>
      <w:tblPr>
        <w:tblW w:w="9288" w:type="dxa"/>
        <w:tblLayout w:type="fixed"/>
        <w:tblLook w:val="01E0" w:firstRow="1" w:lastRow="1" w:firstColumn="1" w:lastColumn="1" w:noHBand="0" w:noVBand="0"/>
      </w:tblPr>
      <w:tblGrid>
        <w:gridCol w:w="378"/>
        <w:gridCol w:w="450"/>
        <w:gridCol w:w="450"/>
        <w:gridCol w:w="2160"/>
        <w:gridCol w:w="1152"/>
        <w:gridCol w:w="1530"/>
        <w:gridCol w:w="1638"/>
        <w:gridCol w:w="1530"/>
      </w:tblGrid>
      <w:tr w:rsidR="005A43BC" w:rsidRPr="005A43BC" w14:paraId="67906DC7" w14:textId="77777777" w:rsidTr="004F5282">
        <w:tc>
          <w:tcPr>
            <w:tcW w:w="378" w:type="dxa"/>
          </w:tcPr>
          <w:p w14:paraId="3618E114" w14:textId="77777777" w:rsidR="005A43BC" w:rsidRPr="005A43BC" w:rsidRDefault="005A43BC" w:rsidP="005A43BC">
            <w:pPr>
              <w:ind w:right="-360"/>
              <w:rPr>
                <w:sz w:val="20"/>
                <w:szCs w:val="20"/>
              </w:rPr>
            </w:pPr>
            <w:bookmarkStart w:id="32" w:name="_Hlk77171369"/>
            <w:bookmarkStart w:id="33" w:name="_Hlk98341236"/>
          </w:p>
        </w:tc>
        <w:tc>
          <w:tcPr>
            <w:tcW w:w="450" w:type="dxa"/>
          </w:tcPr>
          <w:p w14:paraId="737F7DD3" w14:textId="77777777" w:rsidR="005A43BC" w:rsidRPr="005A43BC" w:rsidRDefault="005A43BC" w:rsidP="005A43BC">
            <w:pPr>
              <w:ind w:right="-360"/>
              <w:rPr>
                <w:sz w:val="20"/>
                <w:szCs w:val="20"/>
              </w:rPr>
            </w:pPr>
          </w:p>
        </w:tc>
        <w:tc>
          <w:tcPr>
            <w:tcW w:w="450" w:type="dxa"/>
          </w:tcPr>
          <w:p w14:paraId="7D0B0561" w14:textId="77777777" w:rsidR="005A43BC" w:rsidRPr="005A43BC" w:rsidRDefault="005A43BC" w:rsidP="005A43BC">
            <w:pPr>
              <w:ind w:right="-360"/>
              <w:rPr>
                <w:sz w:val="20"/>
                <w:szCs w:val="20"/>
              </w:rPr>
            </w:pPr>
          </w:p>
        </w:tc>
        <w:tc>
          <w:tcPr>
            <w:tcW w:w="2160" w:type="dxa"/>
          </w:tcPr>
          <w:p w14:paraId="2ADA52A6" w14:textId="77777777" w:rsidR="005A43BC" w:rsidRPr="005A43BC" w:rsidRDefault="005A43BC" w:rsidP="005A43BC">
            <w:pPr>
              <w:tabs>
                <w:tab w:val="right" w:pos="9180"/>
              </w:tabs>
              <w:ind w:right="-360"/>
              <w:rPr>
                <w:sz w:val="20"/>
                <w:szCs w:val="20"/>
              </w:rPr>
            </w:pPr>
          </w:p>
        </w:tc>
        <w:tc>
          <w:tcPr>
            <w:tcW w:w="1152" w:type="dxa"/>
          </w:tcPr>
          <w:p w14:paraId="14A18040" w14:textId="77777777" w:rsidR="005A43BC" w:rsidRPr="005A43BC" w:rsidRDefault="005A43BC" w:rsidP="005A43BC">
            <w:pPr>
              <w:tabs>
                <w:tab w:val="right" w:pos="9180"/>
              </w:tabs>
              <w:ind w:right="-46"/>
              <w:jc w:val="center"/>
              <w:rPr>
                <w:sz w:val="20"/>
                <w:szCs w:val="20"/>
              </w:rPr>
            </w:pPr>
          </w:p>
        </w:tc>
        <w:tc>
          <w:tcPr>
            <w:tcW w:w="3168" w:type="dxa"/>
            <w:gridSpan w:val="2"/>
            <w:tcBorders>
              <w:bottom w:val="single" w:sz="4" w:space="0" w:color="auto"/>
            </w:tcBorders>
          </w:tcPr>
          <w:p w14:paraId="12C1D7D7" w14:textId="77777777" w:rsidR="005A43BC" w:rsidRPr="005A43BC" w:rsidRDefault="005A43BC" w:rsidP="005A43BC">
            <w:pPr>
              <w:tabs>
                <w:tab w:val="right" w:pos="9180"/>
              </w:tabs>
              <w:ind w:right="-18"/>
              <w:jc w:val="center"/>
              <w:rPr>
                <w:sz w:val="20"/>
                <w:szCs w:val="20"/>
              </w:rPr>
            </w:pPr>
            <w:r w:rsidRPr="005A43BC">
              <w:rPr>
                <w:sz w:val="20"/>
                <w:szCs w:val="20"/>
              </w:rPr>
              <w:t>Three Months Ended March 31,</w:t>
            </w:r>
          </w:p>
        </w:tc>
        <w:tc>
          <w:tcPr>
            <w:tcW w:w="1530" w:type="dxa"/>
          </w:tcPr>
          <w:p w14:paraId="31821C9D" w14:textId="77777777" w:rsidR="005A43BC" w:rsidRPr="005A43BC" w:rsidRDefault="005A43BC" w:rsidP="005A43BC">
            <w:pPr>
              <w:tabs>
                <w:tab w:val="right" w:pos="9180"/>
              </w:tabs>
              <w:ind w:right="-18"/>
              <w:jc w:val="center"/>
              <w:rPr>
                <w:sz w:val="20"/>
                <w:szCs w:val="20"/>
              </w:rPr>
            </w:pPr>
          </w:p>
        </w:tc>
      </w:tr>
      <w:bookmarkEnd w:id="32"/>
      <w:tr w:rsidR="005A43BC" w:rsidRPr="005A43BC" w14:paraId="07A7A4C2" w14:textId="77777777" w:rsidTr="004F5282">
        <w:tc>
          <w:tcPr>
            <w:tcW w:w="378" w:type="dxa"/>
          </w:tcPr>
          <w:p w14:paraId="2AD054B8" w14:textId="77777777" w:rsidR="005A43BC" w:rsidRPr="005A43BC" w:rsidRDefault="005A43BC" w:rsidP="005A43BC">
            <w:pPr>
              <w:ind w:right="-360"/>
              <w:rPr>
                <w:sz w:val="20"/>
                <w:szCs w:val="20"/>
              </w:rPr>
            </w:pPr>
          </w:p>
        </w:tc>
        <w:tc>
          <w:tcPr>
            <w:tcW w:w="450" w:type="dxa"/>
          </w:tcPr>
          <w:p w14:paraId="154EE020" w14:textId="77777777" w:rsidR="005A43BC" w:rsidRPr="005A43BC" w:rsidRDefault="005A43BC" w:rsidP="005A43BC">
            <w:pPr>
              <w:ind w:right="-360"/>
              <w:rPr>
                <w:sz w:val="20"/>
                <w:szCs w:val="20"/>
              </w:rPr>
            </w:pPr>
          </w:p>
        </w:tc>
        <w:tc>
          <w:tcPr>
            <w:tcW w:w="450" w:type="dxa"/>
          </w:tcPr>
          <w:p w14:paraId="0DF8F7D5" w14:textId="77777777" w:rsidR="005A43BC" w:rsidRPr="005A43BC" w:rsidRDefault="005A43BC" w:rsidP="005A43BC">
            <w:pPr>
              <w:ind w:right="-360"/>
              <w:rPr>
                <w:sz w:val="20"/>
                <w:szCs w:val="20"/>
              </w:rPr>
            </w:pPr>
          </w:p>
        </w:tc>
        <w:tc>
          <w:tcPr>
            <w:tcW w:w="2160" w:type="dxa"/>
          </w:tcPr>
          <w:p w14:paraId="23484F71" w14:textId="77777777" w:rsidR="005A43BC" w:rsidRPr="005A43BC" w:rsidRDefault="005A43BC" w:rsidP="005A43BC">
            <w:pPr>
              <w:tabs>
                <w:tab w:val="right" w:pos="9180"/>
              </w:tabs>
              <w:ind w:right="-360"/>
              <w:rPr>
                <w:sz w:val="20"/>
                <w:szCs w:val="20"/>
              </w:rPr>
            </w:pPr>
          </w:p>
        </w:tc>
        <w:tc>
          <w:tcPr>
            <w:tcW w:w="1152" w:type="dxa"/>
          </w:tcPr>
          <w:p w14:paraId="281C6A35" w14:textId="77777777" w:rsidR="005A43BC" w:rsidRPr="005A43BC" w:rsidRDefault="005A43BC" w:rsidP="005A43BC">
            <w:pPr>
              <w:tabs>
                <w:tab w:val="right" w:pos="9180"/>
              </w:tabs>
              <w:ind w:right="-46"/>
              <w:jc w:val="center"/>
              <w:rPr>
                <w:sz w:val="20"/>
                <w:szCs w:val="20"/>
              </w:rPr>
            </w:pPr>
          </w:p>
        </w:tc>
        <w:tc>
          <w:tcPr>
            <w:tcW w:w="1530" w:type="dxa"/>
            <w:tcBorders>
              <w:bottom w:val="single" w:sz="4" w:space="0" w:color="auto"/>
            </w:tcBorders>
          </w:tcPr>
          <w:p w14:paraId="65234A05" w14:textId="77777777" w:rsidR="005A43BC" w:rsidRPr="005A43BC" w:rsidRDefault="005A43BC" w:rsidP="005A43BC">
            <w:pPr>
              <w:tabs>
                <w:tab w:val="right" w:pos="9180"/>
              </w:tabs>
              <w:ind w:right="-46"/>
              <w:jc w:val="center"/>
              <w:rPr>
                <w:sz w:val="20"/>
                <w:szCs w:val="20"/>
              </w:rPr>
            </w:pPr>
            <w:r w:rsidRPr="005A43BC">
              <w:rPr>
                <w:sz w:val="20"/>
                <w:szCs w:val="20"/>
              </w:rPr>
              <w:t>2022</w:t>
            </w:r>
          </w:p>
        </w:tc>
        <w:tc>
          <w:tcPr>
            <w:tcW w:w="1638" w:type="dxa"/>
            <w:tcBorders>
              <w:bottom w:val="single" w:sz="4" w:space="0" w:color="auto"/>
            </w:tcBorders>
          </w:tcPr>
          <w:p w14:paraId="15DB88B2" w14:textId="77777777" w:rsidR="005A43BC" w:rsidRPr="005A43BC" w:rsidRDefault="005A43BC" w:rsidP="005A43BC">
            <w:pPr>
              <w:tabs>
                <w:tab w:val="right" w:pos="9180"/>
              </w:tabs>
              <w:ind w:right="-18"/>
              <w:jc w:val="center"/>
              <w:rPr>
                <w:sz w:val="20"/>
                <w:szCs w:val="20"/>
              </w:rPr>
            </w:pPr>
            <w:r w:rsidRPr="005A43BC">
              <w:rPr>
                <w:sz w:val="20"/>
                <w:szCs w:val="20"/>
              </w:rPr>
              <w:t>2021</w:t>
            </w:r>
          </w:p>
        </w:tc>
        <w:tc>
          <w:tcPr>
            <w:tcW w:w="1530" w:type="dxa"/>
            <w:tcBorders>
              <w:bottom w:val="single" w:sz="4" w:space="0" w:color="auto"/>
            </w:tcBorders>
          </w:tcPr>
          <w:p w14:paraId="2217D734" w14:textId="77777777" w:rsidR="005A43BC" w:rsidRPr="005A43BC" w:rsidRDefault="005A43BC" w:rsidP="005A43BC">
            <w:pPr>
              <w:tabs>
                <w:tab w:val="right" w:pos="9180"/>
              </w:tabs>
              <w:ind w:right="-18"/>
              <w:jc w:val="center"/>
              <w:rPr>
                <w:sz w:val="20"/>
                <w:szCs w:val="20"/>
              </w:rPr>
            </w:pPr>
            <w:r w:rsidRPr="005A43BC">
              <w:rPr>
                <w:sz w:val="20"/>
                <w:szCs w:val="20"/>
              </w:rPr>
              <w:t>Change</w:t>
            </w:r>
          </w:p>
        </w:tc>
      </w:tr>
      <w:tr w:rsidR="005A43BC" w:rsidRPr="005A43BC" w14:paraId="41F579E7" w14:textId="77777777" w:rsidTr="004F5282">
        <w:tc>
          <w:tcPr>
            <w:tcW w:w="3438" w:type="dxa"/>
            <w:gridSpan w:val="4"/>
          </w:tcPr>
          <w:p w14:paraId="4568692A" w14:textId="77777777" w:rsidR="005A43BC" w:rsidRPr="005A43BC" w:rsidRDefault="005A43BC" w:rsidP="005A43BC">
            <w:pPr>
              <w:tabs>
                <w:tab w:val="right" w:pos="9180"/>
              </w:tabs>
              <w:ind w:right="-360"/>
              <w:rPr>
                <w:sz w:val="20"/>
                <w:szCs w:val="20"/>
              </w:rPr>
            </w:pPr>
            <w:r w:rsidRPr="005A43BC">
              <w:rPr>
                <w:sz w:val="20"/>
                <w:szCs w:val="20"/>
              </w:rPr>
              <w:t>Grant revenue</w:t>
            </w:r>
          </w:p>
        </w:tc>
        <w:tc>
          <w:tcPr>
            <w:tcW w:w="1152" w:type="dxa"/>
          </w:tcPr>
          <w:p w14:paraId="51973D0F" w14:textId="77777777" w:rsidR="005A43BC" w:rsidRPr="005A43BC" w:rsidRDefault="005A43BC" w:rsidP="005A43BC">
            <w:pPr>
              <w:tabs>
                <w:tab w:val="decimal" w:pos="1062"/>
                <w:tab w:val="right" w:pos="9180"/>
              </w:tabs>
              <w:ind w:right="-46"/>
              <w:rPr>
                <w:sz w:val="20"/>
                <w:szCs w:val="20"/>
              </w:rPr>
            </w:pPr>
          </w:p>
        </w:tc>
        <w:tc>
          <w:tcPr>
            <w:tcW w:w="1530" w:type="dxa"/>
            <w:tcBorders>
              <w:top w:val="single" w:sz="4" w:space="0" w:color="auto"/>
            </w:tcBorders>
          </w:tcPr>
          <w:p w14:paraId="320E4942" w14:textId="77777777" w:rsidR="005A43BC" w:rsidRPr="005A43BC" w:rsidRDefault="005A43BC" w:rsidP="005A43BC">
            <w:pPr>
              <w:tabs>
                <w:tab w:val="decimal" w:pos="1062"/>
                <w:tab w:val="right" w:pos="9180"/>
              </w:tabs>
              <w:ind w:right="-46"/>
              <w:rPr>
                <w:sz w:val="20"/>
                <w:szCs w:val="20"/>
              </w:rPr>
            </w:pPr>
            <w:r w:rsidRPr="005A43BC">
              <w:rPr>
                <w:sz w:val="20"/>
                <w:szCs w:val="20"/>
              </w:rPr>
              <w:t>$</w:t>
            </w:r>
            <w:r w:rsidRPr="005A43BC">
              <w:rPr>
                <w:sz w:val="20"/>
                <w:szCs w:val="20"/>
              </w:rPr>
              <w:tab/>
              <w:t>81,526</w:t>
            </w:r>
          </w:p>
        </w:tc>
        <w:tc>
          <w:tcPr>
            <w:tcW w:w="1638" w:type="dxa"/>
          </w:tcPr>
          <w:p w14:paraId="691D3686" w14:textId="77777777" w:rsidR="005A43BC" w:rsidRPr="005A43BC" w:rsidRDefault="005A43BC" w:rsidP="005A43BC">
            <w:pPr>
              <w:tabs>
                <w:tab w:val="decimal" w:pos="1062"/>
                <w:tab w:val="right" w:pos="9180"/>
              </w:tabs>
              <w:ind w:right="-18"/>
              <w:rPr>
                <w:sz w:val="20"/>
                <w:szCs w:val="20"/>
              </w:rPr>
            </w:pPr>
            <w:r w:rsidRPr="005A43BC">
              <w:rPr>
                <w:sz w:val="20"/>
                <w:szCs w:val="20"/>
              </w:rPr>
              <w:t>$</w:t>
            </w:r>
            <w:r w:rsidRPr="005A43BC">
              <w:rPr>
                <w:sz w:val="20"/>
                <w:szCs w:val="20"/>
              </w:rPr>
              <w:tab/>
              <w:t>110,417</w:t>
            </w:r>
          </w:p>
        </w:tc>
        <w:tc>
          <w:tcPr>
            <w:tcW w:w="1530" w:type="dxa"/>
          </w:tcPr>
          <w:p w14:paraId="20C1B2CF" w14:textId="77777777" w:rsidR="005A43BC" w:rsidRPr="005A43BC" w:rsidRDefault="005A43BC" w:rsidP="005A43BC">
            <w:pPr>
              <w:tabs>
                <w:tab w:val="decimal" w:pos="1152"/>
                <w:tab w:val="right" w:pos="9180"/>
              </w:tabs>
              <w:ind w:right="-18"/>
              <w:rPr>
                <w:sz w:val="20"/>
                <w:szCs w:val="20"/>
              </w:rPr>
            </w:pPr>
            <w:r w:rsidRPr="005A43BC">
              <w:rPr>
                <w:sz w:val="20"/>
                <w:szCs w:val="20"/>
              </w:rPr>
              <w:t>$</w:t>
            </w:r>
            <w:r w:rsidRPr="005A43BC">
              <w:rPr>
                <w:sz w:val="20"/>
                <w:szCs w:val="20"/>
              </w:rPr>
              <w:tab/>
              <w:t>(28,891)</w:t>
            </w:r>
          </w:p>
        </w:tc>
      </w:tr>
      <w:tr w:rsidR="005A43BC" w:rsidRPr="005A43BC" w14:paraId="100D344C" w14:textId="77777777" w:rsidTr="004F5282">
        <w:tc>
          <w:tcPr>
            <w:tcW w:w="3438" w:type="dxa"/>
            <w:gridSpan w:val="4"/>
          </w:tcPr>
          <w:p w14:paraId="0152706F" w14:textId="77777777" w:rsidR="005A43BC" w:rsidRPr="005A43BC" w:rsidRDefault="005A43BC" w:rsidP="005A43BC">
            <w:pPr>
              <w:tabs>
                <w:tab w:val="right" w:pos="9180"/>
              </w:tabs>
              <w:ind w:right="-360"/>
              <w:rPr>
                <w:sz w:val="20"/>
                <w:szCs w:val="20"/>
              </w:rPr>
            </w:pPr>
            <w:r w:rsidRPr="005A43BC">
              <w:rPr>
                <w:sz w:val="20"/>
                <w:szCs w:val="20"/>
              </w:rPr>
              <w:t>Operating expenses:</w:t>
            </w:r>
          </w:p>
        </w:tc>
        <w:tc>
          <w:tcPr>
            <w:tcW w:w="1152" w:type="dxa"/>
          </w:tcPr>
          <w:p w14:paraId="52AFF9D0" w14:textId="77777777" w:rsidR="005A43BC" w:rsidRPr="005A43BC" w:rsidRDefault="005A43BC" w:rsidP="005A43BC">
            <w:pPr>
              <w:tabs>
                <w:tab w:val="right" w:pos="9180"/>
              </w:tabs>
              <w:ind w:right="-46"/>
              <w:rPr>
                <w:sz w:val="20"/>
                <w:szCs w:val="20"/>
              </w:rPr>
            </w:pPr>
          </w:p>
        </w:tc>
        <w:tc>
          <w:tcPr>
            <w:tcW w:w="1530" w:type="dxa"/>
          </w:tcPr>
          <w:p w14:paraId="440F6FD6" w14:textId="77777777" w:rsidR="005A43BC" w:rsidRPr="005A43BC" w:rsidRDefault="005A43BC" w:rsidP="005A43BC">
            <w:pPr>
              <w:tabs>
                <w:tab w:val="right" w:pos="9180"/>
              </w:tabs>
              <w:ind w:right="-46"/>
              <w:rPr>
                <w:sz w:val="20"/>
                <w:szCs w:val="20"/>
              </w:rPr>
            </w:pPr>
          </w:p>
        </w:tc>
        <w:tc>
          <w:tcPr>
            <w:tcW w:w="1638" w:type="dxa"/>
          </w:tcPr>
          <w:p w14:paraId="1F4250CB" w14:textId="77777777" w:rsidR="005A43BC" w:rsidRPr="005A43BC" w:rsidRDefault="005A43BC" w:rsidP="005A43BC">
            <w:pPr>
              <w:tabs>
                <w:tab w:val="right" w:pos="9180"/>
              </w:tabs>
              <w:ind w:right="-18"/>
              <w:rPr>
                <w:sz w:val="20"/>
                <w:szCs w:val="20"/>
              </w:rPr>
            </w:pPr>
          </w:p>
        </w:tc>
        <w:tc>
          <w:tcPr>
            <w:tcW w:w="1530" w:type="dxa"/>
          </w:tcPr>
          <w:p w14:paraId="4E222C60" w14:textId="77777777" w:rsidR="005A43BC" w:rsidRPr="005A43BC" w:rsidRDefault="005A43BC" w:rsidP="005A43BC">
            <w:pPr>
              <w:tabs>
                <w:tab w:val="right" w:pos="9180"/>
              </w:tabs>
              <w:ind w:right="-18"/>
              <w:rPr>
                <w:sz w:val="20"/>
                <w:szCs w:val="20"/>
              </w:rPr>
            </w:pPr>
          </w:p>
        </w:tc>
      </w:tr>
      <w:tr w:rsidR="005A43BC" w:rsidRPr="005A43BC" w14:paraId="1D6972F5" w14:textId="77777777" w:rsidTr="004F5282">
        <w:tc>
          <w:tcPr>
            <w:tcW w:w="378" w:type="dxa"/>
          </w:tcPr>
          <w:p w14:paraId="659BFDC8" w14:textId="77777777" w:rsidR="005A43BC" w:rsidRPr="005A43BC" w:rsidRDefault="005A43BC" w:rsidP="005A43BC">
            <w:pPr>
              <w:ind w:right="-360"/>
              <w:rPr>
                <w:sz w:val="20"/>
                <w:szCs w:val="20"/>
              </w:rPr>
            </w:pPr>
          </w:p>
        </w:tc>
        <w:tc>
          <w:tcPr>
            <w:tcW w:w="3060" w:type="dxa"/>
            <w:gridSpan w:val="3"/>
          </w:tcPr>
          <w:p w14:paraId="2C63C803" w14:textId="77777777" w:rsidR="005A43BC" w:rsidRPr="005A43BC" w:rsidRDefault="005A43BC" w:rsidP="005A43BC">
            <w:pPr>
              <w:tabs>
                <w:tab w:val="right" w:pos="9180"/>
              </w:tabs>
              <w:ind w:right="-360"/>
              <w:rPr>
                <w:sz w:val="20"/>
                <w:szCs w:val="20"/>
              </w:rPr>
            </w:pPr>
            <w:r w:rsidRPr="005A43BC">
              <w:rPr>
                <w:sz w:val="20"/>
                <w:szCs w:val="20"/>
              </w:rPr>
              <w:t>Research and development</w:t>
            </w:r>
          </w:p>
        </w:tc>
        <w:tc>
          <w:tcPr>
            <w:tcW w:w="1152" w:type="dxa"/>
          </w:tcPr>
          <w:p w14:paraId="0AFCD337" w14:textId="77777777" w:rsidR="005A43BC" w:rsidRPr="005A43BC" w:rsidRDefault="005A43BC" w:rsidP="005A43BC">
            <w:pPr>
              <w:tabs>
                <w:tab w:val="decimal" w:pos="1062"/>
                <w:tab w:val="right" w:pos="9180"/>
              </w:tabs>
              <w:ind w:right="-46"/>
              <w:rPr>
                <w:sz w:val="20"/>
                <w:szCs w:val="20"/>
              </w:rPr>
            </w:pPr>
          </w:p>
        </w:tc>
        <w:tc>
          <w:tcPr>
            <w:tcW w:w="1530" w:type="dxa"/>
          </w:tcPr>
          <w:p w14:paraId="203F9A55" w14:textId="77777777" w:rsidR="005A43BC" w:rsidRPr="005A43BC" w:rsidRDefault="005A43BC" w:rsidP="005A43BC">
            <w:pPr>
              <w:tabs>
                <w:tab w:val="decimal" w:pos="1062"/>
                <w:tab w:val="right" w:pos="9180"/>
              </w:tabs>
              <w:ind w:right="-46"/>
              <w:rPr>
                <w:sz w:val="20"/>
                <w:szCs w:val="20"/>
              </w:rPr>
            </w:pPr>
            <w:r w:rsidRPr="005A43BC">
              <w:rPr>
                <w:sz w:val="20"/>
                <w:szCs w:val="20"/>
              </w:rPr>
              <w:tab/>
              <w:t>1,330,544</w:t>
            </w:r>
          </w:p>
        </w:tc>
        <w:tc>
          <w:tcPr>
            <w:tcW w:w="1638" w:type="dxa"/>
          </w:tcPr>
          <w:p w14:paraId="43106EF1" w14:textId="77777777" w:rsidR="005A43BC" w:rsidRPr="005A43BC" w:rsidRDefault="005A43BC" w:rsidP="005A43BC">
            <w:pPr>
              <w:tabs>
                <w:tab w:val="decimal" w:pos="1062"/>
                <w:tab w:val="right" w:pos="9180"/>
              </w:tabs>
              <w:ind w:right="-18"/>
              <w:rPr>
                <w:sz w:val="20"/>
                <w:szCs w:val="20"/>
              </w:rPr>
            </w:pPr>
            <w:r w:rsidRPr="005A43BC">
              <w:rPr>
                <w:sz w:val="20"/>
                <w:szCs w:val="20"/>
              </w:rPr>
              <w:tab/>
              <w:t>602,783</w:t>
            </w:r>
          </w:p>
        </w:tc>
        <w:tc>
          <w:tcPr>
            <w:tcW w:w="1530" w:type="dxa"/>
          </w:tcPr>
          <w:p w14:paraId="687CF900" w14:textId="77777777" w:rsidR="005A43BC" w:rsidRPr="005A43BC" w:rsidRDefault="005A43BC" w:rsidP="005A43BC">
            <w:pPr>
              <w:tabs>
                <w:tab w:val="decimal" w:pos="1152"/>
                <w:tab w:val="right" w:pos="9180"/>
              </w:tabs>
              <w:ind w:right="-18"/>
              <w:rPr>
                <w:sz w:val="20"/>
                <w:szCs w:val="20"/>
              </w:rPr>
            </w:pPr>
            <w:r w:rsidRPr="005A43BC">
              <w:rPr>
                <w:sz w:val="20"/>
                <w:szCs w:val="20"/>
              </w:rPr>
              <w:tab/>
              <w:t>727,761</w:t>
            </w:r>
          </w:p>
        </w:tc>
      </w:tr>
      <w:tr w:rsidR="005A43BC" w:rsidRPr="005A43BC" w14:paraId="541C1E00" w14:textId="77777777" w:rsidTr="004F5282">
        <w:tc>
          <w:tcPr>
            <w:tcW w:w="378" w:type="dxa"/>
          </w:tcPr>
          <w:p w14:paraId="716BE171" w14:textId="77777777" w:rsidR="005A43BC" w:rsidRPr="005A43BC" w:rsidRDefault="005A43BC" w:rsidP="005A43BC">
            <w:pPr>
              <w:ind w:right="-360"/>
              <w:rPr>
                <w:sz w:val="20"/>
                <w:szCs w:val="20"/>
              </w:rPr>
            </w:pPr>
          </w:p>
        </w:tc>
        <w:tc>
          <w:tcPr>
            <w:tcW w:w="3060" w:type="dxa"/>
            <w:gridSpan w:val="3"/>
          </w:tcPr>
          <w:p w14:paraId="52B48DFB" w14:textId="77777777" w:rsidR="005A43BC" w:rsidRPr="005A43BC" w:rsidRDefault="005A43BC" w:rsidP="005A43BC">
            <w:pPr>
              <w:tabs>
                <w:tab w:val="right" w:pos="9180"/>
              </w:tabs>
              <w:ind w:right="-360"/>
              <w:rPr>
                <w:sz w:val="20"/>
                <w:szCs w:val="20"/>
              </w:rPr>
            </w:pPr>
            <w:r w:rsidRPr="005A43BC">
              <w:rPr>
                <w:sz w:val="20"/>
                <w:szCs w:val="20"/>
              </w:rPr>
              <w:t>General and administrative</w:t>
            </w:r>
          </w:p>
        </w:tc>
        <w:tc>
          <w:tcPr>
            <w:tcW w:w="1152" w:type="dxa"/>
          </w:tcPr>
          <w:p w14:paraId="73B7BF9B" w14:textId="77777777" w:rsidR="005A43BC" w:rsidRPr="005A43BC" w:rsidRDefault="005A43BC" w:rsidP="005A43BC">
            <w:pPr>
              <w:tabs>
                <w:tab w:val="decimal" w:pos="1062"/>
                <w:tab w:val="right" w:pos="9180"/>
              </w:tabs>
              <w:ind w:right="-46"/>
              <w:rPr>
                <w:sz w:val="20"/>
                <w:szCs w:val="20"/>
              </w:rPr>
            </w:pPr>
          </w:p>
        </w:tc>
        <w:tc>
          <w:tcPr>
            <w:tcW w:w="1530" w:type="dxa"/>
          </w:tcPr>
          <w:p w14:paraId="6B3E8CF3" w14:textId="77777777" w:rsidR="005A43BC" w:rsidRPr="005A43BC" w:rsidRDefault="005A43BC" w:rsidP="005A43BC">
            <w:pPr>
              <w:tabs>
                <w:tab w:val="decimal" w:pos="1062"/>
                <w:tab w:val="right" w:pos="9180"/>
              </w:tabs>
              <w:ind w:right="-46"/>
              <w:rPr>
                <w:sz w:val="20"/>
                <w:szCs w:val="20"/>
              </w:rPr>
            </w:pPr>
            <w:r w:rsidRPr="005A43BC">
              <w:rPr>
                <w:sz w:val="20"/>
                <w:szCs w:val="20"/>
              </w:rPr>
              <w:tab/>
              <w:t>1,179,024</w:t>
            </w:r>
          </w:p>
        </w:tc>
        <w:tc>
          <w:tcPr>
            <w:tcW w:w="1638" w:type="dxa"/>
          </w:tcPr>
          <w:p w14:paraId="59B238FE" w14:textId="77777777" w:rsidR="005A43BC" w:rsidRPr="005A43BC" w:rsidRDefault="005A43BC" w:rsidP="005A43BC">
            <w:pPr>
              <w:tabs>
                <w:tab w:val="decimal" w:pos="1062"/>
                <w:tab w:val="right" w:pos="9180"/>
              </w:tabs>
              <w:ind w:right="-18"/>
              <w:rPr>
                <w:sz w:val="20"/>
                <w:szCs w:val="20"/>
              </w:rPr>
            </w:pPr>
            <w:r w:rsidRPr="005A43BC">
              <w:rPr>
                <w:sz w:val="20"/>
                <w:szCs w:val="20"/>
              </w:rPr>
              <w:tab/>
              <w:t>1,071,710</w:t>
            </w:r>
          </w:p>
        </w:tc>
        <w:tc>
          <w:tcPr>
            <w:tcW w:w="1530" w:type="dxa"/>
          </w:tcPr>
          <w:p w14:paraId="254145B6" w14:textId="77777777" w:rsidR="005A43BC" w:rsidRPr="005A43BC" w:rsidRDefault="005A43BC" w:rsidP="005A43BC">
            <w:pPr>
              <w:tabs>
                <w:tab w:val="decimal" w:pos="1152"/>
                <w:tab w:val="right" w:pos="9180"/>
              </w:tabs>
              <w:ind w:right="-18"/>
              <w:rPr>
                <w:sz w:val="20"/>
                <w:szCs w:val="20"/>
              </w:rPr>
            </w:pPr>
            <w:r w:rsidRPr="005A43BC">
              <w:rPr>
                <w:sz w:val="20"/>
                <w:szCs w:val="20"/>
              </w:rPr>
              <w:tab/>
              <w:t>107,314</w:t>
            </w:r>
          </w:p>
        </w:tc>
      </w:tr>
      <w:tr w:rsidR="005A43BC" w:rsidRPr="005A43BC" w14:paraId="5221F918" w14:textId="77777777" w:rsidTr="004F5282">
        <w:tc>
          <w:tcPr>
            <w:tcW w:w="3438" w:type="dxa"/>
            <w:gridSpan w:val="4"/>
          </w:tcPr>
          <w:p w14:paraId="55B7B965" w14:textId="77777777" w:rsidR="005A43BC" w:rsidRPr="005A43BC" w:rsidRDefault="005A43BC" w:rsidP="005A43BC">
            <w:pPr>
              <w:tabs>
                <w:tab w:val="right" w:pos="9180"/>
              </w:tabs>
              <w:ind w:right="-360"/>
              <w:rPr>
                <w:sz w:val="20"/>
                <w:szCs w:val="20"/>
              </w:rPr>
            </w:pPr>
            <w:r w:rsidRPr="005A43BC">
              <w:rPr>
                <w:sz w:val="20"/>
                <w:szCs w:val="20"/>
              </w:rPr>
              <w:t>Total operating expenses</w:t>
            </w:r>
          </w:p>
        </w:tc>
        <w:tc>
          <w:tcPr>
            <w:tcW w:w="1152" w:type="dxa"/>
          </w:tcPr>
          <w:p w14:paraId="045037E7" w14:textId="77777777" w:rsidR="005A43BC" w:rsidRPr="005A43BC" w:rsidRDefault="005A43BC" w:rsidP="005A43BC">
            <w:pPr>
              <w:tabs>
                <w:tab w:val="decimal" w:pos="1062"/>
                <w:tab w:val="right" w:pos="9180"/>
              </w:tabs>
              <w:ind w:right="-46"/>
              <w:rPr>
                <w:sz w:val="20"/>
                <w:szCs w:val="20"/>
              </w:rPr>
            </w:pPr>
          </w:p>
        </w:tc>
        <w:tc>
          <w:tcPr>
            <w:tcW w:w="1530" w:type="dxa"/>
            <w:tcBorders>
              <w:top w:val="single" w:sz="4" w:space="0" w:color="auto"/>
              <w:bottom w:val="single" w:sz="4" w:space="0" w:color="auto"/>
            </w:tcBorders>
          </w:tcPr>
          <w:p w14:paraId="147D5517" w14:textId="77777777" w:rsidR="005A43BC" w:rsidRPr="005A43BC" w:rsidRDefault="005A43BC" w:rsidP="005A43BC">
            <w:pPr>
              <w:tabs>
                <w:tab w:val="decimal" w:pos="1062"/>
                <w:tab w:val="right" w:pos="9180"/>
              </w:tabs>
              <w:ind w:right="-46"/>
              <w:rPr>
                <w:sz w:val="20"/>
                <w:szCs w:val="20"/>
              </w:rPr>
            </w:pPr>
            <w:r w:rsidRPr="005A43BC">
              <w:rPr>
                <w:sz w:val="20"/>
                <w:szCs w:val="20"/>
              </w:rPr>
              <w:tab/>
              <w:t>2,509,568</w:t>
            </w:r>
          </w:p>
        </w:tc>
        <w:tc>
          <w:tcPr>
            <w:tcW w:w="1638" w:type="dxa"/>
            <w:tcBorders>
              <w:top w:val="single" w:sz="4" w:space="0" w:color="auto"/>
              <w:bottom w:val="single" w:sz="4" w:space="0" w:color="auto"/>
            </w:tcBorders>
          </w:tcPr>
          <w:p w14:paraId="2736015D" w14:textId="77777777" w:rsidR="005A43BC" w:rsidRPr="005A43BC" w:rsidRDefault="005A43BC" w:rsidP="005A43BC">
            <w:pPr>
              <w:tabs>
                <w:tab w:val="decimal" w:pos="1062"/>
                <w:tab w:val="right" w:pos="9180"/>
              </w:tabs>
              <w:ind w:right="-18"/>
              <w:rPr>
                <w:sz w:val="20"/>
                <w:szCs w:val="20"/>
              </w:rPr>
            </w:pPr>
            <w:r w:rsidRPr="005A43BC">
              <w:rPr>
                <w:sz w:val="20"/>
                <w:szCs w:val="20"/>
              </w:rPr>
              <w:tab/>
              <w:t>1,674,493</w:t>
            </w:r>
          </w:p>
        </w:tc>
        <w:tc>
          <w:tcPr>
            <w:tcW w:w="1530" w:type="dxa"/>
            <w:tcBorders>
              <w:top w:val="single" w:sz="4" w:space="0" w:color="auto"/>
              <w:bottom w:val="single" w:sz="4" w:space="0" w:color="auto"/>
            </w:tcBorders>
          </w:tcPr>
          <w:p w14:paraId="5DDF147D" w14:textId="77777777" w:rsidR="005A43BC" w:rsidRPr="005A43BC" w:rsidRDefault="005A43BC" w:rsidP="005A43BC">
            <w:pPr>
              <w:tabs>
                <w:tab w:val="decimal" w:pos="1152"/>
                <w:tab w:val="right" w:pos="9180"/>
              </w:tabs>
              <w:ind w:right="-18"/>
              <w:rPr>
                <w:sz w:val="20"/>
                <w:szCs w:val="20"/>
              </w:rPr>
            </w:pPr>
            <w:r w:rsidRPr="005A43BC">
              <w:rPr>
                <w:sz w:val="20"/>
                <w:szCs w:val="20"/>
              </w:rPr>
              <w:tab/>
              <w:t>835,075</w:t>
            </w:r>
          </w:p>
        </w:tc>
      </w:tr>
      <w:bookmarkEnd w:id="33"/>
      <w:tr w:rsidR="005A43BC" w:rsidRPr="005A43BC" w14:paraId="6BF6A149" w14:textId="77777777" w:rsidTr="004F5282">
        <w:tc>
          <w:tcPr>
            <w:tcW w:w="3438" w:type="dxa"/>
            <w:gridSpan w:val="4"/>
          </w:tcPr>
          <w:p w14:paraId="7C5DE6F4" w14:textId="77777777" w:rsidR="005A43BC" w:rsidRPr="005A43BC" w:rsidRDefault="005A43BC" w:rsidP="005A43BC">
            <w:pPr>
              <w:tabs>
                <w:tab w:val="right" w:pos="9180"/>
              </w:tabs>
              <w:ind w:right="-360"/>
              <w:rPr>
                <w:sz w:val="20"/>
                <w:szCs w:val="20"/>
              </w:rPr>
            </w:pPr>
            <w:r w:rsidRPr="005A43BC">
              <w:rPr>
                <w:sz w:val="20"/>
                <w:szCs w:val="20"/>
              </w:rPr>
              <w:t>Loss from operations</w:t>
            </w:r>
          </w:p>
        </w:tc>
        <w:tc>
          <w:tcPr>
            <w:tcW w:w="1152" w:type="dxa"/>
          </w:tcPr>
          <w:p w14:paraId="39722BA8" w14:textId="77777777" w:rsidR="005A43BC" w:rsidRPr="005A43BC" w:rsidRDefault="005A43BC" w:rsidP="005A43BC">
            <w:pPr>
              <w:tabs>
                <w:tab w:val="decimal" w:pos="1062"/>
                <w:tab w:val="right" w:pos="9180"/>
              </w:tabs>
              <w:ind w:right="-46"/>
              <w:rPr>
                <w:sz w:val="20"/>
                <w:szCs w:val="20"/>
              </w:rPr>
            </w:pPr>
          </w:p>
        </w:tc>
        <w:tc>
          <w:tcPr>
            <w:tcW w:w="1530" w:type="dxa"/>
          </w:tcPr>
          <w:p w14:paraId="6C01A02C" w14:textId="77777777" w:rsidR="005A43BC" w:rsidRPr="005A43BC" w:rsidRDefault="005A43BC" w:rsidP="005A43BC">
            <w:pPr>
              <w:tabs>
                <w:tab w:val="decimal" w:pos="1062"/>
                <w:tab w:val="right" w:pos="9180"/>
              </w:tabs>
              <w:ind w:right="-46"/>
              <w:rPr>
                <w:sz w:val="20"/>
                <w:szCs w:val="20"/>
              </w:rPr>
            </w:pPr>
            <w:r w:rsidRPr="005A43BC">
              <w:rPr>
                <w:sz w:val="20"/>
                <w:szCs w:val="20"/>
              </w:rPr>
              <w:tab/>
              <w:t>(2,428,042)</w:t>
            </w:r>
          </w:p>
        </w:tc>
        <w:tc>
          <w:tcPr>
            <w:tcW w:w="1638" w:type="dxa"/>
          </w:tcPr>
          <w:p w14:paraId="156AB784" w14:textId="77777777" w:rsidR="005A43BC" w:rsidRPr="005A43BC" w:rsidRDefault="005A43BC" w:rsidP="005A43BC">
            <w:pPr>
              <w:tabs>
                <w:tab w:val="decimal" w:pos="1044"/>
                <w:tab w:val="right" w:pos="9180"/>
              </w:tabs>
              <w:ind w:right="-18"/>
              <w:rPr>
                <w:sz w:val="20"/>
                <w:szCs w:val="20"/>
              </w:rPr>
            </w:pPr>
            <w:r w:rsidRPr="005A43BC">
              <w:rPr>
                <w:sz w:val="20"/>
                <w:szCs w:val="20"/>
              </w:rPr>
              <w:tab/>
              <w:t>(1,564,076)</w:t>
            </w:r>
          </w:p>
        </w:tc>
        <w:tc>
          <w:tcPr>
            <w:tcW w:w="1530" w:type="dxa"/>
          </w:tcPr>
          <w:p w14:paraId="3A0EFC6C" w14:textId="77777777" w:rsidR="005A43BC" w:rsidRPr="005A43BC" w:rsidRDefault="005A43BC" w:rsidP="005A43BC">
            <w:pPr>
              <w:tabs>
                <w:tab w:val="decimal" w:pos="1152"/>
                <w:tab w:val="right" w:pos="9180"/>
              </w:tabs>
              <w:ind w:right="-18"/>
              <w:rPr>
                <w:sz w:val="20"/>
                <w:szCs w:val="20"/>
              </w:rPr>
            </w:pPr>
            <w:r w:rsidRPr="005A43BC">
              <w:rPr>
                <w:sz w:val="20"/>
                <w:szCs w:val="20"/>
              </w:rPr>
              <w:tab/>
              <w:t>(863,966)</w:t>
            </w:r>
          </w:p>
        </w:tc>
      </w:tr>
      <w:tr w:rsidR="005A43BC" w:rsidRPr="005A43BC" w14:paraId="7D52D19B" w14:textId="77777777" w:rsidTr="004F5282">
        <w:tc>
          <w:tcPr>
            <w:tcW w:w="3438" w:type="dxa"/>
            <w:gridSpan w:val="4"/>
          </w:tcPr>
          <w:p w14:paraId="6F96567E" w14:textId="77777777" w:rsidR="005A43BC" w:rsidRPr="005A43BC" w:rsidRDefault="005A43BC" w:rsidP="005A43BC">
            <w:pPr>
              <w:tabs>
                <w:tab w:val="right" w:pos="9180"/>
              </w:tabs>
              <w:ind w:right="-360"/>
              <w:rPr>
                <w:sz w:val="20"/>
                <w:szCs w:val="20"/>
              </w:rPr>
            </w:pPr>
            <w:r w:rsidRPr="005A43BC">
              <w:rPr>
                <w:sz w:val="20"/>
                <w:szCs w:val="20"/>
              </w:rPr>
              <w:t>Total other income (expense)</w:t>
            </w:r>
          </w:p>
        </w:tc>
        <w:tc>
          <w:tcPr>
            <w:tcW w:w="1152" w:type="dxa"/>
          </w:tcPr>
          <w:p w14:paraId="75810C0B" w14:textId="77777777" w:rsidR="005A43BC" w:rsidRPr="005A43BC" w:rsidRDefault="005A43BC" w:rsidP="005A43BC">
            <w:pPr>
              <w:tabs>
                <w:tab w:val="decimal" w:pos="1062"/>
                <w:tab w:val="right" w:pos="9180"/>
              </w:tabs>
              <w:ind w:right="-46"/>
              <w:rPr>
                <w:sz w:val="20"/>
                <w:szCs w:val="20"/>
              </w:rPr>
            </w:pPr>
          </w:p>
        </w:tc>
        <w:tc>
          <w:tcPr>
            <w:tcW w:w="1530" w:type="dxa"/>
            <w:tcBorders>
              <w:bottom w:val="single" w:sz="4" w:space="0" w:color="auto"/>
            </w:tcBorders>
          </w:tcPr>
          <w:p w14:paraId="72B7EDF7" w14:textId="77777777" w:rsidR="005A43BC" w:rsidRPr="005A43BC" w:rsidRDefault="005A43BC" w:rsidP="005A43BC">
            <w:pPr>
              <w:tabs>
                <w:tab w:val="decimal" w:pos="1062"/>
                <w:tab w:val="right" w:pos="9180"/>
              </w:tabs>
              <w:ind w:right="-46"/>
              <w:rPr>
                <w:sz w:val="20"/>
                <w:szCs w:val="20"/>
              </w:rPr>
            </w:pPr>
            <w:r w:rsidRPr="005A43BC">
              <w:rPr>
                <w:sz w:val="20"/>
                <w:szCs w:val="20"/>
              </w:rPr>
              <w:tab/>
              <w:t>527</w:t>
            </w:r>
          </w:p>
        </w:tc>
        <w:tc>
          <w:tcPr>
            <w:tcW w:w="1638" w:type="dxa"/>
            <w:tcBorders>
              <w:bottom w:val="single" w:sz="4" w:space="0" w:color="auto"/>
            </w:tcBorders>
          </w:tcPr>
          <w:p w14:paraId="15311332" w14:textId="77777777" w:rsidR="005A43BC" w:rsidRPr="005A43BC" w:rsidRDefault="005A43BC" w:rsidP="005A43BC">
            <w:pPr>
              <w:tabs>
                <w:tab w:val="decimal" w:pos="1062"/>
                <w:tab w:val="right" w:pos="9180"/>
              </w:tabs>
              <w:ind w:right="-18"/>
              <w:rPr>
                <w:sz w:val="20"/>
                <w:szCs w:val="20"/>
              </w:rPr>
            </w:pPr>
            <w:r w:rsidRPr="005A43BC">
              <w:rPr>
                <w:sz w:val="20"/>
                <w:szCs w:val="20"/>
              </w:rPr>
              <w:tab/>
              <w:t>1,298</w:t>
            </w:r>
          </w:p>
        </w:tc>
        <w:tc>
          <w:tcPr>
            <w:tcW w:w="1530" w:type="dxa"/>
            <w:tcBorders>
              <w:bottom w:val="single" w:sz="4" w:space="0" w:color="auto"/>
            </w:tcBorders>
          </w:tcPr>
          <w:p w14:paraId="16BA1F63" w14:textId="77777777" w:rsidR="005A43BC" w:rsidRPr="005A43BC" w:rsidRDefault="005A43BC" w:rsidP="005A43BC">
            <w:pPr>
              <w:tabs>
                <w:tab w:val="decimal" w:pos="1152"/>
                <w:tab w:val="right" w:pos="9180"/>
              </w:tabs>
              <w:ind w:right="-18"/>
              <w:rPr>
                <w:sz w:val="20"/>
                <w:szCs w:val="20"/>
              </w:rPr>
            </w:pPr>
            <w:r w:rsidRPr="005A43BC">
              <w:rPr>
                <w:sz w:val="20"/>
                <w:szCs w:val="20"/>
              </w:rPr>
              <w:tab/>
              <w:t>(771)</w:t>
            </w:r>
          </w:p>
        </w:tc>
      </w:tr>
      <w:tr w:rsidR="005A43BC" w:rsidRPr="005A43BC" w14:paraId="283EC183" w14:textId="77777777" w:rsidTr="004F5282">
        <w:tc>
          <w:tcPr>
            <w:tcW w:w="3438" w:type="dxa"/>
            <w:gridSpan w:val="4"/>
          </w:tcPr>
          <w:p w14:paraId="6D4033CC" w14:textId="77777777" w:rsidR="005A43BC" w:rsidRPr="005A43BC" w:rsidRDefault="005A43BC" w:rsidP="005A43BC">
            <w:pPr>
              <w:tabs>
                <w:tab w:val="right" w:pos="9180"/>
              </w:tabs>
              <w:ind w:right="-360"/>
              <w:rPr>
                <w:sz w:val="20"/>
                <w:szCs w:val="20"/>
              </w:rPr>
            </w:pPr>
            <w:r w:rsidRPr="005A43BC">
              <w:rPr>
                <w:sz w:val="20"/>
                <w:szCs w:val="20"/>
              </w:rPr>
              <w:t>Net loss</w:t>
            </w:r>
          </w:p>
        </w:tc>
        <w:tc>
          <w:tcPr>
            <w:tcW w:w="1152" w:type="dxa"/>
          </w:tcPr>
          <w:p w14:paraId="53100920" w14:textId="77777777" w:rsidR="005A43BC" w:rsidRPr="005A43BC" w:rsidRDefault="005A43BC" w:rsidP="005A43BC">
            <w:pPr>
              <w:tabs>
                <w:tab w:val="decimal" w:pos="1062"/>
                <w:tab w:val="right" w:pos="9180"/>
              </w:tabs>
              <w:ind w:right="-46"/>
              <w:rPr>
                <w:sz w:val="20"/>
                <w:szCs w:val="20"/>
              </w:rPr>
            </w:pPr>
          </w:p>
        </w:tc>
        <w:tc>
          <w:tcPr>
            <w:tcW w:w="1530" w:type="dxa"/>
            <w:tcBorders>
              <w:bottom w:val="double" w:sz="4" w:space="0" w:color="auto"/>
            </w:tcBorders>
          </w:tcPr>
          <w:p w14:paraId="293AFFBF" w14:textId="77777777" w:rsidR="005A43BC" w:rsidRPr="005A43BC" w:rsidRDefault="005A43BC" w:rsidP="005A43BC">
            <w:pPr>
              <w:tabs>
                <w:tab w:val="decimal" w:pos="1062"/>
                <w:tab w:val="right" w:pos="9180"/>
              </w:tabs>
              <w:ind w:right="-46"/>
              <w:rPr>
                <w:sz w:val="20"/>
                <w:szCs w:val="20"/>
              </w:rPr>
            </w:pPr>
            <w:r w:rsidRPr="005A43BC">
              <w:rPr>
                <w:sz w:val="20"/>
                <w:szCs w:val="20"/>
              </w:rPr>
              <w:t>$</w:t>
            </w:r>
            <w:r w:rsidRPr="005A43BC">
              <w:rPr>
                <w:sz w:val="20"/>
                <w:szCs w:val="20"/>
              </w:rPr>
              <w:tab/>
              <w:t>(2,427,515)</w:t>
            </w:r>
          </w:p>
        </w:tc>
        <w:tc>
          <w:tcPr>
            <w:tcW w:w="1638" w:type="dxa"/>
            <w:tcBorders>
              <w:top w:val="single" w:sz="4" w:space="0" w:color="auto"/>
              <w:bottom w:val="double" w:sz="4" w:space="0" w:color="auto"/>
            </w:tcBorders>
          </w:tcPr>
          <w:p w14:paraId="5772042C" w14:textId="77777777" w:rsidR="005A43BC" w:rsidRPr="005A43BC" w:rsidRDefault="005A43BC" w:rsidP="005A43BC">
            <w:pPr>
              <w:tabs>
                <w:tab w:val="decimal" w:pos="1044"/>
                <w:tab w:val="right" w:pos="9180"/>
              </w:tabs>
              <w:ind w:right="-18"/>
              <w:rPr>
                <w:sz w:val="20"/>
                <w:szCs w:val="20"/>
              </w:rPr>
            </w:pPr>
            <w:r w:rsidRPr="005A43BC">
              <w:rPr>
                <w:sz w:val="20"/>
                <w:szCs w:val="20"/>
              </w:rPr>
              <w:t>$</w:t>
            </w:r>
            <w:r w:rsidRPr="005A43BC">
              <w:rPr>
                <w:sz w:val="20"/>
                <w:szCs w:val="20"/>
              </w:rPr>
              <w:tab/>
              <w:t>(1,562,778)</w:t>
            </w:r>
          </w:p>
        </w:tc>
        <w:tc>
          <w:tcPr>
            <w:tcW w:w="1530" w:type="dxa"/>
            <w:tcBorders>
              <w:top w:val="single" w:sz="4" w:space="0" w:color="auto"/>
              <w:bottom w:val="double" w:sz="4" w:space="0" w:color="auto"/>
            </w:tcBorders>
          </w:tcPr>
          <w:p w14:paraId="4C16F841" w14:textId="77777777" w:rsidR="005A43BC" w:rsidRPr="005A43BC" w:rsidRDefault="005A43BC" w:rsidP="005A43BC">
            <w:pPr>
              <w:tabs>
                <w:tab w:val="decimal" w:pos="1152"/>
                <w:tab w:val="right" w:pos="9180"/>
              </w:tabs>
              <w:ind w:right="-18"/>
              <w:rPr>
                <w:sz w:val="20"/>
                <w:szCs w:val="20"/>
              </w:rPr>
            </w:pPr>
            <w:r w:rsidRPr="005A43BC">
              <w:rPr>
                <w:sz w:val="20"/>
                <w:szCs w:val="20"/>
              </w:rPr>
              <w:t>$</w:t>
            </w:r>
            <w:r w:rsidRPr="005A43BC">
              <w:rPr>
                <w:sz w:val="20"/>
                <w:szCs w:val="20"/>
              </w:rPr>
              <w:tab/>
              <w:t>(864,737)</w:t>
            </w:r>
          </w:p>
        </w:tc>
      </w:tr>
    </w:tbl>
    <w:p w14:paraId="635D9186" w14:textId="162D5B9E" w:rsidR="008F3E8B" w:rsidRPr="00212B8B" w:rsidRDefault="008F3E8B" w:rsidP="005A43BC">
      <w:pPr>
        <w:rPr>
          <w:sz w:val="20"/>
          <w:szCs w:val="20"/>
        </w:rPr>
      </w:pPr>
    </w:p>
    <w:p w14:paraId="17A4BA3E" w14:textId="77777777" w:rsidR="008F3E8B" w:rsidRPr="00212B8B" w:rsidRDefault="008F3E8B" w:rsidP="003E5A31">
      <w:pPr>
        <w:ind w:left="144"/>
        <w:rPr>
          <w:sz w:val="20"/>
          <w:szCs w:val="20"/>
        </w:rPr>
      </w:pPr>
      <w:r w:rsidRPr="00212B8B">
        <w:rPr>
          <w:i/>
          <w:iCs/>
          <w:sz w:val="20"/>
          <w:szCs w:val="20"/>
        </w:rPr>
        <w:t>Grant and Collaboration Revenues</w:t>
      </w:r>
    </w:p>
    <w:p w14:paraId="258999F7" w14:textId="77777777" w:rsidR="008F3E8B" w:rsidRPr="00212B8B" w:rsidRDefault="008F3E8B" w:rsidP="003E5A31">
      <w:pPr>
        <w:ind w:left="144"/>
        <w:rPr>
          <w:sz w:val="20"/>
          <w:szCs w:val="20"/>
        </w:rPr>
      </w:pPr>
      <w:r w:rsidRPr="00212B8B">
        <w:rPr>
          <w:sz w:val="20"/>
          <w:szCs w:val="20"/>
        </w:rPr>
        <w:t> </w:t>
      </w:r>
    </w:p>
    <w:p w14:paraId="2AE47079" w14:textId="03E69E04" w:rsidR="008F3E8B" w:rsidRPr="00212B8B" w:rsidRDefault="00F033D2" w:rsidP="004F0831">
      <w:pPr>
        <w:ind w:firstLine="720"/>
        <w:rPr>
          <w:sz w:val="20"/>
          <w:szCs w:val="20"/>
        </w:rPr>
      </w:pPr>
      <w:r w:rsidRPr="00F033D2">
        <w:rPr>
          <w:sz w:val="20"/>
          <w:szCs w:val="20"/>
        </w:rPr>
        <w:t>Our grant</w:t>
      </w:r>
      <w:r w:rsidR="007E0C39">
        <w:rPr>
          <w:sz w:val="20"/>
          <w:szCs w:val="20"/>
        </w:rPr>
        <w:t xml:space="preserve"> and collaboration</w:t>
      </w:r>
      <w:r w:rsidRPr="00F033D2">
        <w:rPr>
          <w:sz w:val="20"/>
          <w:szCs w:val="20"/>
        </w:rPr>
        <w:t xml:space="preserve"> revenues relate to grants and contracts from agencies of the U.S. government</w:t>
      </w:r>
      <w:r w:rsidR="007E0C39">
        <w:rPr>
          <w:sz w:val="20"/>
          <w:szCs w:val="20"/>
        </w:rPr>
        <w:t xml:space="preserve"> and collaborative arrangements with other third parties</w:t>
      </w:r>
      <w:r w:rsidRPr="00F033D2">
        <w:rPr>
          <w:sz w:val="20"/>
          <w:szCs w:val="20"/>
        </w:rPr>
        <w:t xml:space="preserve"> in support of our vaccine development activities. Detail concerning our grant and collaboration revenues during the years ended December 31, 202</w:t>
      </w:r>
      <w:r w:rsidR="007E0C39">
        <w:rPr>
          <w:sz w:val="20"/>
          <w:szCs w:val="20"/>
        </w:rPr>
        <w:t>1</w:t>
      </w:r>
      <w:r w:rsidRPr="00F033D2">
        <w:rPr>
          <w:sz w:val="20"/>
          <w:szCs w:val="20"/>
        </w:rPr>
        <w:t xml:space="preserve"> and 20</w:t>
      </w:r>
      <w:r w:rsidR="007E0C39">
        <w:rPr>
          <w:sz w:val="20"/>
          <w:szCs w:val="20"/>
        </w:rPr>
        <w:t>20</w:t>
      </w:r>
      <w:r w:rsidRPr="00F033D2">
        <w:rPr>
          <w:sz w:val="20"/>
          <w:szCs w:val="20"/>
        </w:rPr>
        <w:t xml:space="preserve">, the </w:t>
      </w:r>
      <w:r w:rsidR="007E0C39">
        <w:rPr>
          <w:sz w:val="20"/>
          <w:szCs w:val="20"/>
        </w:rPr>
        <w:t>three</w:t>
      </w:r>
      <w:r w:rsidRPr="00F033D2">
        <w:rPr>
          <w:sz w:val="20"/>
          <w:szCs w:val="20"/>
        </w:rPr>
        <w:t xml:space="preserve">-month periods ended </w:t>
      </w:r>
      <w:r w:rsidR="007E0C39">
        <w:rPr>
          <w:sz w:val="20"/>
          <w:szCs w:val="20"/>
        </w:rPr>
        <w:t>March</w:t>
      </w:r>
      <w:r w:rsidRPr="00F033D2">
        <w:rPr>
          <w:sz w:val="20"/>
          <w:szCs w:val="20"/>
        </w:rPr>
        <w:t xml:space="preserve"> 3</w:t>
      </w:r>
      <w:r w:rsidR="007E0C39">
        <w:rPr>
          <w:sz w:val="20"/>
          <w:szCs w:val="20"/>
        </w:rPr>
        <w:t>1</w:t>
      </w:r>
      <w:r w:rsidRPr="00F033D2">
        <w:rPr>
          <w:sz w:val="20"/>
          <w:szCs w:val="20"/>
        </w:rPr>
        <w:t>, 202</w:t>
      </w:r>
      <w:r w:rsidR="007E0C39">
        <w:rPr>
          <w:sz w:val="20"/>
          <w:szCs w:val="20"/>
        </w:rPr>
        <w:t>2</w:t>
      </w:r>
      <w:r w:rsidRPr="00F033D2">
        <w:rPr>
          <w:sz w:val="20"/>
          <w:szCs w:val="20"/>
        </w:rPr>
        <w:t xml:space="preserve"> and 202</w:t>
      </w:r>
      <w:r w:rsidR="007E0C39">
        <w:rPr>
          <w:sz w:val="20"/>
          <w:szCs w:val="20"/>
        </w:rPr>
        <w:t>1</w:t>
      </w:r>
      <w:r w:rsidRPr="00F033D2">
        <w:rPr>
          <w:sz w:val="20"/>
          <w:szCs w:val="20"/>
        </w:rPr>
        <w:t xml:space="preserve">, </w:t>
      </w:r>
      <w:r w:rsidR="00904CE1">
        <w:rPr>
          <w:sz w:val="20"/>
          <w:szCs w:val="20"/>
        </w:rPr>
        <w:t>are</w:t>
      </w:r>
      <w:r w:rsidRPr="00F033D2">
        <w:rPr>
          <w:sz w:val="20"/>
          <w:szCs w:val="20"/>
        </w:rPr>
        <w:t xml:space="preserve"> presented in the table</w:t>
      </w:r>
      <w:r w:rsidR="00904CE1">
        <w:rPr>
          <w:sz w:val="20"/>
          <w:szCs w:val="20"/>
        </w:rPr>
        <w:t>s</w:t>
      </w:r>
      <w:r w:rsidRPr="00F033D2">
        <w:rPr>
          <w:sz w:val="20"/>
          <w:szCs w:val="20"/>
        </w:rPr>
        <w:t xml:space="preserve"> below.</w:t>
      </w:r>
      <w:r>
        <w:rPr>
          <w:sz w:val="20"/>
          <w:szCs w:val="20"/>
        </w:rPr>
        <w:t xml:space="preserve"> </w:t>
      </w:r>
    </w:p>
    <w:p w14:paraId="1218405B" w14:textId="4148C3CA" w:rsidR="00537F59" w:rsidRPr="00537F59" w:rsidRDefault="008F3E8B" w:rsidP="00904CE1">
      <w:pPr>
        <w:ind w:left="144"/>
        <w:rPr>
          <w:sz w:val="20"/>
          <w:szCs w:val="20"/>
        </w:rPr>
      </w:pPr>
      <w:r w:rsidRPr="00212B8B">
        <w:rPr>
          <w:sz w:val="20"/>
          <w:szCs w:val="20"/>
        </w:rPr>
        <w:t> </w:t>
      </w:r>
    </w:p>
    <w:tbl>
      <w:tblPr>
        <w:tblW w:w="9288" w:type="dxa"/>
        <w:tblLayout w:type="fixed"/>
        <w:tblLook w:val="01E0" w:firstRow="1" w:lastRow="1" w:firstColumn="1" w:lastColumn="1" w:noHBand="0" w:noVBand="0"/>
      </w:tblPr>
      <w:tblGrid>
        <w:gridCol w:w="378"/>
        <w:gridCol w:w="450"/>
        <w:gridCol w:w="450"/>
        <w:gridCol w:w="2160"/>
        <w:gridCol w:w="1152"/>
        <w:gridCol w:w="1530"/>
        <w:gridCol w:w="1638"/>
        <w:gridCol w:w="1530"/>
      </w:tblGrid>
      <w:tr w:rsidR="00537F59" w:rsidRPr="00537F59" w14:paraId="18F50678" w14:textId="77777777" w:rsidTr="00904CE1">
        <w:tc>
          <w:tcPr>
            <w:tcW w:w="378" w:type="dxa"/>
          </w:tcPr>
          <w:p w14:paraId="4769A359" w14:textId="77777777" w:rsidR="00537F59" w:rsidRPr="00537F59" w:rsidRDefault="00537F59" w:rsidP="00537F59">
            <w:pPr>
              <w:ind w:right="-360"/>
              <w:rPr>
                <w:rFonts w:ascii="CG Times (WN)" w:hAnsi="CG Times (WN)"/>
                <w:sz w:val="20"/>
                <w:szCs w:val="20"/>
              </w:rPr>
            </w:pPr>
          </w:p>
        </w:tc>
        <w:tc>
          <w:tcPr>
            <w:tcW w:w="450" w:type="dxa"/>
          </w:tcPr>
          <w:p w14:paraId="3AAC6154" w14:textId="77777777" w:rsidR="00537F59" w:rsidRPr="00537F59" w:rsidRDefault="00537F59" w:rsidP="00537F59">
            <w:pPr>
              <w:ind w:right="-360"/>
              <w:rPr>
                <w:rFonts w:ascii="CG Times (WN)" w:hAnsi="CG Times (WN)"/>
                <w:sz w:val="20"/>
                <w:szCs w:val="20"/>
              </w:rPr>
            </w:pPr>
          </w:p>
        </w:tc>
        <w:tc>
          <w:tcPr>
            <w:tcW w:w="450" w:type="dxa"/>
          </w:tcPr>
          <w:p w14:paraId="021E9EBF" w14:textId="77777777" w:rsidR="00537F59" w:rsidRPr="00537F59" w:rsidRDefault="00537F59" w:rsidP="00537F59">
            <w:pPr>
              <w:ind w:right="-360"/>
              <w:rPr>
                <w:rFonts w:ascii="CG Times (WN)" w:hAnsi="CG Times (WN)"/>
                <w:sz w:val="20"/>
                <w:szCs w:val="20"/>
              </w:rPr>
            </w:pPr>
          </w:p>
        </w:tc>
        <w:tc>
          <w:tcPr>
            <w:tcW w:w="2160" w:type="dxa"/>
          </w:tcPr>
          <w:p w14:paraId="6BBCC6F2" w14:textId="77777777" w:rsidR="00537F59" w:rsidRPr="00537F59" w:rsidRDefault="00537F59" w:rsidP="00537F59">
            <w:pPr>
              <w:tabs>
                <w:tab w:val="right" w:pos="9180"/>
              </w:tabs>
              <w:ind w:right="-360"/>
              <w:rPr>
                <w:rFonts w:ascii="CG Times (WN)" w:hAnsi="CG Times (WN)"/>
                <w:sz w:val="20"/>
                <w:szCs w:val="20"/>
              </w:rPr>
            </w:pPr>
          </w:p>
        </w:tc>
        <w:tc>
          <w:tcPr>
            <w:tcW w:w="1152" w:type="dxa"/>
          </w:tcPr>
          <w:p w14:paraId="44292FA5" w14:textId="77777777" w:rsidR="00537F59" w:rsidRPr="00537F59" w:rsidRDefault="00537F59" w:rsidP="00537F59">
            <w:pPr>
              <w:tabs>
                <w:tab w:val="right" w:pos="9180"/>
              </w:tabs>
              <w:ind w:right="-46"/>
              <w:jc w:val="center"/>
              <w:rPr>
                <w:rFonts w:ascii="CG Times (WN)" w:hAnsi="CG Times (WN)"/>
                <w:sz w:val="20"/>
                <w:szCs w:val="20"/>
              </w:rPr>
            </w:pPr>
          </w:p>
        </w:tc>
        <w:tc>
          <w:tcPr>
            <w:tcW w:w="3168" w:type="dxa"/>
            <w:gridSpan w:val="2"/>
            <w:tcBorders>
              <w:bottom w:val="single" w:sz="4" w:space="0" w:color="auto"/>
            </w:tcBorders>
          </w:tcPr>
          <w:p w14:paraId="0AF0BE35" w14:textId="770107B1" w:rsidR="00537F59" w:rsidRPr="00537F59" w:rsidRDefault="00904CE1" w:rsidP="00537F59">
            <w:pPr>
              <w:tabs>
                <w:tab w:val="right" w:pos="9180"/>
              </w:tabs>
              <w:ind w:right="-18"/>
              <w:jc w:val="center"/>
              <w:rPr>
                <w:rFonts w:ascii="CG Times (WN)" w:hAnsi="CG Times (WN)"/>
                <w:sz w:val="20"/>
                <w:szCs w:val="20"/>
              </w:rPr>
            </w:pPr>
            <w:r>
              <w:rPr>
                <w:rFonts w:ascii="CG Times (WN)" w:hAnsi="CG Times (WN)"/>
                <w:sz w:val="20"/>
                <w:szCs w:val="20"/>
              </w:rPr>
              <w:t>Year Ended December 31,</w:t>
            </w:r>
          </w:p>
        </w:tc>
        <w:tc>
          <w:tcPr>
            <w:tcW w:w="1530" w:type="dxa"/>
          </w:tcPr>
          <w:p w14:paraId="50BDB5D1" w14:textId="7D911878" w:rsidR="00537F59" w:rsidRPr="00537F59" w:rsidRDefault="00537F59" w:rsidP="00537F59">
            <w:pPr>
              <w:tabs>
                <w:tab w:val="right" w:pos="9180"/>
              </w:tabs>
              <w:ind w:right="-18"/>
              <w:jc w:val="center"/>
              <w:rPr>
                <w:rFonts w:ascii="CG Times (WN)" w:hAnsi="CG Times (WN)"/>
                <w:sz w:val="20"/>
                <w:szCs w:val="20"/>
              </w:rPr>
            </w:pPr>
          </w:p>
        </w:tc>
      </w:tr>
      <w:tr w:rsidR="00537F59" w:rsidRPr="00537F59" w14:paraId="1A56C80F" w14:textId="77777777" w:rsidTr="00904CE1">
        <w:tc>
          <w:tcPr>
            <w:tcW w:w="378" w:type="dxa"/>
          </w:tcPr>
          <w:p w14:paraId="53BA8F3E" w14:textId="77777777" w:rsidR="00537F59" w:rsidRPr="00537F59" w:rsidRDefault="00537F59" w:rsidP="004F5282">
            <w:pPr>
              <w:ind w:right="-360"/>
              <w:rPr>
                <w:rFonts w:ascii="CG Times (WN)" w:hAnsi="CG Times (WN)"/>
                <w:sz w:val="20"/>
                <w:szCs w:val="20"/>
              </w:rPr>
            </w:pPr>
          </w:p>
        </w:tc>
        <w:tc>
          <w:tcPr>
            <w:tcW w:w="450" w:type="dxa"/>
          </w:tcPr>
          <w:p w14:paraId="37162C91" w14:textId="77777777" w:rsidR="00537F59" w:rsidRPr="00537F59" w:rsidRDefault="00537F59" w:rsidP="004F5282">
            <w:pPr>
              <w:ind w:right="-360"/>
              <w:rPr>
                <w:rFonts w:ascii="CG Times (WN)" w:hAnsi="CG Times (WN)"/>
                <w:sz w:val="20"/>
                <w:szCs w:val="20"/>
              </w:rPr>
            </w:pPr>
          </w:p>
        </w:tc>
        <w:tc>
          <w:tcPr>
            <w:tcW w:w="450" w:type="dxa"/>
          </w:tcPr>
          <w:p w14:paraId="68B897DB" w14:textId="77777777" w:rsidR="00537F59" w:rsidRPr="00537F59" w:rsidRDefault="00537F59" w:rsidP="004F5282">
            <w:pPr>
              <w:ind w:right="-360"/>
              <w:rPr>
                <w:rFonts w:ascii="CG Times (WN)" w:hAnsi="CG Times (WN)"/>
                <w:sz w:val="20"/>
                <w:szCs w:val="20"/>
              </w:rPr>
            </w:pPr>
          </w:p>
        </w:tc>
        <w:tc>
          <w:tcPr>
            <w:tcW w:w="2160" w:type="dxa"/>
          </w:tcPr>
          <w:p w14:paraId="0CA69CF4" w14:textId="77777777" w:rsidR="00537F59" w:rsidRPr="00537F59" w:rsidRDefault="00537F59" w:rsidP="004F5282">
            <w:pPr>
              <w:tabs>
                <w:tab w:val="right" w:pos="9180"/>
              </w:tabs>
              <w:ind w:right="-360"/>
              <w:rPr>
                <w:rFonts w:ascii="CG Times (WN)" w:hAnsi="CG Times (WN)"/>
                <w:sz w:val="20"/>
                <w:szCs w:val="20"/>
              </w:rPr>
            </w:pPr>
          </w:p>
        </w:tc>
        <w:tc>
          <w:tcPr>
            <w:tcW w:w="1152" w:type="dxa"/>
          </w:tcPr>
          <w:p w14:paraId="6EE001CC" w14:textId="77777777" w:rsidR="00537F59" w:rsidRPr="00537F59" w:rsidRDefault="00537F59" w:rsidP="004F5282">
            <w:pPr>
              <w:tabs>
                <w:tab w:val="right" w:pos="9180"/>
              </w:tabs>
              <w:ind w:right="-46"/>
              <w:jc w:val="center"/>
              <w:rPr>
                <w:rFonts w:ascii="CG Times (WN)" w:hAnsi="CG Times (WN)"/>
                <w:sz w:val="20"/>
                <w:szCs w:val="20"/>
              </w:rPr>
            </w:pPr>
          </w:p>
        </w:tc>
        <w:tc>
          <w:tcPr>
            <w:tcW w:w="1530" w:type="dxa"/>
            <w:tcBorders>
              <w:bottom w:val="single" w:sz="4" w:space="0" w:color="auto"/>
            </w:tcBorders>
          </w:tcPr>
          <w:p w14:paraId="22B1E20D" w14:textId="77777777" w:rsidR="00537F59" w:rsidRPr="00537F59" w:rsidRDefault="00537F59" w:rsidP="004F5282">
            <w:pPr>
              <w:tabs>
                <w:tab w:val="right" w:pos="9180"/>
              </w:tabs>
              <w:ind w:right="-46"/>
              <w:jc w:val="center"/>
              <w:rPr>
                <w:rFonts w:ascii="CG Times (WN)" w:hAnsi="CG Times (WN)"/>
                <w:sz w:val="20"/>
                <w:szCs w:val="20"/>
              </w:rPr>
            </w:pPr>
            <w:r w:rsidRPr="00537F59">
              <w:rPr>
                <w:rFonts w:ascii="CG Times (WN)" w:hAnsi="CG Times (WN)"/>
                <w:sz w:val="20"/>
                <w:szCs w:val="20"/>
              </w:rPr>
              <w:t>2021</w:t>
            </w:r>
          </w:p>
        </w:tc>
        <w:tc>
          <w:tcPr>
            <w:tcW w:w="1638" w:type="dxa"/>
            <w:tcBorders>
              <w:bottom w:val="single" w:sz="4" w:space="0" w:color="auto"/>
            </w:tcBorders>
          </w:tcPr>
          <w:p w14:paraId="1D39D8C7" w14:textId="77777777" w:rsidR="00537F59" w:rsidRPr="00537F59" w:rsidRDefault="00537F59" w:rsidP="004F5282">
            <w:pPr>
              <w:tabs>
                <w:tab w:val="right" w:pos="9180"/>
              </w:tabs>
              <w:ind w:right="-18"/>
              <w:jc w:val="center"/>
              <w:rPr>
                <w:rFonts w:ascii="CG Times (WN)" w:hAnsi="CG Times (WN)"/>
                <w:sz w:val="20"/>
                <w:szCs w:val="20"/>
              </w:rPr>
            </w:pPr>
            <w:r w:rsidRPr="00537F59">
              <w:rPr>
                <w:rFonts w:ascii="CG Times (WN)" w:hAnsi="CG Times (WN)"/>
                <w:sz w:val="20"/>
                <w:szCs w:val="20"/>
              </w:rPr>
              <w:t>2020</w:t>
            </w:r>
          </w:p>
        </w:tc>
        <w:tc>
          <w:tcPr>
            <w:tcW w:w="1530" w:type="dxa"/>
            <w:tcBorders>
              <w:bottom w:val="single" w:sz="4" w:space="0" w:color="auto"/>
            </w:tcBorders>
          </w:tcPr>
          <w:p w14:paraId="4F3E0BC8" w14:textId="77777777" w:rsidR="00537F59" w:rsidRPr="00537F59" w:rsidRDefault="00537F59" w:rsidP="004F5282">
            <w:pPr>
              <w:tabs>
                <w:tab w:val="right" w:pos="9180"/>
              </w:tabs>
              <w:ind w:right="-18"/>
              <w:jc w:val="center"/>
              <w:rPr>
                <w:rFonts w:ascii="CG Times (WN)" w:hAnsi="CG Times (WN)"/>
                <w:sz w:val="20"/>
                <w:szCs w:val="20"/>
              </w:rPr>
            </w:pPr>
            <w:r w:rsidRPr="00537F59">
              <w:rPr>
                <w:rFonts w:ascii="CG Times (WN)" w:hAnsi="CG Times (WN)"/>
                <w:sz w:val="20"/>
                <w:szCs w:val="20"/>
              </w:rPr>
              <w:t>Change</w:t>
            </w:r>
          </w:p>
        </w:tc>
      </w:tr>
      <w:tr w:rsidR="00537F59" w:rsidRPr="00537F59" w14:paraId="25082621" w14:textId="77777777" w:rsidTr="004F5282">
        <w:tc>
          <w:tcPr>
            <w:tcW w:w="3438" w:type="dxa"/>
            <w:gridSpan w:val="4"/>
          </w:tcPr>
          <w:p w14:paraId="0B05E085" w14:textId="77777777" w:rsidR="00537F59" w:rsidRPr="00537F59" w:rsidRDefault="00537F59" w:rsidP="00537F59">
            <w:pPr>
              <w:tabs>
                <w:tab w:val="right" w:pos="9180"/>
              </w:tabs>
              <w:ind w:right="-360"/>
              <w:rPr>
                <w:rFonts w:ascii="CG Times (WN)" w:hAnsi="CG Times (WN)"/>
                <w:sz w:val="20"/>
                <w:szCs w:val="20"/>
              </w:rPr>
            </w:pPr>
            <w:r w:rsidRPr="00537F59">
              <w:rPr>
                <w:rFonts w:ascii="CG Times (WN)" w:hAnsi="CG Times (WN)"/>
                <w:sz w:val="20"/>
                <w:szCs w:val="20"/>
              </w:rPr>
              <w:t>Lassa Fever – U.S. Army Grant</w:t>
            </w:r>
          </w:p>
        </w:tc>
        <w:tc>
          <w:tcPr>
            <w:tcW w:w="1152" w:type="dxa"/>
          </w:tcPr>
          <w:p w14:paraId="7B830742" w14:textId="77777777" w:rsidR="00537F59" w:rsidRPr="00537F59" w:rsidRDefault="00537F59" w:rsidP="00537F59">
            <w:pPr>
              <w:tabs>
                <w:tab w:val="decimal" w:pos="1062"/>
                <w:tab w:val="right" w:pos="9180"/>
              </w:tabs>
              <w:ind w:right="-46"/>
              <w:rPr>
                <w:rFonts w:ascii="CG Times (WN)" w:hAnsi="CG Times (WN)"/>
                <w:sz w:val="20"/>
                <w:szCs w:val="20"/>
              </w:rPr>
            </w:pPr>
          </w:p>
        </w:tc>
        <w:tc>
          <w:tcPr>
            <w:tcW w:w="1530" w:type="dxa"/>
            <w:tcBorders>
              <w:top w:val="single" w:sz="4" w:space="0" w:color="auto"/>
            </w:tcBorders>
          </w:tcPr>
          <w:p w14:paraId="6CBA70FA" w14:textId="77777777" w:rsidR="00537F59" w:rsidRPr="00537F59" w:rsidRDefault="00537F59" w:rsidP="00537F59">
            <w:pPr>
              <w:tabs>
                <w:tab w:val="decimal" w:pos="1062"/>
                <w:tab w:val="right" w:pos="9180"/>
              </w:tabs>
              <w:ind w:right="-46"/>
              <w:rPr>
                <w:rFonts w:ascii="CG Times (WN)" w:hAnsi="CG Times (WN)"/>
                <w:sz w:val="20"/>
                <w:szCs w:val="20"/>
              </w:rPr>
            </w:pPr>
            <w:r w:rsidRPr="00537F59">
              <w:rPr>
                <w:rFonts w:ascii="CG Times (WN)" w:hAnsi="CG Times (WN)"/>
                <w:sz w:val="20"/>
                <w:szCs w:val="20"/>
              </w:rPr>
              <w:t>$</w:t>
            </w:r>
            <w:r w:rsidRPr="00537F59">
              <w:rPr>
                <w:rFonts w:ascii="CG Times (WN)" w:hAnsi="CG Times (WN)"/>
                <w:sz w:val="20"/>
                <w:szCs w:val="20"/>
              </w:rPr>
              <w:tab/>
              <w:t>85,574</w:t>
            </w:r>
          </w:p>
        </w:tc>
        <w:tc>
          <w:tcPr>
            <w:tcW w:w="1638" w:type="dxa"/>
          </w:tcPr>
          <w:p w14:paraId="478D065B" w14:textId="77777777" w:rsidR="00537F59" w:rsidRPr="00537F59" w:rsidRDefault="00537F59" w:rsidP="00537F59">
            <w:pPr>
              <w:tabs>
                <w:tab w:val="decimal" w:pos="1062"/>
                <w:tab w:val="right" w:pos="9180"/>
              </w:tabs>
              <w:ind w:right="-18"/>
              <w:rPr>
                <w:rFonts w:ascii="CG Times (WN)" w:hAnsi="CG Times (WN)"/>
                <w:sz w:val="20"/>
                <w:szCs w:val="20"/>
              </w:rPr>
            </w:pPr>
            <w:r w:rsidRPr="00537F59">
              <w:rPr>
                <w:rFonts w:ascii="CG Times (WN)" w:hAnsi="CG Times (WN)"/>
                <w:sz w:val="20"/>
                <w:szCs w:val="20"/>
              </w:rPr>
              <w:t>$</w:t>
            </w:r>
            <w:r w:rsidRPr="00537F59">
              <w:rPr>
                <w:rFonts w:ascii="CG Times (WN)" w:hAnsi="CG Times (WN)"/>
                <w:sz w:val="20"/>
                <w:szCs w:val="20"/>
              </w:rPr>
              <w:tab/>
              <w:t>1,438,465</w:t>
            </w:r>
          </w:p>
        </w:tc>
        <w:tc>
          <w:tcPr>
            <w:tcW w:w="1530" w:type="dxa"/>
          </w:tcPr>
          <w:p w14:paraId="08399B51" w14:textId="77777777" w:rsidR="00537F59" w:rsidRPr="00537F59" w:rsidRDefault="00537F59" w:rsidP="00537F59">
            <w:pPr>
              <w:tabs>
                <w:tab w:val="decimal" w:pos="1152"/>
                <w:tab w:val="right" w:pos="9180"/>
              </w:tabs>
              <w:ind w:right="-18"/>
              <w:rPr>
                <w:rFonts w:ascii="CG Times (WN)" w:hAnsi="CG Times (WN)"/>
                <w:sz w:val="20"/>
                <w:szCs w:val="20"/>
              </w:rPr>
            </w:pPr>
            <w:r w:rsidRPr="00537F59">
              <w:rPr>
                <w:rFonts w:ascii="CG Times (WN)" w:hAnsi="CG Times (WN)"/>
                <w:sz w:val="20"/>
                <w:szCs w:val="20"/>
              </w:rPr>
              <w:t>$</w:t>
            </w:r>
            <w:r w:rsidRPr="00537F59">
              <w:rPr>
                <w:rFonts w:ascii="CG Times (WN)" w:hAnsi="CG Times (WN)"/>
                <w:sz w:val="20"/>
                <w:szCs w:val="20"/>
              </w:rPr>
              <w:tab/>
              <w:t>(1,352,891)</w:t>
            </w:r>
          </w:p>
        </w:tc>
      </w:tr>
      <w:tr w:rsidR="00537F59" w:rsidRPr="00537F59" w14:paraId="221DC898" w14:textId="77777777" w:rsidTr="004F5282">
        <w:tc>
          <w:tcPr>
            <w:tcW w:w="3438" w:type="dxa"/>
            <w:gridSpan w:val="4"/>
          </w:tcPr>
          <w:p w14:paraId="44AB8034" w14:textId="77777777" w:rsidR="00537F59" w:rsidRPr="00537F59" w:rsidRDefault="00537F59" w:rsidP="00537F59">
            <w:pPr>
              <w:tabs>
                <w:tab w:val="right" w:pos="9180"/>
              </w:tabs>
              <w:ind w:right="-360"/>
              <w:rPr>
                <w:rFonts w:ascii="CG Times (WN)" w:hAnsi="CG Times (WN)"/>
                <w:sz w:val="20"/>
                <w:szCs w:val="20"/>
              </w:rPr>
            </w:pPr>
            <w:r w:rsidRPr="00537F59">
              <w:rPr>
                <w:rFonts w:ascii="CG Times (WN)" w:hAnsi="CG Times (WN)"/>
                <w:sz w:val="20"/>
                <w:szCs w:val="20"/>
              </w:rPr>
              <w:t>Covid-19 – NIH SBIR Grant</w:t>
            </w:r>
          </w:p>
        </w:tc>
        <w:tc>
          <w:tcPr>
            <w:tcW w:w="1152" w:type="dxa"/>
          </w:tcPr>
          <w:p w14:paraId="026217EC" w14:textId="77777777" w:rsidR="00537F59" w:rsidRPr="00537F59" w:rsidRDefault="00537F59" w:rsidP="00537F59">
            <w:pPr>
              <w:tabs>
                <w:tab w:val="decimal" w:pos="1062"/>
                <w:tab w:val="right" w:pos="9180"/>
              </w:tabs>
              <w:ind w:right="-46"/>
              <w:rPr>
                <w:rFonts w:ascii="CG Times (WN)" w:hAnsi="CG Times (WN)"/>
                <w:sz w:val="20"/>
                <w:szCs w:val="20"/>
              </w:rPr>
            </w:pPr>
          </w:p>
        </w:tc>
        <w:tc>
          <w:tcPr>
            <w:tcW w:w="1530" w:type="dxa"/>
          </w:tcPr>
          <w:p w14:paraId="083C61B9" w14:textId="77777777" w:rsidR="00537F59" w:rsidRPr="00537F59" w:rsidRDefault="00537F59" w:rsidP="00537F59">
            <w:pPr>
              <w:tabs>
                <w:tab w:val="decimal" w:pos="1062"/>
                <w:tab w:val="right" w:pos="9180"/>
              </w:tabs>
              <w:ind w:right="-46"/>
              <w:rPr>
                <w:rFonts w:ascii="CG Times (WN)" w:hAnsi="CG Times (WN)"/>
                <w:sz w:val="20"/>
                <w:szCs w:val="20"/>
              </w:rPr>
            </w:pPr>
            <w:r w:rsidRPr="00537F59">
              <w:rPr>
                <w:rFonts w:ascii="CG Times (WN)" w:hAnsi="CG Times (WN)"/>
                <w:sz w:val="20"/>
                <w:szCs w:val="20"/>
              </w:rPr>
              <w:tab/>
              <w:t>299,927</w:t>
            </w:r>
          </w:p>
        </w:tc>
        <w:tc>
          <w:tcPr>
            <w:tcW w:w="1638" w:type="dxa"/>
          </w:tcPr>
          <w:p w14:paraId="0F7DB766" w14:textId="77777777" w:rsidR="00537F59" w:rsidRPr="00537F59" w:rsidRDefault="00537F59" w:rsidP="00537F59">
            <w:pPr>
              <w:tabs>
                <w:tab w:val="decimal" w:pos="1062"/>
                <w:tab w:val="right" w:pos="9180"/>
              </w:tabs>
              <w:ind w:right="-18"/>
              <w:rPr>
                <w:rFonts w:ascii="CG Times (WN)" w:hAnsi="CG Times (WN)"/>
                <w:sz w:val="20"/>
                <w:szCs w:val="20"/>
              </w:rPr>
            </w:pPr>
            <w:r w:rsidRPr="00537F59">
              <w:rPr>
                <w:rFonts w:ascii="CG Times (WN)" w:hAnsi="CG Times (WN)"/>
                <w:sz w:val="20"/>
                <w:szCs w:val="20"/>
              </w:rPr>
              <w:tab/>
              <w:t>-</w:t>
            </w:r>
          </w:p>
        </w:tc>
        <w:tc>
          <w:tcPr>
            <w:tcW w:w="1530" w:type="dxa"/>
          </w:tcPr>
          <w:p w14:paraId="64F18F92" w14:textId="77777777" w:rsidR="00537F59" w:rsidRPr="00537F59" w:rsidRDefault="00537F59" w:rsidP="00537F59">
            <w:pPr>
              <w:tabs>
                <w:tab w:val="decimal" w:pos="1152"/>
                <w:tab w:val="right" w:pos="9180"/>
              </w:tabs>
              <w:ind w:right="-18"/>
              <w:rPr>
                <w:rFonts w:ascii="CG Times (WN)" w:hAnsi="CG Times (WN)"/>
                <w:sz w:val="20"/>
                <w:szCs w:val="20"/>
              </w:rPr>
            </w:pPr>
            <w:r w:rsidRPr="00537F59">
              <w:rPr>
                <w:rFonts w:ascii="CG Times (WN)" w:hAnsi="CG Times (WN)"/>
                <w:sz w:val="20"/>
                <w:szCs w:val="20"/>
              </w:rPr>
              <w:tab/>
              <w:t>299,927</w:t>
            </w:r>
          </w:p>
        </w:tc>
      </w:tr>
      <w:tr w:rsidR="00537F59" w:rsidRPr="00537F59" w14:paraId="05639909" w14:textId="77777777" w:rsidTr="004F5282">
        <w:tc>
          <w:tcPr>
            <w:tcW w:w="3438" w:type="dxa"/>
            <w:gridSpan w:val="4"/>
          </w:tcPr>
          <w:p w14:paraId="6BA52444" w14:textId="77777777" w:rsidR="00537F59" w:rsidRPr="00537F59" w:rsidRDefault="00537F59" w:rsidP="00537F59">
            <w:pPr>
              <w:tabs>
                <w:tab w:val="right" w:pos="9180"/>
              </w:tabs>
              <w:ind w:right="-360"/>
              <w:rPr>
                <w:rFonts w:ascii="CG Times (WN)" w:hAnsi="CG Times (WN)"/>
                <w:sz w:val="20"/>
                <w:szCs w:val="20"/>
              </w:rPr>
            </w:pPr>
            <w:r w:rsidRPr="00537F59">
              <w:rPr>
                <w:rFonts w:ascii="CG Times (WN)" w:hAnsi="CG Times (WN)"/>
                <w:sz w:val="20"/>
                <w:szCs w:val="20"/>
              </w:rPr>
              <w:t>Malaria – Collaboration Revenue</w:t>
            </w:r>
          </w:p>
        </w:tc>
        <w:tc>
          <w:tcPr>
            <w:tcW w:w="1152" w:type="dxa"/>
          </w:tcPr>
          <w:p w14:paraId="396D359F" w14:textId="77777777" w:rsidR="00537F59" w:rsidRPr="00537F59" w:rsidRDefault="00537F59" w:rsidP="00537F59">
            <w:pPr>
              <w:tabs>
                <w:tab w:val="decimal" w:pos="1062"/>
                <w:tab w:val="right" w:pos="9180"/>
              </w:tabs>
              <w:ind w:right="-46"/>
              <w:rPr>
                <w:rFonts w:ascii="CG Times (WN)" w:hAnsi="CG Times (WN)"/>
                <w:sz w:val="20"/>
                <w:szCs w:val="20"/>
              </w:rPr>
            </w:pPr>
          </w:p>
        </w:tc>
        <w:tc>
          <w:tcPr>
            <w:tcW w:w="1530" w:type="dxa"/>
            <w:tcBorders>
              <w:bottom w:val="single" w:sz="4" w:space="0" w:color="auto"/>
            </w:tcBorders>
          </w:tcPr>
          <w:p w14:paraId="2DAEE469" w14:textId="77777777" w:rsidR="00537F59" w:rsidRPr="00537F59" w:rsidRDefault="00537F59" w:rsidP="00537F59">
            <w:pPr>
              <w:tabs>
                <w:tab w:val="decimal" w:pos="1062"/>
                <w:tab w:val="right" w:pos="9180"/>
              </w:tabs>
              <w:ind w:right="-46"/>
              <w:rPr>
                <w:rFonts w:ascii="CG Times (WN)" w:hAnsi="CG Times (WN)"/>
                <w:sz w:val="20"/>
                <w:szCs w:val="20"/>
              </w:rPr>
            </w:pPr>
            <w:r w:rsidRPr="00537F59">
              <w:rPr>
                <w:rFonts w:ascii="CG Times (WN)" w:hAnsi="CG Times (WN)"/>
                <w:sz w:val="20"/>
                <w:szCs w:val="20"/>
              </w:rPr>
              <w:tab/>
              <w:t>-</w:t>
            </w:r>
          </w:p>
        </w:tc>
        <w:tc>
          <w:tcPr>
            <w:tcW w:w="1638" w:type="dxa"/>
            <w:tcBorders>
              <w:bottom w:val="single" w:sz="4" w:space="0" w:color="auto"/>
            </w:tcBorders>
          </w:tcPr>
          <w:p w14:paraId="297D6D35" w14:textId="77777777" w:rsidR="00537F59" w:rsidRPr="00537F59" w:rsidRDefault="00537F59" w:rsidP="00537F59">
            <w:pPr>
              <w:tabs>
                <w:tab w:val="decimal" w:pos="1062"/>
                <w:tab w:val="right" w:pos="9180"/>
              </w:tabs>
              <w:ind w:right="-18"/>
              <w:rPr>
                <w:rFonts w:ascii="CG Times (WN)" w:hAnsi="CG Times (WN)"/>
                <w:sz w:val="20"/>
                <w:szCs w:val="20"/>
              </w:rPr>
            </w:pPr>
            <w:r w:rsidRPr="00537F59">
              <w:rPr>
                <w:rFonts w:ascii="CG Times (WN)" w:hAnsi="CG Times (WN)"/>
                <w:sz w:val="20"/>
                <w:szCs w:val="20"/>
              </w:rPr>
              <w:tab/>
              <w:t>385,193</w:t>
            </w:r>
          </w:p>
        </w:tc>
        <w:tc>
          <w:tcPr>
            <w:tcW w:w="1530" w:type="dxa"/>
            <w:tcBorders>
              <w:bottom w:val="single" w:sz="4" w:space="0" w:color="auto"/>
            </w:tcBorders>
          </w:tcPr>
          <w:p w14:paraId="4BD354A8" w14:textId="77777777" w:rsidR="00537F59" w:rsidRPr="00537F59" w:rsidRDefault="00537F59" w:rsidP="00537F59">
            <w:pPr>
              <w:tabs>
                <w:tab w:val="decimal" w:pos="1152"/>
                <w:tab w:val="right" w:pos="9180"/>
              </w:tabs>
              <w:ind w:right="-18"/>
              <w:rPr>
                <w:rFonts w:ascii="CG Times (WN)" w:hAnsi="CG Times (WN)"/>
                <w:sz w:val="20"/>
                <w:szCs w:val="20"/>
              </w:rPr>
            </w:pPr>
            <w:r w:rsidRPr="00537F59">
              <w:rPr>
                <w:rFonts w:ascii="CG Times (WN)" w:hAnsi="CG Times (WN)"/>
                <w:sz w:val="20"/>
                <w:szCs w:val="20"/>
              </w:rPr>
              <w:tab/>
              <w:t>(385,193)</w:t>
            </w:r>
          </w:p>
        </w:tc>
      </w:tr>
      <w:tr w:rsidR="00537F59" w:rsidRPr="00537F59" w14:paraId="39D40F1B" w14:textId="77777777" w:rsidTr="004F5282">
        <w:tc>
          <w:tcPr>
            <w:tcW w:w="3438" w:type="dxa"/>
            <w:gridSpan w:val="4"/>
          </w:tcPr>
          <w:p w14:paraId="58F2A63D" w14:textId="77777777" w:rsidR="00537F59" w:rsidRPr="00537F59" w:rsidRDefault="00537F59" w:rsidP="00537F59">
            <w:pPr>
              <w:tabs>
                <w:tab w:val="right" w:pos="9180"/>
              </w:tabs>
              <w:ind w:right="-360"/>
              <w:rPr>
                <w:rFonts w:ascii="CG Times (WN)" w:hAnsi="CG Times (WN)"/>
                <w:sz w:val="20"/>
                <w:szCs w:val="20"/>
              </w:rPr>
            </w:pPr>
            <w:r w:rsidRPr="00537F59">
              <w:rPr>
                <w:rFonts w:ascii="CG Times (WN)" w:hAnsi="CG Times (WN)"/>
                <w:sz w:val="20"/>
                <w:szCs w:val="20"/>
              </w:rPr>
              <w:t>Total</w:t>
            </w:r>
          </w:p>
        </w:tc>
        <w:tc>
          <w:tcPr>
            <w:tcW w:w="1152" w:type="dxa"/>
          </w:tcPr>
          <w:p w14:paraId="6FE0664C" w14:textId="77777777" w:rsidR="00537F59" w:rsidRPr="00537F59" w:rsidRDefault="00537F59" w:rsidP="00537F59">
            <w:pPr>
              <w:tabs>
                <w:tab w:val="decimal" w:pos="1062"/>
                <w:tab w:val="right" w:pos="9180"/>
              </w:tabs>
              <w:ind w:right="-46"/>
              <w:rPr>
                <w:rFonts w:ascii="CG Times (WN)" w:hAnsi="CG Times (WN)"/>
                <w:sz w:val="20"/>
                <w:szCs w:val="20"/>
              </w:rPr>
            </w:pPr>
          </w:p>
        </w:tc>
        <w:tc>
          <w:tcPr>
            <w:tcW w:w="1530" w:type="dxa"/>
            <w:tcBorders>
              <w:bottom w:val="double" w:sz="4" w:space="0" w:color="auto"/>
            </w:tcBorders>
          </w:tcPr>
          <w:p w14:paraId="0EC16048" w14:textId="77777777" w:rsidR="00537F59" w:rsidRPr="00537F59" w:rsidRDefault="00537F59" w:rsidP="00537F59">
            <w:pPr>
              <w:tabs>
                <w:tab w:val="decimal" w:pos="1062"/>
                <w:tab w:val="right" w:pos="9180"/>
              </w:tabs>
              <w:ind w:right="-46"/>
              <w:rPr>
                <w:rFonts w:ascii="CG Times (WN)" w:hAnsi="CG Times (WN)"/>
                <w:sz w:val="20"/>
                <w:szCs w:val="20"/>
              </w:rPr>
            </w:pPr>
            <w:r w:rsidRPr="00537F59">
              <w:rPr>
                <w:rFonts w:ascii="CG Times (WN)" w:hAnsi="CG Times (WN)"/>
                <w:sz w:val="20"/>
                <w:szCs w:val="20"/>
              </w:rPr>
              <w:t>$</w:t>
            </w:r>
            <w:r w:rsidRPr="00537F59">
              <w:rPr>
                <w:rFonts w:ascii="CG Times (WN)" w:hAnsi="CG Times (WN)"/>
                <w:sz w:val="20"/>
                <w:szCs w:val="20"/>
              </w:rPr>
              <w:tab/>
              <w:t>385,501</w:t>
            </w:r>
          </w:p>
        </w:tc>
        <w:tc>
          <w:tcPr>
            <w:tcW w:w="1638" w:type="dxa"/>
            <w:tcBorders>
              <w:top w:val="single" w:sz="4" w:space="0" w:color="auto"/>
              <w:bottom w:val="double" w:sz="4" w:space="0" w:color="auto"/>
            </w:tcBorders>
          </w:tcPr>
          <w:p w14:paraId="2B976893" w14:textId="77777777" w:rsidR="00537F59" w:rsidRPr="00537F59" w:rsidRDefault="00537F59" w:rsidP="00537F59">
            <w:pPr>
              <w:tabs>
                <w:tab w:val="decimal" w:pos="1044"/>
                <w:tab w:val="right" w:pos="9180"/>
              </w:tabs>
              <w:ind w:right="-18"/>
              <w:rPr>
                <w:rFonts w:ascii="CG Times (WN)" w:hAnsi="CG Times (WN)"/>
                <w:sz w:val="20"/>
                <w:szCs w:val="20"/>
              </w:rPr>
            </w:pPr>
            <w:r w:rsidRPr="00537F59">
              <w:rPr>
                <w:rFonts w:ascii="CG Times (WN)" w:hAnsi="CG Times (WN)"/>
                <w:sz w:val="20"/>
                <w:szCs w:val="20"/>
              </w:rPr>
              <w:t>$</w:t>
            </w:r>
            <w:r w:rsidRPr="00537F59">
              <w:rPr>
                <w:rFonts w:ascii="CG Times (WN)" w:hAnsi="CG Times (WN)"/>
                <w:sz w:val="20"/>
                <w:szCs w:val="20"/>
              </w:rPr>
              <w:tab/>
              <w:t>1,823,658</w:t>
            </w:r>
          </w:p>
        </w:tc>
        <w:tc>
          <w:tcPr>
            <w:tcW w:w="1530" w:type="dxa"/>
            <w:tcBorders>
              <w:top w:val="single" w:sz="4" w:space="0" w:color="auto"/>
              <w:bottom w:val="double" w:sz="4" w:space="0" w:color="auto"/>
            </w:tcBorders>
          </w:tcPr>
          <w:p w14:paraId="6A938EA4" w14:textId="77777777" w:rsidR="00537F59" w:rsidRPr="00537F59" w:rsidRDefault="00537F59" w:rsidP="00537F59">
            <w:pPr>
              <w:tabs>
                <w:tab w:val="decimal" w:pos="1152"/>
                <w:tab w:val="right" w:pos="9180"/>
              </w:tabs>
              <w:ind w:right="-18"/>
              <w:rPr>
                <w:rFonts w:ascii="CG Times (WN)" w:hAnsi="CG Times (WN)"/>
                <w:sz w:val="20"/>
                <w:szCs w:val="20"/>
              </w:rPr>
            </w:pPr>
            <w:r w:rsidRPr="00537F59">
              <w:rPr>
                <w:rFonts w:ascii="CG Times (WN)" w:hAnsi="CG Times (WN)"/>
                <w:sz w:val="20"/>
                <w:szCs w:val="20"/>
              </w:rPr>
              <w:t>$</w:t>
            </w:r>
            <w:r w:rsidRPr="00537F59">
              <w:rPr>
                <w:rFonts w:ascii="CG Times (WN)" w:hAnsi="CG Times (WN)"/>
                <w:sz w:val="20"/>
                <w:szCs w:val="20"/>
              </w:rPr>
              <w:tab/>
              <w:t>(1,438,157)</w:t>
            </w:r>
          </w:p>
        </w:tc>
      </w:tr>
    </w:tbl>
    <w:p w14:paraId="17545D5F" w14:textId="77777777" w:rsidR="00537F59" w:rsidRPr="00537F59" w:rsidRDefault="00537F59" w:rsidP="00537F59">
      <w:pPr>
        <w:rPr>
          <w:sz w:val="20"/>
          <w:szCs w:val="20"/>
        </w:rPr>
      </w:pPr>
    </w:p>
    <w:tbl>
      <w:tblPr>
        <w:tblW w:w="9288" w:type="dxa"/>
        <w:tblLayout w:type="fixed"/>
        <w:tblLook w:val="01E0" w:firstRow="1" w:lastRow="1" w:firstColumn="1" w:lastColumn="1" w:noHBand="0" w:noVBand="0"/>
      </w:tblPr>
      <w:tblGrid>
        <w:gridCol w:w="378"/>
        <w:gridCol w:w="450"/>
        <w:gridCol w:w="450"/>
        <w:gridCol w:w="2160"/>
        <w:gridCol w:w="1152"/>
        <w:gridCol w:w="1530"/>
        <w:gridCol w:w="1638"/>
        <w:gridCol w:w="1530"/>
      </w:tblGrid>
      <w:tr w:rsidR="00904CE1" w:rsidRPr="00904CE1" w14:paraId="1FA688F1" w14:textId="77777777" w:rsidTr="004F5282">
        <w:tc>
          <w:tcPr>
            <w:tcW w:w="378" w:type="dxa"/>
          </w:tcPr>
          <w:p w14:paraId="38064AFC" w14:textId="77777777" w:rsidR="00904CE1" w:rsidRPr="00904CE1" w:rsidRDefault="00904CE1" w:rsidP="00904CE1">
            <w:pPr>
              <w:ind w:right="-360"/>
              <w:rPr>
                <w:sz w:val="20"/>
                <w:szCs w:val="20"/>
              </w:rPr>
            </w:pPr>
          </w:p>
        </w:tc>
        <w:tc>
          <w:tcPr>
            <w:tcW w:w="450" w:type="dxa"/>
          </w:tcPr>
          <w:p w14:paraId="64776FE0" w14:textId="77777777" w:rsidR="00904CE1" w:rsidRPr="00904CE1" w:rsidRDefault="00904CE1" w:rsidP="00904CE1">
            <w:pPr>
              <w:ind w:right="-360"/>
              <w:rPr>
                <w:sz w:val="20"/>
                <w:szCs w:val="20"/>
              </w:rPr>
            </w:pPr>
          </w:p>
        </w:tc>
        <w:tc>
          <w:tcPr>
            <w:tcW w:w="450" w:type="dxa"/>
          </w:tcPr>
          <w:p w14:paraId="550BC568" w14:textId="77777777" w:rsidR="00904CE1" w:rsidRPr="00904CE1" w:rsidRDefault="00904CE1" w:rsidP="00904CE1">
            <w:pPr>
              <w:ind w:right="-360"/>
              <w:rPr>
                <w:sz w:val="20"/>
                <w:szCs w:val="20"/>
              </w:rPr>
            </w:pPr>
          </w:p>
        </w:tc>
        <w:tc>
          <w:tcPr>
            <w:tcW w:w="2160" w:type="dxa"/>
          </w:tcPr>
          <w:p w14:paraId="3FA1093D" w14:textId="77777777" w:rsidR="00904CE1" w:rsidRPr="00904CE1" w:rsidRDefault="00904CE1" w:rsidP="00904CE1">
            <w:pPr>
              <w:tabs>
                <w:tab w:val="right" w:pos="9180"/>
              </w:tabs>
              <w:ind w:right="-360"/>
              <w:rPr>
                <w:sz w:val="20"/>
                <w:szCs w:val="20"/>
              </w:rPr>
            </w:pPr>
          </w:p>
        </w:tc>
        <w:tc>
          <w:tcPr>
            <w:tcW w:w="1152" w:type="dxa"/>
          </w:tcPr>
          <w:p w14:paraId="1FEC3690" w14:textId="77777777" w:rsidR="00904CE1" w:rsidRPr="00904CE1" w:rsidRDefault="00904CE1" w:rsidP="00904CE1">
            <w:pPr>
              <w:tabs>
                <w:tab w:val="right" w:pos="9180"/>
              </w:tabs>
              <w:ind w:right="-46"/>
              <w:jc w:val="center"/>
              <w:rPr>
                <w:sz w:val="20"/>
                <w:szCs w:val="20"/>
              </w:rPr>
            </w:pPr>
          </w:p>
        </w:tc>
        <w:tc>
          <w:tcPr>
            <w:tcW w:w="3168" w:type="dxa"/>
            <w:gridSpan w:val="2"/>
            <w:tcBorders>
              <w:bottom w:val="single" w:sz="4" w:space="0" w:color="auto"/>
            </w:tcBorders>
          </w:tcPr>
          <w:p w14:paraId="43F5FE24" w14:textId="77777777" w:rsidR="00904CE1" w:rsidRPr="00904CE1" w:rsidRDefault="00904CE1" w:rsidP="00904CE1">
            <w:pPr>
              <w:tabs>
                <w:tab w:val="right" w:pos="9180"/>
              </w:tabs>
              <w:ind w:right="-18"/>
              <w:jc w:val="center"/>
              <w:rPr>
                <w:sz w:val="20"/>
                <w:szCs w:val="20"/>
              </w:rPr>
            </w:pPr>
            <w:r w:rsidRPr="00904CE1">
              <w:rPr>
                <w:sz w:val="20"/>
                <w:szCs w:val="20"/>
              </w:rPr>
              <w:t>Three Months Ended March 31,</w:t>
            </w:r>
          </w:p>
        </w:tc>
        <w:tc>
          <w:tcPr>
            <w:tcW w:w="1530" w:type="dxa"/>
          </w:tcPr>
          <w:p w14:paraId="4F237E06" w14:textId="77777777" w:rsidR="00904CE1" w:rsidRPr="00904CE1" w:rsidRDefault="00904CE1" w:rsidP="00904CE1">
            <w:pPr>
              <w:tabs>
                <w:tab w:val="right" w:pos="9180"/>
              </w:tabs>
              <w:ind w:right="-18"/>
              <w:jc w:val="center"/>
              <w:rPr>
                <w:sz w:val="20"/>
                <w:szCs w:val="20"/>
              </w:rPr>
            </w:pPr>
          </w:p>
        </w:tc>
      </w:tr>
      <w:tr w:rsidR="00904CE1" w:rsidRPr="00904CE1" w14:paraId="5B76C387" w14:textId="77777777" w:rsidTr="004F5282">
        <w:tc>
          <w:tcPr>
            <w:tcW w:w="378" w:type="dxa"/>
          </w:tcPr>
          <w:p w14:paraId="52E05A72" w14:textId="77777777" w:rsidR="00904CE1" w:rsidRPr="00904CE1" w:rsidRDefault="00904CE1" w:rsidP="00904CE1">
            <w:pPr>
              <w:ind w:right="-360"/>
              <w:rPr>
                <w:sz w:val="20"/>
                <w:szCs w:val="20"/>
              </w:rPr>
            </w:pPr>
          </w:p>
        </w:tc>
        <w:tc>
          <w:tcPr>
            <w:tcW w:w="450" w:type="dxa"/>
          </w:tcPr>
          <w:p w14:paraId="03FA998A" w14:textId="77777777" w:rsidR="00904CE1" w:rsidRPr="00904CE1" w:rsidRDefault="00904CE1" w:rsidP="00904CE1">
            <w:pPr>
              <w:ind w:right="-360"/>
              <w:rPr>
                <w:sz w:val="20"/>
                <w:szCs w:val="20"/>
              </w:rPr>
            </w:pPr>
          </w:p>
        </w:tc>
        <w:tc>
          <w:tcPr>
            <w:tcW w:w="450" w:type="dxa"/>
          </w:tcPr>
          <w:p w14:paraId="3FE0F99B" w14:textId="77777777" w:rsidR="00904CE1" w:rsidRPr="00904CE1" w:rsidRDefault="00904CE1" w:rsidP="00904CE1">
            <w:pPr>
              <w:ind w:right="-360"/>
              <w:rPr>
                <w:sz w:val="20"/>
                <w:szCs w:val="20"/>
              </w:rPr>
            </w:pPr>
          </w:p>
        </w:tc>
        <w:tc>
          <w:tcPr>
            <w:tcW w:w="2160" w:type="dxa"/>
          </w:tcPr>
          <w:p w14:paraId="34D48B2C" w14:textId="77777777" w:rsidR="00904CE1" w:rsidRPr="00904CE1" w:rsidRDefault="00904CE1" w:rsidP="00904CE1">
            <w:pPr>
              <w:tabs>
                <w:tab w:val="right" w:pos="9180"/>
              </w:tabs>
              <w:ind w:right="-360"/>
              <w:rPr>
                <w:sz w:val="20"/>
                <w:szCs w:val="20"/>
              </w:rPr>
            </w:pPr>
          </w:p>
        </w:tc>
        <w:tc>
          <w:tcPr>
            <w:tcW w:w="1152" w:type="dxa"/>
          </w:tcPr>
          <w:p w14:paraId="58EBE4FC" w14:textId="77777777" w:rsidR="00904CE1" w:rsidRPr="00904CE1" w:rsidRDefault="00904CE1" w:rsidP="00904CE1">
            <w:pPr>
              <w:tabs>
                <w:tab w:val="right" w:pos="9180"/>
              </w:tabs>
              <w:ind w:right="-46"/>
              <w:jc w:val="center"/>
              <w:rPr>
                <w:sz w:val="20"/>
                <w:szCs w:val="20"/>
              </w:rPr>
            </w:pPr>
          </w:p>
        </w:tc>
        <w:tc>
          <w:tcPr>
            <w:tcW w:w="1530" w:type="dxa"/>
            <w:tcBorders>
              <w:bottom w:val="single" w:sz="4" w:space="0" w:color="auto"/>
            </w:tcBorders>
          </w:tcPr>
          <w:p w14:paraId="6CBC74C1" w14:textId="77777777" w:rsidR="00904CE1" w:rsidRPr="00904CE1" w:rsidRDefault="00904CE1" w:rsidP="00904CE1">
            <w:pPr>
              <w:tabs>
                <w:tab w:val="right" w:pos="9180"/>
              </w:tabs>
              <w:ind w:right="-46"/>
              <w:jc w:val="center"/>
              <w:rPr>
                <w:sz w:val="20"/>
                <w:szCs w:val="20"/>
              </w:rPr>
            </w:pPr>
            <w:r w:rsidRPr="00904CE1">
              <w:rPr>
                <w:sz w:val="20"/>
                <w:szCs w:val="20"/>
              </w:rPr>
              <w:t>2022</w:t>
            </w:r>
          </w:p>
        </w:tc>
        <w:tc>
          <w:tcPr>
            <w:tcW w:w="1638" w:type="dxa"/>
            <w:tcBorders>
              <w:bottom w:val="single" w:sz="4" w:space="0" w:color="auto"/>
            </w:tcBorders>
          </w:tcPr>
          <w:p w14:paraId="14D80ED2" w14:textId="77777777" w:rsidR="00904CE1" w:rsidRPr="00904CE1" w:rsidRDefault="00904CE1" w:rsidP="00904CE1">
            <w:pPr>
              <w:tabs>
                <w:tab w:val="right" w:pos="9180"/>
              </w:tabs>
              <w:ind w:right="-18"/>
              <w:jc w:val="center"/>
              <w:rPr>
                <w:sz w:val="20"/>
                <w:szCs w:val="20"/>
              </w:rPr>
            </w:pPr>
            <w:r w:rsidRPr="00904CE1">
              <w:rPr>
                <w:sz w:val="20"/>
                <w:szCs w:val="20"/>
              </w:rPr>
              <w:t>2021</w:t>
            </w:r>
          </w:p>
        </w:tc>
        <w:tc>
          <w:tcPr>
            <w:tcW w:w="1530" w:type="dxa"/>
            <w:tcBorders>
              <w:bottom w:val="single" w:sz="4" w:space="0" w:color="auto"/>
            </w:tcBorders>
          </w:tcPr>
          <w:p w14:paraId="3FBD47C2" w14:textId="77777777" w:rsidR="00904CE1" w:rsidRPr="00904CE1" w:rsidRDefault="00904CE1" w:rsidP="00904CE1">
            <w:pPr>
              <w:tabs>
                <w:tab w:val="right" w:pos="9180"/>
              </w:tabs>
              <w:ind w:right="-18"/>
              <w:jc w:val="center"/>
              <w:rPr>
                <w:sz w:val="20"/>
                <w:szCs w:val="20"/>
              </w:rPr>
            </w:pPr>
            <w:r w:rsidRPr="00904CE1">
              <w:rPr>
                <w:sz w:val="20"/>
                <w:szCs w:val="20"/>
              </w:rPr>
              <w:t>Change</w:t>
            </w:r>
          </w:p>
        </w:tc>
      </w:tr>
      <w:tr w:rsidR="00904CE1" w:rsidRPr="00904CE1" w14:paraId="36A81868" w14:textId="77777777" w:rsidTr="004F5282">
        <w:tc>
          <w:tcPr>
            <w:tcW w:w="3438" w:type="dxa"/>
            <w:gridSpan w:val="4"/>
          </w:tcPr>
          <w:p w14:paraId="7637FB04" w14:textId="77777777" w:rsidR="00904CE1" w:rsidRPr="00904CE1" w:rsidRDefault="00904CE1" w:rsidP="00904CE1">
            <w:pPr>
              <w:tabs>
                <w:tab w:val="right" w:pos="9180"/>
              </w:tabs>
              <w:ind w:right="-360"/>
              <w:rPr>
                <w:sz w:val="20"/>
                <w:szCs w:val="20"/>
              </w:rPr>
            </w:pPr>
            <w:r w:rsidRPr="00904CE1">
              <w:rPr>
                <w:sz w:val="20"/>
                <w:szCs w:val="20"/>
              </w:rPr>
              <w:t>Lassa Fever – U.S. Army Grant</w:t>
            </w:r>
          </w:p>
        </w:tc>
        <w:tc>
          <w:tcPr>
            <w:tcW w:w="1152" w:type="dxa"/>
          </w:tcPr>
          <w:p w14:paraId="5CA5B4A6" w14:textId="77777777" w:rsidR="00904CE1" w:rsidRPr="00904CE1" w:rsidRDefault="00904CE1" w:rsidP="00904CE1">
            <w:pPr>
              <w:tabs>
                <w:tab w:val="decimal" w:pos="1062"/>
                <w:tab w:val="right" w:pos="9180"/>
              </w:tabs>
              <w:ind w:right="-46"/>
              <w:rPr>
                <w:sz w:val="20"/>
                <w:szCs w:val="20"/>
              </w:rPr>
            </w:pPr>
          </w:p>
        </w:tc>
        <w:tc>
          <w:tcPr>
            <w:tcW w:w="1530" w:type="dxa"/>
            <w:tcBorders>
              <w:top w:val="single" w:sz="4" w:space="0" w:color="auto"/>
            </w:tcBorders>
          </w:tcPr>
          <w:p w14:paraId="5C10293B" w14:textId="77777777" w:rsidR="00904CE1" w:rsidRPr="00904CE1" w:rsidRDefault="00904CE1" w:rsidP="00904CE1">
            <w:pPr>
              <w:tabs>
                <w:tab w:val="decimal" w:pos="1062"/>
                <w:tab w:val="right" w:pos="9180"/>
              </w:tabs>
              <w:ind w:right="-46"/>
              <w:rPr>
                <w:sz w:val="20"/>
                <w:szCs w:val="20"/>
              </w:rPr>
            </w:pPr>
            <w:r w:rsidRPr="00904CE1">
              <w:rPr>
                <w:sz w:val="20"/>
                <w:szCs w:val="20"/>
              </w:rPr>
              <w:t>$</w:t>
            </w:r>
            <w:r w:rsidRPr="00904CE1">
              <w:rPr>
                <w:sz w:val="20"/>
                <w:szCs w:val="20"/>
              </w:rPr>
              <w:tab/>
              <w:t>81,526</w:t>
            </w:r>
          </w:p>
        </w:tc>
        <w:tc>
          <w:tcPr>
            <w:tcW w:w="1638" w:type="dxa"/>
          </w:tcPr>
          <w:p w14:paraId="730AAFF8" w14:textId="77777777" w:rsidR="00904CE1" w:rsidRPr="00904CE1" w:rsidRDefault="00904CE1" w:rsidP="00904CE1">
            <w:pPr>
              <w:tabs>
                <w:tab w:val="decimal" w:pos="1062"/>
                <w:tab w:val="right" w:pos="9180"/>
              </w:tabs>
              <w:ind w:right="-18"/>
              <w:rPr>
                <w:sz w:val="20"/>
                <w:szCs w:val="20"/>
              </w:rPr>
            </w:pPr>
            <w:r w:rsidRPr="00904CE1">
              <w:rPr>
                <w:sz w:val="20"/>
                <w:szCs w:val="20"/>
              </w:rPr>
              <w:t>$</w:t>
            </w:r>
            <w:r w:rsidRPr="00904CE1">
              <w:rPr>
                <w:sz w:val="20"/>
                <w:szCs w:val="20"/>
              </w:rPr>
              <w:tab/>
              <w:t>-</w:t>
            </w:r>
          </w:p>
        </w:tc>
        <w:tc>
          <w:tcPr>
            <w:tcW w:w="1530" w:type="dxa"/>
          </w:tcPr>
          <w:p w14:paraId="7C0DC0BD" w14:textId="77777777" w:rsidR="00904CE1" w:rsidRPr="00904CE1" w:rsidRDefault="00904CE1" w:rsidP="00904CE1">
            <w:pPr>
              <w:tabs>
                <w:tab w:val="decimal" w:pos="1152"/>
                <w:tab w:val="right" w:pos="9180"/>
              </w:tabs>
              <w:ind w:right="-18"/>
              <w:rPr>
                <w:sz w:val="20"/>
                <w:szCs w:val="20"/>
              </w:rPr>
            </w:pPr>
            <w:r w:rsidRPr="00904CE1">
              <w:rPr>
                <w:sz w:val="20"/>
                <w:szCs w:val="20"/>
              </w:rPr>
              <w:t>$</w:t>
            </w:r>
            <w:r w:rsidRPr="00904CE1">
              <w:rPr>
                <w:sz w:val="20"/>
                <w:szCs w:val="20"/>
              </w:rPr>
              <w:tab/>
              <w:t>81,526</w:t>
            </w:r>
          </w:p>
        </w:tc>
      </w:tr>
      <w:tr w:rsidR="00904CE1" w:rsidRPr="00904CE1" w14:paraId="56C749A0" w14:textId="77777777" w:rsidTr="004F5282">
        <w:tc>
          <w:tcPr>
            <w:tcW w:w="3438" w:type="dxa"/>
            <w:gridSpan w:val="4"/>
          </w:tcPr>
          <w:p w14:paraId="69BD3076" w14:textId="77777777" w:rsidR="00904CE1" w:rsidRPr="00904CE1" w:rsidRDefault="00904CE1" w:rsidP="00904CE1">
            <w:pPr>
              <w:tabs>
                <w:tab w:val="right" w:pos="9180"/>
              </w:tabs>
              <w:ind w:right="-360"/>
              <w:rPr>
                <w:sz w:val="20"/>
                <w:szCs w:val="20"/>
              </w:rPr>
            </w:pPr>
            <w:r w:rsidRPr="00904CE1">
              <w:rPr>
                <w:sz w:val="20"/>
                <w:szCs w:val="20"/>
              </w:rPr>
              <w:t>Covid-19 – NIH SBIR Grant</w:t>
            </w:r>
          </w:p>
        </w:tc>
        <w:tc>
          <w:tcPr>
            <w:tcW w:w="1152" w:type="dxa"/>
          </w:tcPr>
          <w:p w14:paraId="19F9012D" w14:textId="77777777" w:rsidR="00904CE1" w:rsidRPr="00904CE1" w:rsidRDefault="00904CE1" w:rsidP="00904CE1">
            <w:pPr>
              <w:tabs>
                <w:tab w:val="decimal" w:pos="1062"/>
                <w:tab w:val="right" w:pos="9180"/>
              </w:tabs>
              <w:ind w:right="-46"/>
              <w:rPr>
                <w:sz w:val="20"/>
                <w:szCs w:val="20"/>
              </w:rPr>
            </w:pPr>
          </w:p>
        </w:tc>
        <w:tc>
          <w:tcPr>
            <w:tcW w:w="1530" w:type="dxa"/>
          </w:tcPr>
          <w:p w14:paraId="00AEDAD1" w14:textId="77777777" w:rsidR="00904CE1" w:rsidRPr="00904CE1" w:rsidRDefault="00904CE1" w:rsidP="00904CE1">
            <w:pPr>
              <w:tabs>
                <w:tab w:val="decimal" w:pos="1062"/>
                <w:tab w:val="right" w:pos="9180"/>
              </w:tabs>
              <w:ind w:right="-46"/>
              <w:rPr>
                <w:sz w:val="20"/>
                <w:szCs w:val="20"/>
              </w:rPr>
            </w:pPr>
            <w:r w:rsidRPr="00904CE1">
              <w:rPr>
                <w:sz w:val="20"/>
                <w:szCs w:val="20"/>
              </w:rPr>
              <w:tab/>
              <w:t>-</w:t>
            </w:r>
          </w:p>
        </w:tc>
        <w:tc>
          <w:tcPr>
            <w:tcW w:w="1638" w:type="dxa"/>
          </w:tcPr>
          <w:p w14:paraId="4F0D31A2" w14:textId="77777777" w:rsidR="00904CE1" w:rsidRPr="00904CE1" w:rsidRDefault="00904CE1" w:rsidP="00904CE1">
            <w:pPr>
              <w:tabs>
                <w:tab w:val="decimal" w:pos="1062"/>
                <w:tab w:val="right" w:pos="9180"/>
              </w:tabs>
              <w:ind w:right="-18"/>
              <w:rPr>
                <w:sz w:val="20"/>
                <w:szCs w:val="20"/>
              </w:rPr>
            </w:pPr>
            <w:r w:rsidRPr="00904CE1">
              <w:rPr>
                <w:sz w:val="20"/>
                <w:szCs w:val="20"/>
              </w:rPr>
              <w:tab/>
              <w:t>110,417</w:t>
            </w:r>
          </w:p>
        </w:tc>
        <w:tc>
          <w:tcPr>
            <w:tcW w:w="1530" w:type="dxa"/>
          </w:tcPr>
          <w:p w14:paraId="4835E60D" w14:textId="77777777" w:rsidR="00904CE1" w:rsidRPr="00904CE1" w:rsidRDefault="00904CE1" w:rsidP="00904CE1">
            <w:pPr>
              <w:tabs>
                <w:tab w:val="decimal" w:pos="1152"/>
                <w:tab w:val="right" w:pos="9180"/>
              </w:tabs>
              <w:ind w:right="-18"/>
              <w:rPr>
                <w:sz w:val="20"/>
                <w:szCs w:val="20"/>
              </w:rPr>
            </w:pPr>
            <w:r w:rsidRPr="00904CE1">
              <w:rPr>
                <w:sz w:val="20"/>
                <w:szCs w:val="20"/>
              </w:rPr>
              <w:tab/>
              <w:t>(110,417)</w:t>
            </w:r>
          </w:p>
        </w:tc>
      </w:tr>
      <w:tr w:rsidR="00904CE1" w:rsidRPr="00904CE1" w14:paraId="435E3D67" w14:textId="77777777" w:rsidTr="004F5282">
        <w:tc>
          <w:tcPr>
            <w:tcW w:w="3438" w:type="dxa"/>
            <w:gridSpan w:val="4"/>
          </w:tcPr>
          <w:p w14:paraId="36607537" w14:textId="24A89D20" w:rsidR="00904CE1" w:rsidRPr="00904CE1" w:rsidRDefault="00904CE1" w:rsidP="00904CE1">
            <w:pPr>
              <w:tabs>
                <w:tab w:val="right" w:pos="9180"/>
              </w:tabs>
              <w:ind w:right="-360"/>
              <w:rPr>
                <w:sz w:val="20"/>
                <w:szCs w:val="20"/>
              </w:rPr>
            </w:pPr>
            <w:r w:rsidRPr="00904CE1">
              <w:rPr>
                <w:sz w:val="20"/>
                <w:szCs w:val="20"/>
              </w:rPr>
              <w:t>Total</w:t>
            </w:r>
          </w:p>
        </w:tc>
        <w:tc>
          <w:tcPr>
            <w:tcW w:w="1152" w:type="dxa"/>
          </w:tcPr>
          <w:p w14:paraId="2D7D7CA6" w14:textId="77777777" w:rsidR="00904CE1" w:rsidRPr="00904CE1" w:rsidRDefault="00904CE1" w:rsidP="00904CE1">
            <w:pPr>
              <w:tabs>
                <w:tab w:val="decimal" w:pos="1062"/>
                <w:tab w:val="right" w:pos="9180"/>
              </w:tabs>
              <w:ind w:right="-46"/>
              <w:rPr>
                <w:sz w:val="20"/>
                <w:szCs w:val="20"/>
              </w:rPr>
            </w:pPr>
          </w:p>
        </w:tc>
        <w:tc>
          <w:tcPr>
            <w:tcW w:w="1530" w:type="dxa"/>
            <w:tcBorders>
              <w:top w:val="single" w:sz="4" w:space="0" w:color="auto"/>
              <w:bottom w:val="single" w:sz="4" w:space="0" w:color="auto"/>
            </w:tcBorders>
          </w:tcPr>
          <w:p w14:paraId="4223B296" w14:textId="77777777" w:rsidR="00904CE1" w:rsidRPr="00904CE1" w:rsidRDefault="00904CE1" w:rsidP="00904CE1">
            <w:pPr>
              <w:tabs>
                <w:tab w:val="decimal" w:pos="1062"/>
                <w:tab w:val="right" w:pos="9180"/>
              </w:tabs>
              <w:ind w:right="-46"/>
              <w:rPr>
                <w:sz w:val="20"/>
                <w:szCs w:val="20"/>
              </w:rPr>
            </w:pPr>
            <w:r w:rsidRPr="00904CE1">
              <w:rPr>
                <w:sz w:val="20"/>
                <w:szCs w:val="20"/>
              </w:rPr>
              <w:tab/>
              <w:t>81,526</w:t>
            </w:r>
          </w:p>
        </w:tc>
        <w:tc>
          <w:tcPr>
            <w:tcW w:w="1638" w:type="dxa"/>
            <w:tcBorders>
              <w:top w:val="single" w:sz="4" w:space="0" w:color="auto"/>
              <w:bottom w:val="single" w:sz="4" w:space="0" w:color="auto"/>
            </w:tcBorders>
          </w:tcPr>
          <w:p w14:paraId="6E870CDD" w14:textId="77777777" w:rsidR="00904CE1" w:rsidRPr="00904CE1" w:rsidRDefault="00904CE1" w:rsidP="00904CE1">
            <w:pPr>
              <w:tabs>
                <w:tab w:val="decimal" w:pos="1062"/>
                <w:tab w:val="right" w:pos="9180"/>
              </w:tabs>
              <w:ind w:right="-18"/>
              <w:rPr>
                <w:sz w:val="20"/>
                <w:szCs w:val="20"/>
              </w:rPr>
            </w:pPr>
            <w:r w:rsidRPr="00904CE1">
              <w:rPr>
                <w:sz w:val="20"/>
                <w:szCs w:val="20"/>
              </w:rPr>
              <w:tab/>
              <w:t>110,417</w:t>
            </w:r>
          </w:p>
        </w:tc>
        <w:tc>
          <w:tcPr>
            <w:tcW w:w="1530" w:type="dxa"/>
            <w:tcBorders>
              <w:top w:val="single" w:sz="4" w:space="0" w:color="auto"/>
              <w:bottom w:val="single" w:sz="4" w:space="0" w:color="auto"/>
            </w:tcBorders>
          </w:tcPr>
          <w:p w14:paraId="4E057B76" w14:textId="77777777" w:rsidR="00904CE1" w:rsidRPr="00904CE1" w:rsidRDefault="00904CE1" w:rsidP="00904CE1">
            <w:pPr>
              <w:tabs>
                <w:tab w:val="decimal" w:pos="1152"/>
                <w:tab w:val="right" w:pos="9180"/>
              </w:tabs>
              <w:ind w:right="-18"/>
              <w:rPr>
                <w:sz w:val="20"/>
                <w:szCs w:val="20"/>
              </w:rPr>
            </w:pPr>
            <w:r w:rsidRPr="00904CE1">
              <w:rPr>
                <w:sz w:val="20"/>
                <w:szCs w:val="20"/>
              </w:rPr>
              <w:tab/>
              <w:t>(28,891)</w:t>
            </w:r>
          </w:p>
        </w:tc>
      </w:tr>
    </w:tbl>
    <w:p w14:paraId="77996451" w14:textId="3DAA946C" w:rsidR="004145B7" w:rsidRDefault="004145B7" w:rsidP="00904CE1">
      <w:pPr>
        <w:rPr>
          <w:sz w:val="20"/>
          <w:szCs w:val="20"/>
        </w:rPr>
      </w:pPr>
    </w:p>
    <w:p w14:paraId="540CD803" w14:textId="0BC7D0B2" w:rsidR="00904CE1" w:rsidRDefault="00904CE1" w:rsidP="00904CE1">
      <w:pPr>
        <w:rPr>
          <w:sz w:val="20"/>
          <w:szCs w:val="20"/>
        </w:rPr>
      </w:pPr>
    </w:p>
    <w:p w14:paraId="0B9DFBD5" w14:textId="46D2D293" w:rsidR="00904CE1" w:rsidRDefault="00904CE1" w:rsidP="00904CE1">
      <w:pPr>
        <w:rPr>
          <w:sz w:val="20"/>
          <w:szCs w:val="20"/>
        </w:rPr>
      </w:pPr>
    </w:p>
    <w:p w14:paraId="2B79E8BC" w14:textId="3406C977" w:rsidR="00904CE1" w:rsidRPr="00904CE1" w:rsidRDefault="00904CE1" w:rsidP="004F0831">
      <w:pPr>
        <w:ind w:firstLine="720"/>
        <w:rPr>
          <w:sz w:val="20"/>
          <w:szCs w:val="20"/>
        </w:rPr>
      </w:pPr>
      <w:r w:rsidRPr="00904CE1">
        <w:rPr>
          <w:sz w:val="20"/>
          <w:szCs w:val="20"/>
        </w:rPr>
        <w:lastRenderedPageBreak/>
        <w:t xml:space="preserve">Grant and collaboration revenues decreased by $1,438,157 (79%) for the year ended December 30, 2021 compared to 2020, </w:t>
      </w:r>
      <w:r>
        <w:rPr>
          <w:sz w:val="20"/>
          <w:szCs w:val="20"/>
        </w:rPr>
        <w:t>and</w:t>
      </w:r>
      <w:r w:rsidRPr="00904CE1">
        <w:rPr>
          <w:sz w:val="20"/>
          <w:szCs w:val="20"/>
        </w:rPr>
        <w:t xml:space="preserve"> by $28,891 (26%) for the three-month period ended March 31, 2022 compared to the three-month period ended March 31, 2021</w:t>
      </w:r>
      <w:r w:rsidR="00104C29">
        <w:rPr>
          <w:sz w:val="20"/>
          <w:szCs w:val="20"/>
        </w:rPr>
        <w:t xml:space="preserve">, </w:t>
      </w:r>
      <w:r w:rsidRPr="00904CE1">
        <w:rPr>
          <w:sz w:val="20"/>
          <w:szCs w:val="20"/>
        </w:rPr>
        <w:t>attributable to the differing mix of active grants and collaborations as shown in the table</w:t>
      </w:r>
      <w:r w:rsidR="00104C29">
        <w:rPr>
          <w:sz w:val="20"/>
          <w:szCs w:val="20"/>
        </w:rPr>
        <w:t>s</w:t>
      </w:r>
      <w:r w:rsidRPr="00904CE1">
        <w:rPr>
          <w:sz w:val="20"/>
          <w:szCs w:val="20"/>
        </w:rPr>
        <w:t xml:space="preserve"> above, as well as the timing of expenditures related to such grants and collaborations. As of March 31, 2022, all approved grant funds have been utilized.</w:t>
      </w:r>
    </w:p>
    <w:p w14:paraId="51E30B5E" w14:textId="77777777" w:rsidR="001355B2" w:rsidRPr="00212B8B" w:rsidRDefault="001355B2" w:rsidP="004F0831">
      <w:pPr>
        <w:rPr>
          <w:sz w:val="20"/>
          <w:szCs w:val="20"/>
        </w:rPr>
      </w:pPr>
    </w:p>
    <w:p w14:paraId="0E37FC1A" w14:textId="77777777" w:rsidR="008F3E8B" w:rsidRPr="00212B8B" w:rsidRDefault="008F3E8B" w:rsidP="004F0831">
      <w:pPr>
        <w:rPr>
          <w:sz w:val="20"/>
          <w:szCs w:val="20"/>
        </w:rPr>
      </w:pPr>
      <w:r w:rsidRPr="00212B8B">
        <w:rPr>
          <w:i/>
          <w:iCs/>
          <w:sz w:val="20"/>
          <w:szCs w:val="20"/>
        </w:rPr>
        <w:t>Research and Development Expenses</w:t>
      </w:r>
    </w:p>
    <w:p w14:paraId="14CF3AF4" w14:textId="77777777" w:rsidR="008F3E8B" w:rsidRPr="00212B8B" w:rsidRDefault="008F3E8B" w:rsidP="004F0831">
      <w:pPr>
        <w:ind w:left="144"/>
        <w:rPr>
          <w:sz w:val="20"/>
          <w:szCs w:val="20"/>
        </w:rPr>
      </w:pPr>
      <w:r w:rsidRPr="00212B8B">
        <w:rPr>
          <w:sz w:val="20"/>
          <w:szCs w:val="20"/>
        </w:rPr>
        <w:t> </w:t>
      </w:r>
    </w:p>
    <w:p w14:paraId="6D155D62" w14:textId="77777777" w:rsidR="008F3E8B" w:rsidRPr="00212B8B" w:rsidRDefault="008F3E8B" w:rsidP="004F0831">
      <w:pPr>
        <w:ind w:firstLine="720"/>
        <w:rPr>
          <w:sz w:val="20"/>
          <w:szCs w:val="20"/>
        </w:rPr>
      </w:pPr>
      <w:r w:rsidRPr="00212B8B">
        <w:rPr>
          <w:sz w:val="20"/>
          <w:szCs w:val="20"/>
        </w:rPr>
        <w:t>Our research and development expenses can fluctuate considerably on a period-to-period basis, depending on the timing of expenditures related to our government grants and other research projects, and other factors. We do not disclose our research and development expenses by project, since our employees’ time is spread across multiple programs and our laboratory facility is used for multiple vaccine candidates. We track the direct cost of research and development expenses related to government grant revenue by the percentage of assigned employees’ time spent on each grant and other direct costs associated with each grant. Indirect costs associated with grants are not tracked separately but are applied based on a contracted overhead rate negotiated with the NIH. Therefore, the recorded revenues associated with government grants approximate the costs incurred.</w:t>
      </w:r>
    </w:p>
    <w:p w14:paraId="67AC6206" w14:textId="70693401" w:rsidR="008F3E8B" w:rsidRDefault="008F3E8B" w:rsidP="004F0831">
      <w:pPr>
        <w:ind w:firstLine="720"/>
        <w:rPr>
          <w:sz w:val="20"/>
          <w:szCs w:val="20"/>
        </w:rPr>
      </w:pPr>
      <w:r w:rsidRPr="00212B8B">
        <w:rPr>
          <w:sz w:val="20"/>
          <w:szCs w:val="20"/>
        </w:rPr>
        <w:t> </w:t>
      </w:r>
    </w:p>
    <w:p w14:paraId="77101A5F" w14:textId="77777777" w:rsidR="007419A7" w:rsidRPr="007419A7" w:rsidRDefault="007419A7" w:rsidP="004F0831">
      <w:pPr>
        <w:ind w:firstLine="720"/>
        <w:rPr>
          <w:sz w:val="20"/>
          <w:szCs w:val="20"/>
        </w:rPr>
      </w:pPr>
      <w:bookmarkStart w:id="34" w:name="_Hlk93678405"/>
      <w:r w:rsidRPr="007419A7">
        <w:rPr>
          <w:sz w:val="20"/>
          <w:szCs w:val="20"/>
        </w:rPr>
        <w:t>Our research and development expenses were $15,554,171 for the year ended December 31, 2021, as compared to $2,444,459 for 2020, representing an increase of $13,109,712 (536%).</w:t>
      </w:r>
      <w:bookmarkEnd w:id="34"/>
      <w:r w:rsidRPr="007419A7">
        <w:rPr>
          <w:sz w:val="20"/>
          <w:szCs w:val="20"/>
        </w:rPr>
        <w:t xml:space="preserve"> Of this increase, $10,000,000 relates to upfront license fees pursuant to the COH License ($5,000,000 paid during 2021 and $5,000,000 payable in future years), $1,864,300 relates to clinical trial expense and patent cost reimbursements pursuant to the COH License, and $459,825 relates to upfront license fees (inclusive of $209,825 of stock-based expense) associated with the </w:t>
      </w:r>
      <w:proofErr w:type="spellStart"/>
      <w:r w:rsidRPr="007419A7">
        <w:rPr>
          <w:sz w:val="20"/>
          <w:szCs w:val="20"/>
        </w:rPr>
        <w:t>Gedeptin</w:t>
      </w:r>
      <w:proofErr w:type="spellEnd"/>
      <w:r w:rsidRPr="007419A7">
        <w:rPr>
          <w:sz w:val="20"/>
          <w:szCs w:val="20"/>
        </w:rPr>
        <w:t xml:space="preserve"> License. Research and development expense for 2021 and 2020 includes stock-based compensation expense of $96,814 and $7,156, respectively associated with employee stock options, reflecting a $89,658 increase (see discussion under “Stock-Based Compensation Expense” below). The remaining $695,929 increase in research and development expense from 2020 to 2021 relates primarily due to expenditures related to our COVID-19 vaccine program, manufacturing process development, and a generally higher level of activity, offset in part by lower external expenditures related to our government grants.</w:t>
      </w:r>
    </w:p>
    <w:p w14:paraId="0EFD083F" w14:textId="1C32125C" w:rsidR="007419A7" w:rsidRDefault="007419A7" w:rsidP="004F0831">
      <w:pPr>
        <w:ind w:firstLine="720"/>
        <w:rPr>
          <w:sz w:val="20"/>
          <w:szCs w:val="20"/>
        </w:rPr>
      </w:pPr>
    </w:p>
    <w:p w14:paraId="151268C4" w14:textId="77777777" w:rsidR="007419A7" w:rsidRPr="007419A7" w:rsidRDefault="007419A7" w:rsidP="004F0831">
      <w:pPr>
        <w:ind w:firstLine="720"/>
        <w:rPr>
          <w:sz w:val="20"/>
          <w:szCs w:val="20"/>
        </w:rPr>
      </w:pPr>
      <w:r w:rsidRPr="007419A7">
        <w:rPr>
          <w:sz w:val="20"/>
          <w:szCs w:val="20"/>
        </w:rPr>
        <w:t>Research and development expenses increased by $727,761 (121%) for the three-month period ended March 31, 2022 versus the 2021 comparable period. Research and development expense for the three-month periods ended March 31, 2022 and 2021 includes stock-based compensation expense of $54,292 and $21,468, respectively, associated with employee stock options, reflecting an increase of $32,824 (see discussion under “Stock-Based Compensation Expense” below). The remaining increase of $694,937 relates primarily to higher personnel costs (including the use of external consultants), costs of manufacturing materials for use in clinical trials, and a generally higher level of activity.</w:t>
      </w:r>
    </w:p>
    <w:p w14:paraId="1DCA60E8" w14:textId="77777777" w:rsidR="0063670C" w:rsidRPr="00212B8B" w:rsidRDefault="0063670C" w:rsidP="007419A7">
      <w:pPr>
        <w:jc w:val="both"/>
        <w:rPr>
          <w:sz w:val="20"/>
          <w:szCs w:val="20"/>
        </w:rPr>
      </w:pPr>
    </w:p>
    <w:p w14:paraId="77F47786" w14:textId="77777777" w:rsidR="008F3E8B" w:rsidRPr="00212B8B" w:rsidRDefault="008F3E8B" w:rsidP="003E5A31">
      <w:pPr>
        <w:rPr>
          <w:sz w:val="20"/>
          <w:szCs w:val="20"/>
        </w:rPr>
      </w:pPr>
      <w:r w:rsidRPr="00212B8B">
        <w:rPr>
          <w:i/>
          <w:iCs/>
          <w:sz w:val="20"/>
          <w:szCs w:val="20"/>
        </w:rPr>
        <w:t>General and Administrative Expenses</w:t>
      </w:r>
    </w:p>
    <w:p w14:paraId="789A4850" w14:textId="22D7E9C6" w:rsidR="008F3E8B" w:rsidRDefault="008F3E8B" w:rsidP="003E5A31">
      <w:pPr>
        <w:ind w:left="144"/>
        <w:rPr>
          <w:sz w:val="20"/>
          <w:szCs w:val="20"/>
        </w:rPr>
      </w:pPr>
      <w:r w:rsidRPr="00212B8B">
        <w:rPr>
          <w:sz w:val="20"/>
          <w:szCs w:val="20"/>
        </w:rPr>
        <w:t> </w:t>
      </w:r>
    </w:p>
    <w:p w14:paraId="27578951" w14:textId="77777777" w:rsidR="007419A7" w:rsidRPr="007419A7" w:rsidRDefault="007419A7" w:rsidP="006A4F31">
      <w:pPr>
        <w:ind w:firstLine="720"/>
        <w:rPr>
          <w:sz w:val="20"/>
          <w:szCs w:val="20"/>
        </w:rPr>
      </w:pPr>
      <w:r w:rsidRPr="007419A7">
        <w:rPr>
          <w:sz w:val="20"/>
          <w:szCs w:val="20"/>
        </w:rPr>
        <w:t xml:space="preserve">Our general and administrative expenses were $3,577,153 for the year ended December 31, 2021, as compared to $2,196,014 for 2020, representing an increase of $1,381,139 (63%). General and administrative expense for these periods includes stock-based compensation expense of $273,173 and $57,307, respectively (see discussion under “Stock-Based Compensation Expense” below). Excluding stock-based compensation expense, general and administrative expenses were $3,303,979 and $2,138,707 for 2021 and 2020, respectively, representing an increase of $1,165,272 (54%). Approximately $360,000 of this increase is attributable to higher Delaware franchise taxes (which we expect will be no more than $200,000 in future years) with the remainder primarily due to higher legal, accounting and patent costs; insurance costs; consulting fees; and investor relations costs. </w:t>
      </w:r>
    </w:p>
    <w:p w14:paraId="21647E8C" w14:textId="77777777" w:rsidR="007419A7" w:rsidRPr="00212B8B" w:rsidRDefault="007419A7" w:rsidP="007419A7">
      <w:pPr>
        <w:rPr>
          <w:sz w:val="20"/>
          <w:szCs w:val="20"/>
        </w:rPr>
      </w:pPr>
    </w:p>
    <w:p w14:paraId="29BEF984" w14:textId="77777777" w:rsidR="006A4F31" w:rsidRPr="006A4F31" w:rsidRDefault="006A4F31" w:rsidP="006A4F31">
      <w:pPr>
        <w:ind w:firstLine="720"/>
        <w:rPr>
          <w:sz w:val="20"/>
          <w:szCs w:val="20"/>
        </w:rPr>
      </w:pPr>
      <w:r w:rsidRPr="006A4F31">
        <w:rPr>
          <w:sz w:val="20"/>
          <w:szCs w:val="20"/>
        </w:rPr>
        <w:t xml:space="preserve">For the three-month periods ended March 31, 2022, general and administrative expenses increased by $107,314 (10%) versus the 2021 comparable period.  General and administrative expense for the three-month periods ended March 31, 2022 and 2021 included stock-based compensation expense of $150,859 and $55,322, respectively, reflecting an increase of $95,537 (see discussion under “Stock-Based Compensation Expense” below). </w:t>
      </w:r>
    </w:p>
    <w:p w14:paraId="211D8663" w14:textId="6A8C8DC2" w:rsidR="008F3E8B" w:rsidRPr="00212B8B" w:rsidRDefault="008F3E8B" w:rsidP="003E5A31">
      <w:pPr>
        <w:jc w:val="both"/>
        <w:rPr>
          <w:sz w:val="20"/>
          <w:szCs w:val="20"/>
        </w:rPr>
      </w:pPr>
    </w:p>
    <w:p w14:paraId="04DFB698" w14:textId="77777777" w:rsidR="00A41B26" w:rsidRDefault="00A41B26">
      <w:pPr>
        <w:rPr>
          <w:i/>
          <w:iCs/>
          <w:sz w:val="20"/>
          <w:szCs w:val="20"/>
        </w:rPr>
      </w:pPr>
      <w:r>
        <w:rPr>
          <w:i/>
          <w:iCs/>
          <w:sz w:val="20"/>
          <w:szCs w:val="20"/>
        </w:rPr>
        <w:br w:type="page"/>
      </w:r>
    </w:p>
    <w:p w14:paraId="04B93A5E" w14:textId="798BD7B8" w:rsidR="008F3E8B" w:rsidRPr="00212B8B" w:rsidRDefault="008F3E8B" w:rsidP="003E5A31">
      <w:pPr>
        <w:rPr>
          <w:sz w:val="20"/>
          <w:szCs w:val="20"/>
        </w:rPr>
      </w:pPr>
      <w:r w:rsidRPr="00212B8B">
        <w:rPr>
          <w:i/>
          <w:iCs/>
          <w:sz w:val="20"/>
          <w:szCs w:val="20"/>
        </w:rPr>
        <w:lastRenderedPageBreak/>
        <w:t>Stock-Based Compensation Expense</w:t>
      </w:r>
    </w:p>
    <w:p w14:paraId="5100D6AE" w14:textId="77777777" w:rsidR="008F3E8B" w:rsidRPr="00212B8B" w:rsidRDefault="008F3E8B" w:rsidP="003E5A31">
      <w:pPr>
        <w:ind w:left="144"/>
        <w:rPr>
          <w:sz w:val="20"/>
          <w:szCs w:val="20"/>
        </w:rPr>
      </w:pPr>
      <w:r w:rsidRPr="00212B8B">
        <w:rPr>
          <w:sz w:val="20"/>
          <w:szCs w:val="20"/>
        </w:rPr>
        <w:t> </w:t>
      </w:r>
    </w:p>
    <w:p w14:paraId="2838A356" w14:textId="26A9645F" w:rsidR="008F3E8B" w:rsidRPr="00212B8B" w:rsidRDefault="008F3E8B" w:rsidP="003E5A31">
      <w:pPr>
        <w:ind w:firstLine="720"/>
        <w:jc w:val="both"/>
        <w:rPr>
          <w:sz w:val="20"/>
          <w:szCs w:val="20"/>
        </w:rPr>
      </w:pPr>
      <w:r w:rsidRPr="00212B8B">
        <w:rPr>
          <w:sz w:val="20"/>
          <w:szCs w:val="20"/>
        </w:rPr>
        <w:t xml:space="preserve">The table below shows the components of stock-based compensation expense for the </w:t>
      </w:r>
      <w:r w:rsidR="0063670C" w:rsidRPr="00212B8B">
        <w:rPr>
          <w:sz w:val="20"/>
          <w:szCs w:val="20"/>
        </w:rPr>
        <w:t>years ended December 31, 202</w:t>
      </w:r>
      <w:r w:rsidR="006A4F31">
        <w:rPr>
          <w:sz w:val="20"/>
          <w:szCs w:val="20"/>
        </w:rPr>
        <w:t>1</w:t>
      </w:r>
      <w:r w:rsidR="0063670C" w:rsidRPr="00212B8B">
        <w:rPr>
          <w:sz w:val="20"/>
          <w:szCs w:val="20"/>
        </w:rPr>
        <w:t xml:space="preserve"> and 20</w:t>
      </w:r>
      <w:r w:rsidR="006A4F31">
        <w:rPr>
          <w:sz w:val="20"/>
          <w:szCs w:val="20"/>
        </w:rPr>
        <w:t>20</w:t>
      </w:r>
      <w:r w:rsidRPr="00212B8B">
        <w:rPr>
          <w:sz w:val="20"/>
          <w:szCs w:val="20"/>
        </w:rPr>
        <w:t xml:space="preserve"> and </w:t>
      </w:r>
      <w:r w:rsidR="006A4F31">
        <w:rPr>
          <w:sz w:val="20"/>
          <w:szCs w:val="20"/>
        </w:rPr>
        <w:t>three</w:t>
      </w:r>
      <w:r w:rsidRPr="00212B8B">
        <w:rPr>
          <w:sz w:val="20"/>
          <w:szCs w:val="20"/>
        </w:rPr>
        <w:t xml:space="preserve">-month periods ended </w:t>
      </w:r>
      <w:r w:rsidR="006A4F31">
        <w:rPr>
          <w:sz w:val="20"/>
          <w:szCs w:val="20"/>
        </w:rPr>
        <w:t>March</w:t>
      </w:r>
      <w:r w:rsidRPr="00212B8B">
        <w:rPr>
          <w:sz w:val="20"/>
          <w:szCs w:val="20"/>
        </w:rPr>
        <w:t xml:space="preserve"> 3</w:t>
      </w:r>
      <w:r w:rsidR="006A4F31">
        <w:rPr>
          <w:sz w:val="20"/>
          <w:szCs w:val="20"/>
        </w:rPr>
        <w:t>1</w:t>
      </w:r>
      <w:r w:rsidRPr="00212B8B">
        <w:rPr>
          <w:sz w:val="20"/>
          <w:szCs w:val="20"/>
        </w:rPr>
        <w:t>, 202</w:t>
      </w:r>
      <w:r w:rsidR="006A4F31">
        <w:rPr>
          <w:sz w:val="20"/>
          <w:szCs w:val="20"/>
        </w:rPr>
        <w:t>2</w:t>
      </w:r>
      <w:r w:rsidRPr="00212B8B">
        <w:rPr>
          <w:sz w:val="20"/>
          <w:szCs w:val="20"/>
        </w:rPr>
        <w:t xml:space="preserve"> and 202</w:t>
      </w:r>
      <w:r w:rsidR="006A4F31">
        <w:rPr>
          <w:sz w:val="20"/>
          <w:szCs w:val="20"/>
        </w:rPr>
        <w:t>1</w:t>
      </w:r>
      <w:r w:rsidRPr="00212B8B">
        <w:rPr>
          <w:sz w:val="20"/>
          <w:szCs w:val="20"/>
        </w:rPr>
        <w:t xml:space="preserve">. </w:t>
      </w:r>
    </w:p>
    <w:p w14:paraId="1FDED0B8" w14:textId="77777777" w:rsidR="008F3E8B" w:rsidRPr="00212B8B" w:rsidRDefault="008F3E8B" w:rsidP="003E5A31">
      <w:pPr>
        <w:ind w:left="144"/>
        <w:rPr>
          <w:sz w:val="20"/>
          <w:szCs w:val="20"/>
        </w:rPr>
      </w:pPr>
      <w:r w:rsidRPr="00212B8B">
        <w:rPr>
          <w:sz w:val="20"/>
          <w:szCs w:val="20"/>
        </w:rPr>
        <w:t> </w:t>
      </w:r>
    </w:p>
    <w:tbl>
      <w:tblPr>
        <w:tblStyle w:val="finTable"/>
        <w:tblW w:w="5000" w:type="pct"/>
        <w:tblCellSpacing w:w="0" w:type="dxa"/>
        <w:tblInd w:w="144" w:type="dxa"/>
        <w:tblCellMar>
          <w:left w:w="0" w:type="dxa"/>
          <w:right w:w="0" w:type="dxa"/>
        </w:tblCellMar>
        <w:tblLook w:val="05E0" w:firstRow="1" w:lastRow="1" w:firstColumn="1" w:lastColumn="1" w:noHBand="0" w:noVBand="1"/>
      </w:tblPr>
      <w:tblGrid>
        <w:gridCol w:w="4864"/>
        <w:gridCol w:w="92"/>
        <w:gridCol w:w="100"/>
        <w:gridCol w:w="840"/>
        <w:gridCol w:w="92"/>
        <w:gridCol w:w="92"/>
        <w:gridCol w:w="100"/>
        <w:gridCol w:w="840"/>
        <w:gridCol w:w="92"/>
        <w:gridCol w:w="92"/>
        <w:gridCol w:w="100"/>
        <w:gridCol w:w="840"/>
        <w:gridCol w:w="92"/>
        <w:gridCol w:w="92"/>
        <w:gridCol w:w="100"/>
        <w:gridCol w:w="840"/>
        <w:gridCol w:w="92"/>
      </w:tblGrid>
      <w:tr w:rsidR="008F3E8B" w:rsidRPr="00212B8B" w14:paraId="3B4DFA89"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41F9D858" w14:textId="77777777" w:rsidR="008F3E8B" w:rsidRPr="00212B8B" w:rsidRDefault="008F3E8B"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28ED75F9" w14:textId="77777777" w:rsidR="008F3E8B" w:rsidRPr="00212B8B" w:rsidRDefault="008F3E8B" w:rsidP="003E5A31">
            <w:pPr>
              <w:rPr>
                <w:color w:val="000000"/>
                <w:sz w:val="20"/>
                <w:szCs w:val="20"/>
              </w:rPr>
            </w:pPr>
            <w:r w:rsidRPr="00212B8B">
              <w:rPr>
                <w:color w:val="000000"/>
                <w:sz w:val="20"/>
                <w:szCs w:val="20"/>
              </w:rPr>
              <w:t> </w:t>
            </w:r>
          </w:p>
        </w:tc>
        <w:tc>
          <w:tcPr>
            <w:tcW w:w="0" w:type="auto"/>
            <w:gridSpan w:val="6"/>
            <w:tcBorders>
              <w:bottom w:val="single" w:sz="6" w:space="0" w:color="000000"/>
            </w:tcBorders>
            <w:shd w:val="clear" w:color="auto" w:fill="auto"/>
            <w:tcMar>
              <w:top w:w="0" w:type="dxa"/>
              <w:left w:w="0" w:type="dxa"/>
              <w:bottom w:w="8" w:type="dxa"/>
              <w:right w:w="0" w:type="dxa"/>
            </w:tcMar>
            <w:vAlign w:val="bottom"/>
            <w:hideMark/>
          </w:tcPr>
          <w:p w14:paraId="38D3884E" w14:textId="77777777" w:rsidR="005F10BD" w:rsidRPr="00212B8B" w:rsidRDefault="005F10BD" w:rsidP="003E5A31">
            <w:pPr>
              <w:jc w:val="center"/>
              <w:rPr>
                <w:color w:val="000000"/>
                <w:sz w:val="20"/>
                <w:szCs w:val="20"/>
              </w:rPr>
            </w:pPr>
            <w:r w:rsidRPr="00212B8B">
              <w:rPr>
                <w:color w:val="000000"/>
                <w:sz w:val="20"/>
                <w:szCs w:val="20"/>
              </w:rPr>
              <w:t>Year</w:t>
            </w:r>
            <w:r w:rsidR="008F3E8B" w:rsidRPr="00212B8B">
              <w:rPr>
                <w:color w:val="000000"/>
                <w:sz w:val="20"/>
                <w:szCs w:val="20"/>
              </w:rPr>
              <w:t xml:space="preserve"> Ended </w:t>
            </w:r>
          </w:p>
          <w:p w14:paraId="2620F0AE" w14:textId="77777777" w:rsidR="008F3E8B" w:rsidRPr="00212B8B" w:rsidRDefault="005F10BD" w:rsidP="003E5A31">
            <w:pPr>
              <w:jc w:val="center"/>
              <w:rPr>
                <w:color w:val="000000"/>
                <w:sz w:val="20"/>
                <w:szCs w:val="20"/>
              </w:rPr>
            </w:pPr>
            <w:r w:rsidRPr="00212B8B">
              <w:rPr>
                <w:color w:val="000000"/>
                <w:sz w:val="20"/>
                <w:szCs w:val="20"/>
              </w:rPr>
              <w:t>December 31</w:t>
            </w:r>
            <w:r w:rsidR="008F3E8B" w:rsidRPr="00212B8B">
              <w:rPr>
                <w:color w:val="000000"/>
                <w:sz w:val="20"/>
                <w:szCs w:val="20"/>
              </w:rPr>
              <w:t>,</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58BDFC9B" w14:textId="77777777" w:rsidR="008F3E8B" w:rsidRPr="00212B8B" w:rsidRDefault="008F3E8B" w:rsidP="003E5A31">
            <w:pPr>
              <w:rPr>
                <w:color w:val="000000"/>
                <w:sz w:val="20"/>
                <w:szCs w:val="20"/>
              </w:rPr>
            </w:pPr>
            <w:r w:rsidRPr="00212B8B">
              <w:rPr>
                <w:color w:val="000000"/>
                <w:sz w:val="20"/>
                <w:szCs w:val="20"/>
              </w:rPr>
              <w:t> </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0B90A565" w14:textId="77777777" w:rsidR="008F3E8B" w:rsidRPr="00212B8B" w:rsidRDefault="008F3E8B" w:rsidP="003E5A31">
            <w:pPr>
              <w:rPr>
                <w:color w:val="000000"/>
                <w:sz w:val="20"/>
                <w:szCs w:val="20"/>
              </w:rPr>
            </w:pPr>
            <w:r w:rsidRPr="00212B8B">
              <w:rPr>
                <w:color w:val="000000"/>
                <w:sz w:val="20"/>
                <w:szCs w:val="20"/>
              </w:rPr>
              <w:t> </w:t>
            </w:r>
          </w:p>
        </w:tc>
        <w:tc>
          <w:tcPr>
            <w:tcW w:w="0" w:type="auto"/>
            <w:gridSpan w:val="6"/>
            <w:tcBorders>
              <w:bottom w:val="single" w:sz="6" w:space="0" w:color="000000"/>
            </w:tcBorders>
            <w:shd w:val="clear" w:color="auto" w:fill="auto"/>
            <w:tcMar>
              <w:top w:w="0" w:type="dxa"/>
              <w:left w:w="0" w:type="dxa"/>
              <w:bottom w:w="8" w:type="dxa"/>
              <w:right w:w="0" w:type="dxa"/>
            </w:tcMar>
            <w:vAlign w:val="bottom"/>
            <w:hideMark/>
          </w:tcPr>
          <w:p w14:paraId="4725DA6C" w14:textId="31E7539C" w:rsidR="008F3E8B" w:rsidRPr="00212B8B" w:rsidRDefault="006A4F31" w:rsidP="003E5A31">
            <w:pPr>
              <w:jc w:val="center"/>
              <w:rPr>
                <w:color w:val="000000"/>
                <w:sz w:val="20"/>
                <w:szCs w:val="20"/>
              </w:rPr>
            </w:pPr>
            <w:r>
              <w:rPr>
                <w:color w:val="000000"/>
                <w:sz w:val="20"/>
                <w:szCs w:val="20"/>
              </w:rPr>
              <w:t>Three</w:t>
            </w:r>
            <w:r w:rsidR="008F3E8B" w:rsidRPr="00212B8B">
              <w:rPr>
                <w:color w:val="000000"/>
                <w:sz w:val="20"/>
                <w:szCs w:val="20"/>
              </w:rPr>
              <w:t xml:space="preserve"> Months Ended </w:t>
            </w:r>
            <w:r>
              <w:rPr>
                <w:color w:val="000000"/>
                <w:sz w:val="20"/>
                <w:szCs w:val="20"/>
              </w:rPr>
              <w:t>March</w:t>
            </w:r>
            <w:r w:rsidR="008F3E8B" w:rsidRPr="00212B8B">
              <w:rPr>
                <w:color w:val="000000"/>
                <w:sz w:val="20"/>
                <w:szCs w:val="20"/>
              </w:rPr>
              <w:t xml:space="preserve"> 3</w:t>
            </w:r>
            <w:r>
              <w:rPr>
                <w:color w:val="000000"/>
                <w:sz w:val="20"/>
                <w:szCs w:val="20"/>
              </w:rPr>
              <w:t>1</w:t>
            </w:r>
            <w:r w:rsidR="008F3E8B" w:rsidRPr="00212B8B">
              <w:rPr>
                <w:color w:val="000000"/>
                <w:sz w:val="20"/>
                <w:szCs w:val="20"/>
              </w:rPr>
              <w:t>,</w:t>
            </w:r>
          </w:p>
        </w:tc>
        <w:tc>
          <w:tcPr>
            <w:tcW w:w="0" w:type="auto"/>
            <w:shd w:val="clear" w:color="auto" w:fill="auto"/>
            <w:tcMar>
              <w:top w:w="0" w:type="dxa"/>
              <w:left w:w="0" w:type="dxa"/>
              <w:bottom w:w="15" w:type="dxa"/>
              <w:right w:w="0" w:type="dxa"/>
            </w:tcMar>
            <w:vAlign w:val="bottom"/>
            <w:hideMark/>
          </w:tcPr>
          <w:p w14:paraId="12394D0F" w14:textId="77777777" w:rsidR="008F3E8B" w:rsidRPr="00212B8B" w:rsidRDefault="008F3E8B" w:rsidP="003E5A31">
            <w:pPr>
              <w:rPr>
                <w:color w:val="000000"/>
                <w:sz w:val="20"/>
                <w:szCs w:val="20"/>
              </w:rPr>
            </w:pPr>
            <w:r w:rsidRPr="00212B8B">
              <w:rPr>
                <w:color w:val="000000"/>
                <w:sz w:val="20"/>
                <w:szCs w:val="20"/>
              </w:rPr>
              <w:t> </w:t>
            </w:r>
          </w:p>
        </w:tc>
      </w:tr>
      <w:tr w:rsidR="008F3E8B" w:rsidRPr="00212B8B" w14:paraId="4D9045E8" w14:textId="77777777" w:rsidTr="00C627C4">
        <w:trPr>
          <w:cantSplit/>
          <w:tblCellSpacing w:w="0" w:type="dxa"/>
        </w:trPr>
        <w:tc>
          <w:tcPr>
            <w:tcW w:w="0" w:type="auto"/>
            <w:tcBorders>
              <w:bottom w:val="single" w:sz="6" w:space="0" w:color="000000"/>
            </w:tcBorders>
            <w:shd w:val="clear" w:color="auto" w:fill="auto"/>
            <w:tcMar>
              <w:top w:w="0" w:type="dxa"/>
              <w:left w:w="0" w:type="dxa"/>
              <w:bottom w:w="8" w:type="dxa"/>
              <w:right w:w="0" w:type="dxa"/>
            </w:tcMar>
            <w:vAlign w:val="bottom"/>
            <w:hideMark/>
          </w:tcPr>
          <w:p w14:paraId="39913B8D" w14:textId="77777777" w:rsidR="008F3E8B" w:rsidRPr="00212B8B" w:rsidRDefault="008F3E8B" w:rsidP="003E5A31">
            <w:pPr>
              <w:rPr>
                <w:color w:val="000000"/>
                <w:sz w:val="20"/>
                <w:szCs w:val="20"/>
              </w:rPr>
            </w:pPr>
            <w:r w:rsidRPr="00212B8B">
              <w:rPr>
                <w:color w:val="000000"/>
                <w:sz w:val="20"/>
                <w:szCs w:val="20"/>
              </w:rPr>
              <w:t> </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13A66BA3" w14:textId="77777777" w:rsidR="008F3E8B" w:rsidRPr="00212B8B" w:rsidRDefault="008F3E8B"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727C16C4" w14:textId="56CD830B" w:rsidR="008F3E8B" w:rsidRPr="00212B8B" w:rsidRDefault="008F3E8B" w:rsidP="003E5A31">
            <w:pPr>
              <w:jc w:val="center"/>
              <w:rPr>
                <w:color w:val="000000"/>
                <w:sz w:val="20"/>
                <w:szCs w:val="20"/>
              </w:rPr>
            </w:pPr>
            <w:r w:rsidRPr="00212B8B">
              <w:rPr>
                <w:color w:val="000000"/>
                <w:sz w:val="20"/>
                <w:szCs w:val="20"/>
              </w:rPr>
              <w:t>202</w:t>
            </w:r>
            <w:r w:rsidR="006A4F31">
              <w:rPr>
                <w:color w:val="000000"/>
                <w:sz w:val="20"/>
                <w:szCs w:val="20"/>
              </w:rPr>
              <w:t>1</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1D825325" w14:textId="77777777" w:rsidR="008F3E8B" w:rsidRPr="00212B8B" w:rsidRDefault="008F3E8B" w:rsidP="003E5A31">
            <w:pPr>
              <w:rPr>
                <w:color w:val="000000"/>
                <w:sz w:val="20"/>
                <w:szCs w:val="20"/>
              </w:rPr>
            </w:pPr>
            <w:r w:rsidRPr="00212B8B">
              <w:rPr>
                <w:color w:val="000000"/>
                <w:sz w:val="20"/>
                <w:szCs w:val="20"/>
              </w:rPr>
              <w:t> </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2BBC6252" w14:textId="77777777" w:rsidR="008F3E8B" w:rsidRPr="00212B8B" w:rsidRDefault="008F3E8B"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7514C03F" w14:textId="7EEC60A2" w:rsidR="008F3E8B" w:rsidRPr="00212B8B" w:rsidRDefault="008F3E8B" w:rsidP="003E5A31">
            <w:pPr>
              <w:jc w:val="center"/>
              <w:rPr>
                <w:color w:val="000000"/>
                <w:sz w:val="20"/>
                <w:szCs w:val="20"/>
              </w:rPr>
            </w:pPr>
            <w:r w:rsidRPr="00212B8B">
              <w:rPr>
                <w:color w:val="000000"/>
                <w:sz w:val="20"/>
                <w:szCs w:val="20"/>
              </w:rPr>
              <w:t>20</w:t>
            </w:r>
            <w:r w:rsidR="006A4F31">
              <w:rPr>
                <w:color w:val="000000"/>
                <w:sz w:val="20"/>
                <w:szCs w:val="20"/>
              </w:rPr>
              <w:t>20</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382036A2" w14:textId="77777777" w:rsidR="008F3E8B" w:rsidRPr="00212B8B" w:rsidRDefault="008F3E8B" w:rsidP="003E5A31">
            <w:pPr>
              <w:rPr>
                <w:color w:val="000000"/>
                <w:sz w:val="20"/>
                <w:szCs w:val="20"/>
              </w:rPr>
            </w:pPr>
            <w:r w:rsidRPr="00212B8B">
              <w:rPr>
                <w:color w:val="000000"/>
                <w:sz w:val="20"/>
                <w:szCs w:val="20"/>
              </w:rPr>
              <w:t> </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46DCC788" w14:textId="77777777" w:rsidR="008F3E8B" w:rsidRPr="00212B8B" w:rsidRDefault="008F3E8B"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1EDF8EB7" w14:textId="3A87DEE0" w:rsidR="008F3E8B" w:rsidRPr="00212B8B" w:rsidRDefault="008F3E8B" w:rsidP="003E5A31">
            <w:pPr>
              <w:jc w:val="center"/>
              <w:rPr>
                <w:color w:val="000000"/>
                <w:sz w:val="20"/>
                <w:szCs w:val="20"/>
              </w:rPr>
            </w:pPr>
            <w:r w:rsidRPr="00212B8B">
              <w:rPr>
                <w:color w:val="000000"/>
                <w:sz w:val="20"/>
                <w:szCs w:val="20"/>
              </w:rPr>
              <w:t>202</w:t>
            </w:r>
            <w:r w:rsidR="006A4F31">
              <w:rPr>
                <w:color w:val="000000"/>
                <w:sz w:val="20"/>
                <w:szCs w:val="20"/>
              </w:rPr>
              <w:t>2</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0172C1F3" w14:textId="77777777" w:rsidR="008F3E8B" w:rsidRPr="00212B8B" w:rsidRDefault="008F3E8B" w:rsidP="003E5A31">
            <w:pPr>
              <w:rPr>
                <w:color w:val="000000"/>
                <w:sz w:val="20"/>
                <w:szCs w:val="20"/>
              </w:rPr>
            </w:pPr>
            <w:r w:rsidRPr="00212B8B">
              <w:rPr>
                <w:color w:val="000000"/>
                <w:sz w:val="20"/>
                <w:szCs w:val="20"/>
              </w:rPr>
              <w:t> </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2A8734FC" w14:textId="77777777" w:rsidR="008F3E8B" w:rsidRPr="00212B8B" w:rsidRDefault="008F3E8B"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200879BF" w14:textId="4522143F" w:rsidR="008F3E8B" w:rsidRPr="00212B8B" w:rsidRDefault="008F3E8B" w:rsidP="003E5A31">
            <w:pPr>
              <w:jc w:val="center"/>
              <w:rPr>
                <w:color w:val="000000"/>
                <w:sz w:val="20"/>
                <w:szCs w:val="20"/>
              </w:rPr>
            </w:pPr>
            <w:r w:rsidRPr="00212B8B">
              <w:rPr>
                <w:color w:val="000000"/>
                <w:sz w:val="20"/>
                <w:szCs w:val="20"/>
              </w:rPr>
              <w:t>202</w:t>
            </w:r>
            <w:r w:rsidR="006A4F31">
              <w:rPr>
                <w:color w:val="000000"/>
                <w:sz w:val="20"/>
                <w:szCs w:val="20"/>
              </w:rPr>
              <w:t>1</w:t>
            </w:r>
          </w:p>
        </w:tc>
        <w:tc>
          <w:tcPr>
            <w:tcW w:w="0" w:type="auto"/>
            <w:shd w:val="clear" w:color="auto" w:fill="auto"/>
            <w:tcMar>
              <w:top w:w="0" w:type="dxa"/>
              <w:left w:w="0" w:type="dxa"/>
              <w:bottom w:w="15" w:type="dxa"/>
              <w:right w:w="0" w:type="dxa"/>
            </w:tcMar>
            <w:vAlign w:val="bottom"/>
            <w:hideMark/>
          </w:tcPr>
          <w:p w14:paraId="00335D55" w14:textId="77777777" w:rsidR="008F3E8B" w:rsidRPr="00212B8B" w:rsidRDefault="008F3E8B" w:rsidP="003E5A31">
            <w:pPr>
              <w:rPr>
                <w:color w:val="000000"/>
                <w:sz w:val="20"/>
                <w:szCs w:val="20"/>
              </w:rPr>
            </w:pPr>
            <w:r w:rsidRPr="00212B8B">
              <w:rPr>
                <w:color w:val="000000"/>
                <w:sz w:val="20"/>
                <w:szCs w:val="20"/>
              </w:rPr>
              <w:t> </w:t>
            </w:r>
          </w:p>
        </w:tc>
      </w:tr>
      <w:tr w:rsidR="008F3E8B" w:rsidRPr="00212B8B" w14:paraId="52F70212" w14:textId="77777777" w:rsidTr="00C627C4">
        <w:trPr>
          <w:cantSplit/>
          <w:tblCellSpacing w:w="0" w:type="dxa"/>
        </w:trPr>
        <w:tc>
          <w:tcPr>
            <w:tcW w:w="2600" w:type="pct"/>
            <w:shd w:val="clear" w:color="auto" w:fill="auto"/>
            <w:tcMar>
              <w:top w:w="0" w:type="dxa"/>
              <w:left w:w="0" w:type="dxa"/>
              <w:bottom w:w="0" w:type="dxa"/>
              <w:right w:w="0" w:type="dxa"/>
            </w:tcMar>
            <w:vAlign w:val="bottom"/>
            <w:hideMark/>
          </w:tcPr>
          <w:p w14:paraId="32D6A412" w14:textId="77777777" w:rsidR="008F3E8B" w:rsidRPr="00212B8B" w:rsidRDefault="008F3E8B" w:rsidP="003E5A31">
            <w:pPr>
              <w:rPr>
                <w:color w:val="000000"/>
                <w:sz w:val="20"/>
                <w:szCs w:val="20"/>
              </w:rPr>
            </w:pPr>
            <w:r w:rsidRPr="00212B8B">
              <w:rPr>
                <w:color w:val="000000"/>
                <w:sz w:val="20"/>
                <w:szCs w:val="20"/>
              </w:rPr>
              <w:t>Stock option expense</w:t>
            </w:r>
          </w:p>
        </w:tc>
        <w:tc>
          <w:tcPr>
            <w:tcW w:w="50" w:type="pct"/>
            <w:shd w:val="clear" w:color="auto" w:fill="auto"/>
            <w:tcMar>
              <w:top w:w="0" w:type="dxa"/>
              <w:left w:w="0" w:type="dxa"/>
              <w:bottom w:w="0" w:type="dxa"/>
              <w:right w:w="0" w:type="dxa"/>
            </w:tcMar>
            <w:vAlign w:val="bottom"/>
            <w:hideMark/>
          </w:tcPr>
          <w:p w14:paraId="6F611B5B"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7B636392" w14:textId="77777777" w:rsidR="008F3E8B" w:rsidRPr="00212B8B" w:rsidRDefault="008F3E8B" w:rsidP="003E5A31">
            <w:pPr>
              <w:rPr>
                <w:color w:val="000000"/>
                <w:sz w:val="20"/>
                <w:szCs w:val="20"/>
              </w:rPr>
            </w:pPr>
            <w:r w:rsidRPr="00212B8B">
              <w:rPr>
                <w:color w:val="000000"/>
                <w:sz w:val="20"/>
                <w:szCs w:val="20"/>
              </w:rPr>
              <w:t>$</w:t>
            </w:r>
          </w:p>
        </w:tc>
        <w:tc>
          <w:tcPr>
            <w:tcW w:w="450" w:type="pct"/>
            <w:shd w:val="clear" w:color="auto" w:fill="auto"/>
            <w:tcMar>
              <w:top w:w="0" w:type="dxa"/>
              <w:left w:w="0" w:type="dxa"/>
              <w:bottom w:w="0" w:type="dxa"/>
              <w:right w:w="0" w:type="dxa"/>
            </w:tcMar>
            <w:vAlign w:val="bottom"/>
            <w:hideMark/>
          </w:tcPr>
          <w:p w14:paraId="2EEFDF70" w14:textId="0FD01CA2" w:rsidR="008F3E8B" w:rsidRPr="00212B8B" w:rsidRDefault="006A4F31" w:rsidP="003E5A31">
            <w:pPr>
              <w:jc w:val="right"/>
              <w:rPr>
                <w:color w:val="000000"/>
                <w:sz w:val="20"/>
                <w:szCs w:val="20"/>
              </w:rPr>
            </w:pPr>
            <w:r>
              <w:rPr>
                <w:color w:val="000000"/>
                <w:sz w:val="20"/>
                <w:szCs w:val="20"/>
              </w:rPr>
              <w:t>269,427</w:t>
            </w:r>
          </w:p>
        </w:tc>
        <w:tc>
          <w:tcPr>
            <w:tcW w:w="50" w:type="pct"/>
            <w:shd w:val="clear" w:color="auto" w:fill="auto"/>
            <w:tcMar>
              <w:top w:w="0" w:type="dxa"/>
              <w:left w:w="0" w:type="dxa"/>
              <w:bottom w:w="0" w:type="dxa"/>
              <w:right w:w="0" w:type="dxa"/>
            </w:tcMar>
            <w:vAlign w:val="bottom"/>
            <w:hideMark/>
          </w:tcPr>
          <w:p w14:paraId="435B87DB"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2977B0EE"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6FCB622A" w14:textId="77777777" w:rsidR="008F3E8B" w:rsidRPr="00212B8B" w:rsidRDefault="008F3E8B" w:rsidP="003E5A31">
            <w:pPr>
              <w:rPr>
                <w:color w:val="000000"/>
                <w:sz w:val="20"/>
                <w:szCs w:val="20"/>
              </w:rPr>
            </w:pPr>
            <w:r w:rsidRPr="00212B8B">
              <w:rPr>
                <w:color w:val="000000"/>
                <w:sz w:val="20"/>
                <w:szCs w:val="20"/>
              </w:rPr>
              <w:t>$</w:t>
            </w:r>
          </w:p>
        </w:tc>
        <w:tc>
          <w:tcPr>
            <w:tcW w:w="450" w:type="pct"/>
            <w:shd w:val="clear" w:color="auto" w:fill="auto"/>
            <w:tcMar>
              <w:top w:w="0" w:type="dxa"/>
              <w:left w:w="0" w:type="dxa"/>
              <w:bottom w:w="0" w:type="dxa"/>
              <w:right w:w="0" w:type="dxa"/>
            </w:tcMar>
            <w:vAlign w:val="bottom"/>
            <w:hideMark/>
          </w:tcPr>
          <w:p w14:paraId="6881DEF0" w14:textId="75A646DA" w:rsidR="008F3E8B" w:rsidRPr="00212B8B" w:rsidRDefault="006A4F31" w:rsidP="003E5A31">
            <w:pPr>
              <w:jc w:val="right"/>
              <w:rPr>
                <w:color w:val="000000"/>
                <w:sz w:val="20"/>
                <w:szCs w:val="20"/>
              </w:rPr>
            </w:pPr>
            <w:r>
              <w:rPr>
                <w:color w:val="000000"/>
                <w:sz w:val="20"/>
                <w:szCs w:val="20"/>
              </w:rPr>
              <w:t>18,730</w:t>
            </w:r>
          </w:p>
        </w:tc>
        <w:tc>
          <w:tcPr>
            <w:tcW w:w="50" w:type="pct"/>
            <w:shd w:val="clear" w:color="auto" w:fill="auto"/>
            <w:tcMar>
              <w:top w:w="0" w:type="dxa"/>
              <w:left w:w="0" w:type="dxa"/>
              <w:bottom w:w="0" w:type="dxa"/>
              <w:right w:w="0" w:type="dxa"/>
            </w:tcMar>
            <w:vAlign w:val="bottom"/>
            <w:hideMark/>
          </w:tcPr>
          <w:p w14:paraId="59529CCA"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5155D809"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654DA543" w14:textId="77777777" w:rsidR="008F3E8B" w:rsidRPr="00212B8B" w:rsidRDefault="008F3E8B" w:rsidP="003E5A31">
            <w:pPr>
              <w:rPr>
                <w:color w:val="000000"/>
                <w:sz w:val="20"/>
                <w:szCs w:val="20"/>
              </w:rPr>
            </w:pPr>
            <w:r w:rsidRPr="00212B8B">
              <w:rPr>
                <w:color w:val="000000"/>
                <w:sz w:val="20"/>
                <w:szCs w:val="20"/>
              </w:rPr>
              <w:t>$</w:t>
            </w:r>
          </w:p>
        </w:tc>
        <w:tc>
          <w:tcPr>
            <w:tcW w:w="450" w:type="pct"/>
            <w:shd w:val="clear" w:color="auto" w:fill="auto"/>
            <w:tcMar>
              <w:top w:w="0" w:type="dxa"/>
              <w:left w:w="0" w:type="dxa"/>
              <w:bottom w:w="0" w:type="dxa"/>
              <w:right w:w="0" w:type="dxa"/>
            </w:tcMar>
            <w:vAlign w:val="bottom"/>
            <w:hideMark/>
          </w:tcPr>
          <w:p w14:paraId="6EC9ECEE" w14:textId="18257D49" w:rsidR="008F3E8B" w:rsidRPr="00212B8B" w:rsidRDefault="006A4F31" w:rsidP="003E5A31">
            <w:pPr>
              <w:jc w:val="right"/>
              <w:rPr>
                <w:color w:val="000000"/>
                <w:sz w:val="20"/>
                <w:szCs w:val="20"/>
              </w:rPr>
            </w:pPr>
            <w:r>
              <w:rPr>
                <w:color w:val="000000"/>
                <w:sz w:val="20"/>
                <w:szCs w:val="20"/>
              </w:rPr>
              <w:t>190,191</w:t>
            </w:r>
          </w:p>
        </w:tc>
        <w:tc>
          <w:tcPr>
            <w:tcW w:w="50" w:type="pct"/>
            <w:shd w:val="clear" w:color="auto" w:fill="auto"/>
            <w:tcMar>
              <w:top w:w="0" w:type="dxa"/>
              <w:left w:w="0" w:type="dxa"/>
              <w:bottom w:w="0" w:type="dxa"/>
              <w:right w:w="0" w:type="dxa"/>
            </w:tcMar>
            <w:vAlign w:val="bottom"/>
            <w:hideMark/>
          </w:tcPr>
          <w:p w14:paraId="53934E63"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55330368"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211685A6" w14:textId="77777777" w:rsidR="008F3E8B" w:rsidRPr="00212B8B" w:rsidRDefault="008F3E8B" w:rsidP="003E5A31">
            <w:pPr>
              <w:rPr>
                <w:color w:val="000000"/>
                <w:sz w:val="20"/>
                <w:szCs w:val="20"/>
              </w:rPr>
            </w:pPr>
            <w:r w:rsidRPr="00212B8B">
              <w:rPr>
                <w:color w:val="000000"/>
                <w:sz w:val="20"/>
                <w:szCs w:val="20"/>
              </w:rPr>
              <w:t>$</w:t>
            </w:r>
          </w:p>
        </w:tc>
        <w:tc>
          <w:tcPr>
            <w:tcW w:w="450" w:type="pct"/>
            <w:shd w:val="clear" w:color="auto" w:fill="auto"/>
            <w:tcMar>
              <w:top w:w="0" w:type="dxa"/>
              <w:left w:w="0" w:type="dxa"/>
              <w:bottom w:w="0" w:type="dxa"/>
              <w:right w:w="0" w:type="dxa"/>
            </w:tcMar>
            <w:vAlign w:val="bottom"/>
            <w:hideMark/>
          </w:tcPr>
          <w:p w14:paraId="7811F51D" w14:textId="40CFCFED" w:rsidR="008F3E8B" w:rsidRPr="00212B8B" w:rsidRDefault="00233E8A" w:rsidP="003E5A31">
            <w:pPr>
              <w:jc w:val="right"/>
              <w:rPr>
                <w:color w:val="000000"/>
                <w:sz w:val="20"/>
                <w:szCs w:val="20"/>
              </w:rPr>
            </w:pPr>
            <w:r>
              <w:rPr>
                <w:color w:val="000000"/>
                <w:sz w:val="20"/>
                <w:szCs w:val="20"/>
              </w:rPr>
              <w:t>56,190</w:t>
            </w:r>
          </w:p>
        </w:tc>
        <w:tc>
          <w:tcPr>
            <w:tcW w:w="50" w:type="pct"/>
            <w:shd w:val="clear" w:color="auto" w:fill="auto"/>
            <w:tcMar>
              <w:top w:w="0" w:type="dxa"/>
              <w:left w:w="0" w:type="dxa"/>
              <w:bottom w:w="0" w:type="dxa"/>
              <w:right w:w="0" w:type="dxa"/>
            </w:tcMar>
            <w:vAlign w:val="bottom"/>
            <w:hideMark/>
          </w:tcPr>
          <w:p w14:paraId="63F54222" w14:textId="77777777" w:rsidR="008F3E8B" w:rsidRPr="00212B8B" w:rsidRDefault="008F3E8B" w:rsidP="003E5A31">
            <w:pPr>
              <w:rPr>
                <w:color w:val="000000"/>
                <w:sz w:val="20"/>
                <w:szCs w:val="20"/>
              </w:rPr>
            </w:pPr>
            <w:r w:rsidRPr="00212B8B">
              <w:rPr>
                <w:color w:val="000000"/>
                <w:sz w:val="20"/>
                <w:szCs w:val="20"/>
              </w:rPr>
              <w:t> </w:t>
            </w:r>
          </w:p>
        </w:tc>
      </w:tr>
      <w:tr w:rsidR="008F3E8B" w:rsidRPr="00212B8B" w14:paraId="3BC25ECF"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69173FB5" w14:textId="77777777" w:rsidR="008F3E8B" w:rsidRPr="00212B8B" w:rsidRDefault="008F3E8B" w:rsidP="003E5A31">
            <w:pPr>
              <w:rPr>
                <w:color w:val="000000"/>
                <w:sz w:val="20"/>
                <w:szCs w:val="20"/>
              </w:rPr>
            </w:pPr>
            <w:r w:rsidRPr="00212B8B">
              <w:rPr>
                <w:color w:val="000000"/>
                <w:sz w:val="20"/>
                <w:szCs w:val="20"/>
              </w:rPr>
              <w:t>Stock issued for consulting services</w:t>
            </w:r>
          </w:p>
        </w:tc>
        <w:tc>
          <w:tcPr>
            <w:tcW w:w="50" w:type="pct"/>
            <w:shd w:val="clear" w:color="auto" w:fill="auto"/>
            <w:tcMar>
              <w:top w:w="0" w:type="dxa"/>
              <w:left w:w="0" w:type="dxa"/>
              <w:bottom w:w="0" w:type="dxa"/>
              <w:right w:w="0" w:type="dxa"/>
            </w:tcMar>
            <w:vAlign w:val="bottom"/>
            <w:hideMark/>
          </w:tcPr>
          <w:p w14:paraId="3BF3F46C"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18F49BC5" w14:textId="77777777" w:rsidR="008F3E8B" w:rsidRPr="00212B8B" w:rsidRDefault="008F3E8B" w:rsidP="003E5A31">
            <w:pPr>
              <w:rPr>
                <w:color w:val="000000"/>
                <w:sz w:val="20"/>
                <w:szCs w:val="20"/>
              </w:rPr>
            </w:pPr>
            <w:r w:rsidRPr="00212B8B">
              <w:rPr>
                <w:color w:val="000000"/>
                <w:sz w:val="20"/>
                <w:szCs w:val="20"/>
              </w:rPr>
              <w:t> </w:t>
            </w:r>
          </w:p>
        </w:tc>
        <w:tc>
          <w:tcPr>
            <w:tcW w:w="450" w:type="pct"/>
            <w:tcBorders>
              <w:bottom w:val="single" w:sz="6" w:space="0" w:color="000000"/>
            </w:tcBorders>
            <w:shd w:val="clear" w:color="auto" w:fill="auto"/>
            <w:tcMar>
              <w:top w:w="0" w:type="dxa"/>
              <w:left w:w="0" w:type="dxa"/>
              <w:bottom w:w="8" w:type="dxa"/>
              <w:right w:w="0" w:type="dxa"/>
            </w:tcMar>
            <w:vAlign w:val="bottom"/>
            <w:hideMark/>
          </w:tcPr>
          <w:p w14:paraId="7B088172" w14:textId="780E4842" w:rsidR="008F3E8B" w:rsidRPr="00212B8B" w:rsidRDefault="006A4F31" w:rsidP="003E5A31">
            <w:pPr>
              <w:jc w:val="right"/>
              <w:rPr>
                <w:color w:val="000000"/>
                <w:sz w:val="20"/>
                <w:szCs w:val="20"/>
              </w:rPr>
            </w:pPr>
            <w:r>
              <w:rPr>
                <w:color w:val="000000"/>
                <w:sz w:val="20"/>
                <w:szCs w:val="20"/>
              </w:rPr>
              <w:t>100,560</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105AEB0D"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0AF81649"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6A7BA9B6" w14:textId="77777777" w:rsidR="008F3E8B" w:rsidRPr="00212B8B" w:rsidRDefault="008F3E8B" w:rsidP="003E5A31">
            <w:pPr>
              <w:rPr>
                <w:color w:val="000000"/>
                <w:sz w:val="20"/>
                <w:szCs w:val="20"/>
              </w:rPr>
            </w:pPr>
            <w:r w:rsidRPr="00212B8B">
              <w:rPr>
                <w:color w:val="000000"/>
                <w:sz w:val="20"/>
                <w:szCs w:val="20"/>
              </w:rPr>
              <w:t> </w:t>
            </w:r>
          </w:p>
        </w:tc>
        <w:tc>
          <w:tcPr>
            <w:tcW w:w="450" w:type="pct"/>
            <w:tcBorders>
              <w:bottom w:val="single" w:sz="6" w:space="0" w:color="000000"/>
            </w:tcBorders>
            <w:shd w:val="clear" w:color="auto" w:fill="auto"/>
            <w:tcMar>
              <w:top w:w="0" w:type="dxa"/>
              <w:left w:w="0" w:type="dxa"/>
              <w:bottom w:w="8" w:type="dxa"/>
              <w:right w:w="0" w:type="dxa"/>
            </w:tcMar>
            <w:vAlign w:val="bottom"/>
            <w:hideMark/>
          </w:tcPr>
          <w:p w14:paraId="252A97FD" w14:textId="160647EA" w:rsidR="008F3E8B" w:rsidRPr="00212B8B" w:rsidRDefault="006A4F31" w:rsidP="003E5A31">
            <w:pPr>
              <w:jc w:val="right"/>
              <w:rPr>
                <w:color w:val="000000"/>
                <w:sz w:val="20"/>
                <w:szCs w:val="20"/>
              </w:rPr>
            </w:pPr>
            <w:r>
              <w:rPr>
                <w:color w:val="000000"/>
                <w:sz w:val="20"/>
                <w:szCs w:val="20"/>
              </w:rPr>
              <w:t>45,733</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6E159BD3"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4E07E277"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1F87CFF7" w14:textId="77777777" w:rsidR="008F3E8B" w:rsidRPr="00212B8B" w:rsidRDefault="008F3E8B" w:rsidP="003E5A31">
            <w:pPr>
              <w:rPr>
                <w:color w:val="000000"/>
                <w:sz w:val="20"/>
                <w:szCs w:val="20"/>
              </w:rPr>
            </w:pPr>
            <w:r w:rsidRPr="00212B8B">
              <w:rPr>
                <w:color w:val="000000"/>
                <w:sz w:val="20"/>
                <w:szCs w:val="20"/>
              </w:rPr>
              <w:t> </w:t>
            </w:r>
          </w:p>
        </w:tc>
        <w:tc>
          <w:tcPr>
            <w:tcW w:w="450" w:type="pct"/>
            <w:tcBorders>
              <w:bottom w:val="single" w:sz="6" w:space="0" w:color="000000"/>
            </w:tcBorders>
            <w:shd w:val="clear" w:color="auto" w:fill="auto"/>
            <w:tcMar>
              <w:top w:w="0" w:type="dxa"/>
              <w:left w:w="0" w:type="dxa"/>
              <w:bottom w:w="8" w:type="dxa"/>
              <w:right w:w="0" w:type="dxa"/>
            </w:tcMar>
            <w:vAlign w:val="bottom"/>
            <w:hideMark/>
          </w:tcPr>
          <w:p w14:paraId="3841FD50" w14:textId="75AF7199" w:rsidR="008F3E8B" w:rsidRPr="00212B8B" w:rsidRDefault="006A4F31" w:rsidP="003E5A31">
            <w:pPr>
              <w:jc w:val="right"/>
              <w:rPr>
                <w:color w:val="000000"/>
                <w:sz w:val="20"/>
                <w:szCs w:val="20"/>
              </w:rPr>
            </w:pPr>
            <w:r>
              <w:rPr>
                <w:color w:val="000000"/>
                <w:sz w:val="20"/>
                <w:szCs w:val="20"/>
              </w:rPr>
              <w:t>14,960</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569FC3F2"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4A2D0B9B"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3D231A57" w14:textId="77777777" w:rsidR="008F3E8B" w:rsidRPr="00212B8B" w:rsidRDefault="008F3E8B" w:rsidP="003E5A31">
            <w:pPr>
              <w:rPr>
                <w:color w:val="000000"/>
                <w:sz w:val="20"/>
                <w:szCs w:val="20"/>
              </w:rPr>
            </w:pPr>
            <w:r w:rsidRPr="00212B8B">
              <w:rPr>
                <w:color w:val="000000"/>
                <w:sz w:val="20"/>
                <w:szCs w:val="20"/>
              </w:rPr>
              <w:t> </w:t>
            </w:r>
          </w:p>
        </w:tc>
        <w:tc>
          <w:tcPr>
            <w:tcW w:w="450" w:type="pct"/>
            <w:tcBorders>
              <w:bottom w:val="single" w:sz="6" w:space="0" w:color="000000"/>
            </w:tcBorders>
            <w:shd w:val="clear" w:color="auto" w:fill="auto"/>
            <w:tcMar>
              <w:top w:w="0" w:type="dxa"/>
              <w:left w:w="0" w:type="dxa"/>
              <w:bottom w:w="8" w:type="dxa"/>
              <w:right w:w="0" w:type="dxa"/>
            </w:tcMar>
            <w:vAlign w:val="bottom"/>
            <w:hideMark/>
          </w:tcPr>
          <w:p w14:paraId="06B65E11" w14:textId="5D86B612" w:rsidR="008F3E8B" w:rsidRPr="00212B8B" w:rsidRDefault="00233E8A" w:rsidP="003E5A31">
            <w:pPr>
              <w:jc w:val="right"/>
              <w:rPr>
                <w:color w:val="000000"/>
                <w:sz w:val="20"/>
                <w:szCs w:val="20"/>
              </w:rPr>
            </w:pPr>
            <w:r>
              <w:rPr>
                <w:color w:val="000000"/>
                <w:sz w:val="20"/>
                <w:szCs w:val="20"/>
              </w:rPr>
              <w:t>20,600</w:t>
            </w:r>
          </w:p>
        </w:tc>
        <w:tc>
          <w:tcPr>
            <w:tcW w:w="50" w:type="pct"/>
            <w:shd w:val="clear" w:color="auto" w:fill="auto"/>
            <w:tcMar>
              <w:top w:w="0" w:type="dxa"/>
              <w:left w:w="0" w:type="dxa"/>
              <w:bottom w:w="15" w:type="dxa"/>
              <w:right w:w="0" w:type="dxa"/>
            </w:tcMar>
            <w:vAlign w:val="bottom"/>
            <w:hideMark/>
          </w:tcPr>
          <w:p w14:paraId="1D435937" w14:textId="77777777" w:rsidR="008F3E8B" w:rsidRPr="00212B8B" w:rsidRDefault="008F3E8B" w:rsidP="003E5A31">
            <w:pPr>
              <w:rPr>
                <w:color w:val="000000"/>
                <w:sz w:val="20"/>
                <w:szCs w:val="20"/>
              </w:rPr>
            </w:pPr>
            <w:r w:rsidRPr="00212B8B">
              <w:rPr>
                <w:color w:val="000000"/>
                <w:sz w:val="20"/>
                <w:szCs w:val="20"/>
              </w:rPr>
              <w:t> </w:t>
            </w:r>
          </w:p>
        </w:tc>
      </w:tr>
      <w:tr w:rsidR="008F3E8B" w:rsidRPr="00212B8B" w14:paraId="412287B0"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2ABBFE25" w14:textId="77777777" w:rsidR="008F3E8B" w:rsidRPr="00212B8B" w:rsidRDefault="008F3E8B" w:rsidP="003E5A31">
            <w:pPr>
              <w:rPr>
                <w:color w:val="000000"/>
                <w:sz w:val="20"/>
                <w:szCs w:val="20"/>
              </w:rPr>
            </w:pPr>
            <w:r w:rsidRPr="00212B8B">
              <w:rPr>
                <w:color w:val="000000"/>
                <w:sz w:val="20"/>
                <w:szCs w:val="20"/>
              </w:rPr>
              <w:t>Total stock-based compensation expense</w:t>
            </w:r>
          </w:p>
        </w:tc>
        <w:tc>
          <w:tcPr>
            <w:tcW w:w="50" w:type="pct"/>
            <w:shd w:val="clear" w:color="auto" w:fill="auto"/>
            <w:tcMar>
              <w:top w:w="0" w:type="dxa"/>
              <w:left w:w="0" w:type="dxa"/>
              <w:bottom w:w="0" w:type="dxa"/>
              <w:right w:w="0" w:type="dxa"/>
            </w:tcMar>
            <w:vAlign w:val="bottom"/>
            <w:hideMark/>
          </w:tcPr>
          <w:p w14:paraId="0911AE35"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0654D5CA" w14:textId="77777777" w:rsidR="008F3E8B" w:rsidRPr="00212B8B" w:rsidRDefault="008F3E8B" w:rsidP="003E5A31">
            <w:pPr>
              <w:rPr>
                <w:color w:val="000000"/>
                <w:sz w:val="20"/>
                <w:szCs w:val="20"/>
              </w:rPr>
            </w:pPr>
            <w:r w:rsidRPr="00212B8B">
              <w:rPr>
                <w:color w:val="000000"/>
                <w:sz w:val="20"/>
                <w:szCs w:val="20"/>
              </w:rPr>
              <w:t>$</w:t>
            </w:r>
          </w:p>
        </w:tc>
        <w:tc>
          <w:tcPr>
            <w:tcW w:w="450" w:type="pct"/>
            <w:tcBorders>
              <w:bottom w:val="double" w:sz="6" w:space="0" w:color="000000"/>
            </w:tcBorders>
            <w:shd w:val="clear" w:color="auto" w:fill="auto"/>
            <w:tcMar>
              <w:top w:w="0" w:type="dxa"/>
              <w:left w:w="0" w:type="dxa"/>
              <w:bottom w:w="22" w:type="dxa"/>
              <w:right w:w="0" w:type="dxa"/>
            </w:tcMar>
            <w:vAlign w:val="bottom"/>
            <w:hideMark/>
          </w:tcPr>
          <w:p w14:paraId="7F9A5223" w14:textId="0687F088" w:rsidR="008F3E8B" w:rsidRPr="00212B8B" w:rsidRDefault="006A4F31" w:rsidP="003E5A31">
            <w:pPr>
              <w:jc w:val="right"/>
              <w:rPr>
                <w:color w:val="000000"/>
                <w:sz w:val="20"/>
                <w:szCs w:val="20"/>
              </w:rPr>
            </w:pPr>
            <w:r>
              <w:rPr>
                <w:color w:val="000000"/>
                <w:sz w:val="20"/>
                <w:szCs w:val="20"/>
              </w:rPr>
              <w:t>369,987</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5E4E0BEA"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732BEBF1"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770777E1" w14:textId="77777777" w:rsidR="008F3E8B" w:rsidRPr="00212B8B" w:rsidRDefault="008F3E8B" w:rsidP="003E5A31">
            <w:pPr>
              <w:rPr>
                <w:color w:val="000000"/>
                <w:sz w:val="20"/>
                <w:szCs w:val="20"/>
              </w:rPr>
            </w:pPr>
            <w:r w:rsidRPr="00212B8B">
              <w:rPr>
                <w:color w:val="000000"/>
                <w:sz w:val="20"/>
                <w:szCs w:val="20"/>
              </w:rPr>
              <w:t>$</w:t>
            </w:r>
          </w:p>
        </w:tc>
        <w:tc>
          <w:tcPr>
            <w:tcW w:w="450" w:type="pct"/>
            <w:tcBorders>
              <w:bottom w:val="double" w:sz="6" w:space="0" w:color="000000"/>
            </w:tcBorders>
            <w:shd w:val="clear" w:color="auto" w:fill="auto"/>
            <w:tcMar>
              <w:top w:w="0" w:type="dxa"/>
              <w:left w:w="0" w:type="dxa"/>
              <w:bottom w:w="22" w:type="dxa"/>
              <w:right w:w="0" w:type="dxa"/>
            </w:tcMar>
            <w:vAlign w:val="bottom"/>
            <w:hideMark/>
          </w:tcPr>
          <w:p w14:paraId="748EF257" w14:textId="6FB2C6B5" w:rsidR="008F3E8B" w:rsidRPr="00212B8B" w:rsidRDefault="006A4F31" w:rsidP="003E5A31">
            <w:pPr>
              <w:jc w:val="right"/>
              <w:rPr>
                <w:color w:val="000000"/>
                <w:sz w:val="20"/>
                <w:szCs w:val="20"/>
              </w:rPr>
            </w:pPr>
            <w:r>
              <w:rPr>
                <w:color w:val="000000"/>
                <w:sz w:val="20"/>
                <w:szCs w:val="20"/>
              </w:rPr>
              <w:t>64,463</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2AF3DA55"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680BC9EA"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274E0A73" w14:textId="77777777" w:rsidR="008F3E8B" w:rsidRPr="00212B8B" w:rsidRDefault="008F3E8B" w:rsidP="003E5A31">
            <w:pPr>
              <w:rPr>
                <w:color w:val="000000"/>
                <w:sz w:val="20"/>
                <w:szCs w:val="20"/>
              </w:rPr>
            </w:pPr>
            <w:r w:rsidRPr="00212B8B">
              <w:rPr>
                <w:color w:val="000000"/>
                <w:sz w:val="20"/>
                <w:szCs w:val="20"/>
              </w:rPr>
              <w:t>$</w:t>
            </w:r>
          </w:p>
        </w:tc>
        <w:tc>
          <w:tcPr>
            <w:tcW w:w="450" w:type="pct"/>
            <w:tcBorders>
              <w:bottom w:val="double" w:sz="6" w:space="0" w:color="000000"/>
            </w:tcBorders>
            <w:shd w:val="clear" w:color="auto" w:fill="auto"/>
            <w:tcMar>
              <w:top w:w="0" w:type="dxa"/>
              <w:left w:w="0" w:type="dxa"/>
              <w:bottom w:w="22" w:type="dxa"/>
              <w:right w:w="0" w:type="dxa"/>
            </w:tcMar>
            <w:vAlign w:val="bottom"/>
            <w:hideMark/>
          </w:tcPr>
          <w:p w14:paraId="77F39B97" w14:textId="150AA031" w:rsidR="008F3E8B" w:rsidRPr="00212B8B" w:rsidRDefault="006A4F31" w:rsidP="003E5A31">
            <w:pPr>
              <w:jc w:val="right"/>
              <w:rPr>
                <w:color w:val="000000"/>
                <w:sz w:val="20"/>
                <w:szCs w:val="20"/>
              </w:rPr>
            </w:pPr>
            <w:r>
              <w:rPr>
                <w:color w:val="000000"/>
                <w:sz w:val="20"/>
                <w:szCs w:val="20"/>
              </w:rPr>
              <w:t>205,151</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57A4EA70"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6CC2AAD1"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032015DB" w14:textId="77777777" w:rsidR="008F3E8B" w:rsidRPr="00212B8B" w:rsidRDefault="008F3E8B" w:rsidP="003E5A31">
            <w:pPr>
              <w:rPr>
                <w:color w:val="000000"/>
                <w:sz w:val="20"/>
                <w:szCs w:val="20"/>
              </w:rPr>
            </w:pPr>
            <w:r w:rsidRPr="00212B8B">
              <w:rPr>
                <w:color w:val="000000"/>
                <w:sz w:val="20"/>
                <w:szCs w:val="20"/>
              </w:rPr>
              <w:t>$</w:t>
            </w:r>
          </w:p>
        </w:tc>
        <w:tc>
          <w:tcPr>
            <w:tcW w:w="450" w:type="pct"/>
            <w:tcBorders>
              <w:bottom w:val="double" w:sz="6" w:space="0" w:color="000000"/>
            </w:tcBorders>
            <w:shd w:val="clear" w:color="auto" w:fill="auto"/>
            <w:tcMar>
              <w:top w:w="0" w:type="dxa"/>
              <w:left w:w="0" w:type="dxa"/>
              <w:bottom w:w="22" w:type="dxa"/>
              <w:right w:w="0" w:type="dxa"/>
            </w:tcMar>
            <w:vAlign w:val="bottom"/>
            <w:hideMark/>
          </w:tcPr>
          <w:p w14:paraId="00F324D7" w14:textId="2F1933B7" w:rsidR="008F3E8B" w:rsidRPr="00212B8B" w:rsidRDefault="00233E8A" w:rsidP="003E5A31">
            <w:pPr>
              <w:jc w:val="right"/>
              <w:rPr>
                <w:color w:val="000000"/>
                <w:sz w:val="20"/>
                <w:szCs w:val="20"/>
              </w:rPr>
            </w:pPr>
            <w:r>
              <w:rPr>
                <w:color w:val="000000"/>
                <w:sz w:val="20"/>
                <w:szCs w:val="20"/>
              </w:rPr>
              <w:t>76,790</w:t>
            </w:r>
          </w:p>
        </w:tc>
        <w:tc>
          <w:tcPr>
            <w:tcW w:w="50" w:type="pct"/>
            <w:shd w:val="clear" w:color="auto" w:fill="auto"/>
            <w:tcMar>
              <w:top w:w="0" w:type="dxa"/>
              <w:left w:w="0" w:type="dxa"/>
              <w:bottom w:w="45" w:type="dxa"/>
              <w:right w:w="0" w:type="dxa"/>
            </w:tcMar>
            <w:vAlign w:val="bottom"/>
            <w:hideMark/>
          </w:tcPr>
          <w:p w14:paraId="0AD8FB04" w14:textId="77777777" w:rsidR="008F3E8B" w:rsidRPr="00212B8B" w:rsidRDefault="008F3E8B" w:rsidP="003E5A31">
            <w:pPr>
              <w:rPr>
                <w:color w:val="000000"/>
                <w:sz w:val="20"/>
                <w:szCs w:val="20"/>
              </w:rPr>
            </w:pPr>
            <w:r w:rsidRPr="00212B8B">
              <w:rPr>
                <w:color w:val="000000"/>
                <w:sz w:val="20"/>
                <w:szCs w:val="20"/>
              </w:rPr>
              <w:t> </w:t>
            </w:r>
          </w:p>
        </w:tc>
      </w:tr>
    </w:tbl>
    <w:p w14:paraId="364A9E12" w14:textId="12D413E4" w:rsidR="006A4F31" w:rsidRDefault="006A4F31" w:rsidP="006A4F31">
      <w:pPr>
        <w:ind w:left="144"/>
        <w:rPr>
          <w:sz w:val="20"/>
          <w:szCs w:val="20"/>
        </w:rPr>
      </w:pPr>
    </w:p>
    <w:p w14:paraId="09CC5568" w14:textId="77777777" w:rsidR="00233E8A" w:rsidRPr="00233E8A" w:rsidRDefault="00233E8A" w:rsidP="00233E8A">
      <w:pPr>
        <w:ind w:firstLine="720"/>
        <w:rPr>
          <w:color w:val="000000"/>
          <w:sz w:val="20"/>
          <w:szCs w:val="20"/>
        </w:rPr>
      </w:pPr>
      <w:r w:rsidRPr="00233E8A">
        <w:rPr>
          <w:color w:val="000000"/>
          <w:sz w:val="20"/>
          <w:szCs w:val="20"/>
        </w:rPr>
        <w:t>Our stock option grants to employees generally vest over a three-year period from the date of grant. For members of our Board of Directors the vesting period is one year, effective with grants made during 2021. Stock-based compensation expense is recognized on a straight-line basis over the requisite vesting period for stock option grants or service period for stock awards to consultants.</w:t>
      </w:r>
      <w:r w:rsidRPr="00233E8A">
        <w:rPr>
          <w:sz w:val="20"/>
          <w:szCs w:val="20"/>
        </w:rPr>
        <w:t xml:space="preserve"> Such expense is allocated to research and development expense or general and administrative expense according to the classification the employee, consultant or director to whom the stock compensation was granted.</w:t>
      </w:r>
    </w:p>
    <w:p w14:paraId="1ECADABE" w14:textId="77777777" w:rsidR="00233E8A" w:rsidRDefault="00233E8A" w:rsidP="00233E8A">
      <w:pPr>
        <w:rPr>
          <w:sz w:val="20"/>
          <w:szCs w:val="20"/>
        </w:rPr>
      </w:pPr>
    </w:p>
    <w:p w14:paraId="5CF190A6" w14:textId="3707C398" w:rsidR="006A4F31" w:rsidRDefault="006A4F31" w:rsidP="006A4F31">
      <w:pPr>
        <w:ind w:firstLine="720"/>
        <w:rPr>
          <w:sz w:val="20"/>
          <w:szCs w:val="20"/>
        </w:rPr>
      </w:pPr>
      <w:r w:rsidRPr="006A4F31">
        <w:rPr>
          <w:sz w:val="20"/>
          <w:szCs w:val="20"/>
        </w:rPr>
        <w:t>As a result of the reverse stock splits enacted in April 2019 and in January 2020, we made adjustments and retroactive restatements to all of our outstanding stock options such that the balances in January 2020 were negligible. We therefore recorded no stock-based compensation expense related to our stock option plan for the majority of 2020.  We re-initiated employee stock option grants in December 2020 and recorded a proportionate amount of expense for the year ended December 31, 2020.</w:t>
      </w:r>
    </w:p>
    <w:p w14:paraId="3FE76C4B" w14:textId="2C325D6D" w:rsidR="00233E8A" w:rsidRDefault="00233E8A" w:rsidP="006A4F31">
      <w:pPr>
        <w:ind w:firstLine="720"/>
        <w:rPr>
          <w:sz w:val="20"/>
          <w:szCs w:val="20"/>
        </w:rPr>
      </w:pPr>
    </w:p>
    <w:p w14:paraId="0533CBE6" w14:textId="77777777" w:rsidR="00233E8A" w:rsidRPr="00233E8A" w:rsidRDefault="00233E8A" w:rsidP="00233E8A">
      <w:pPr>
        <w:ind w:firstLine="720"/>
        <w:rPr>
          <w:sz w:val="20"/>
          <w:szCs w:val="20"/>
        </w:rPr>
      </w:pPr>
      <w:r w:rsidRPr="00233E8A">
        <w:rPr>
          <w:sz w:val="20"/>
          <w:szCs w:val="20"/>
        </w:rPr>
        <w:t xml:space="preserve">Stock option expense increased by $134,001 for </w:t>
      </w:r>
      <w:bookmarkStart w:id="35" w:name="_Hlk100652311"/>
      <w:r w:rsidRPr="00233E8A">
        <w:rPr>
          <w:sz w:val="20"/>
          <w:szCs w:val="20"/>
        </w:rPr>
        <w:t xml:space="preserve">the three-month period ended March 31, 2022 </w:t>
      </w:r>
      <w:bookmarkEnd w:id="35"/>
      <w:r w:rsidRPr="00233E8A">
        <w:rPr>
          <w:sz w:val="20"/>
          <w:szCs w:val="20"/>
        </w:rPr>
        <w:t>versus the 2021 comparable period. The increase is primarily due to the prorated expense associated with the 2021 year-end stock option grants. As of March 31, 2022, there is $1,229,953 of unrecognized expense related to stock options that we expect to recognize over a weighted-average period of 2.1 years.</w:t>
      </w:r>
    </w:p>
    <w:p w14:paraId="5F1AA270" w14:textId="4B7C5AFD" w:rsidR="008F3E8B" w:rsidRPr="00212B8B" w:rsidRDefault="008F3E8B" w:rsidP="00233E8A">
      <w:pPr>
        <w:rPr>
          <w:sz w:val="20"/>
          <w:szCs w:val="20"/>
        </w:rPr>
      </w:pPr>
    </w:p>
    <w:p w14:paraId="1BD68DD6" w14:textId="77777777" w:rsidR="008F3E8B" w:rsidRPr="00212B8B" w:rsidRDefault="008F3E8B" w:rsidP="003E5A31">
      <w:pPr>
        <w:rPr>
          <w:sz w:val="20"/>
          <w:szCs w:val="20"/>
        </w:rPr>
      </w:pPr>
      <w:r w:rsidRPr="00212B8B">
        <w:rPr>
          <w:i/>
          <w:iCs/>
          <w:sz w:val="20"/>
          <w:szCs w:val="20"/>
        </w:rPr>
        <w:t>Other Income (Expense)</w:t>
      </w:r>
    </w:p>
    <w:p w14:paraId="59F781EB" w14:textId="77777777" w:rsidR="00233E8A" w:rsidRDefault="00233E8A" w:rsidP="00233E8A">
      <w:pPr>
        <w:rPr>
          <w:sz w:val="20"/>
          <w:szCs w:val="20"/>
        </w:rPr>
      </w:pPr>
    </w:p>
    <w:p w14:paraId="441646A6" w14:textId="4768F1AA" w:rsidR="00233E8A" w:rsidRPr="00233E8A" w:rsidRDefault="00233E8A" w:rsidP="00233E8A">
      <w:pPr>
        <w:ind w:firstLine="720"/>
        <w:rPr>
          <w:sz w:val="20"/>
          <w:szCs w:val="20"/>
        </w:rPr>
      </w:pPr>
      <w:r w:rsidRPr="00233E8A">
        <w:rPr>
          <w:sz w:val="20"/>
          <w:szCs w:val="20"/>
        </w:rPr>
        <w:t xml:space="preserve">Interest income was $4,736 and $2,271 for the years ended December 31, 2021 and 2020, respectively. </w:t>
      </w:r>
      <w:r w:rsidR="00DF722D" w:rsidRPr="00233E8A">
        <w:rPr>
          <w:sz w:val="20"/>
          <w:szCs w:val="20"/>
        </w:rPr>
        <w:t xml:space="preserve">Interest income for the three-month periods ended March 31, 2022 and 2021 was $527 and $2,053, respectively. </w:t>
      </w:r>
      <w:r w:rsidRPr="00233E8A">
        <w:rPr>
          <w:sz w:val="20"/>
          <w:szCs w:val="20"/>
        </w:rPr>
        <w:t>The variances between years are primarily attributable to the cash available for investment and to interest rate fluctuations.</w:t>
      </w:r>
    </w:p>
    <w:p w14:paraId="25A13149" w14:textId="77777777" w:rsidR="00233E8A" w:rsidRPr="00233E8A" w:rsidRDefault="00233E8A" w:rsidP="00233E8A">
      <w:pPr>
        <w:rPr>
          <w:sz w:val="20"/>
          <w:szCs w:val="20"/>
        </w:rPr>
      </w:pPr>
    </w:p>
    <w:p w14:paraId="33EC9556" w14:textId="03BAEDEC" w:rsidR="00233E8A" w:rsidRPr="00233E8A" w:rsidRDefault="00233E8A" w:rsidP="00DF722D">
      <w:pPr>
        <w:ind w:firstLine="720"/>
        <w:rPr>
          <w:sz w:val="20"/>
          <w:szCs w:val="20"/>
        </w:rPr>
      </w:pPr>
      <w:r w:rsidRPr="00233E8A">
        <w:rPr>
          <w:sz w:val="20"/>
          <w:szCs w:val="20"/>
        </w:rPr>
        <w:t>Interest expense was $1,286 and $143,524 for the years ended December 31, 2021 and 2020, respectively. Interest expense for 2021 relates to the GRA Note and PPP Loan, and for 2020 relates to the GRA Note, PPP loan, financing</w:t>
      </w:r>
      <w:r>
        <w:rPr>
          <w:sz w:val="20"/>
          <w:szCs w:val="20"/>
        </w:rPr>
        <w:t xml:space="preserve"> </w:t>
      </w:r>
      <w:r w:rsidRPr="00233E8A">
        <w:rPr>
          <w:sz w:val="20"/>
          <w:szCs w:val="20"/>
        </w:rPr>
        <w:t>costs associated with insurance premiums, and convertible debentures which were retired during 2020.</w:t>
      </w:r>
      <w:r w:rsidR="00DF722D" w:rsidRPr="00DF722D">
        <w:rPr>
          <w:sz w:val="20"/>
          <w:szCs w:val="20"/>
        </w:rPr>
        <w:t xml:space="preserve"> </w:t>
      </w:r>
      <w:r w:rsidR="00DF722D" w:rsidRPr="00233E8A">
        <w:rPr>
          <w:sz w:val="20"/>
          <w:szCs w:val="20"/>
        </w:rPr>
        <w:t>Interest expense for the three-month periods ended March 31, 2022 and 2021 was $-0- and $755, respectively.</w:t>
      </w:r>
    </w:p>
    <w:p w14:paraId="1629D997" w14:textId="77777777" w:rsidR="00233E8A" w:rsidRPr="00233E8A" w:rsidRDefault="00233E8A" w:rsidP="00233E8A">
      <w:pPr>
        <w:rPr>
          <w:sz w:val="20"/>
          <w:szCs w:val="20"/>
        </w:rPr>
      </w:pPr>
    </w:p>
    <w:p w14:paraId="5E8D250F" w14:textId="77777777" w:rsidR="00233E8A" w:rsidRPr="00233E8A" w:rsidRDefault="00233E8A" w:rsidP="00233E8A">
      <w:pPr>
        <w:ind w:firstLine="720"/>
        <w:rPr>
          <w:sz w:val="20"/>
          <w:szCs w:val="20"/>
        </w:rPr>
      </w:pPr>
      <w:r w:rsidRPr="00233E8A">
        <w:rPr>
          <w:sz w:val="20"/>
          <w:szCs w:val="20"/>
        </w:rPr>
        <w:t>During 2021, we recorded a $172,056 gain on debt extinguishment associated with the forgiveness of the PPP loan principal and accrued interest.</w:t>
      </w:r>
    </w:p>
    <w:p w14:paraId="492EAC5C" w14:textId="77777777" w:rsidR="008F3E8B" w:rsidRPr="00212B8B" w:rsidRDefault="006D77A9" w:rsidP="003E5A31">
      <w:pPr>
        <w:ind w:left="144"/>
        <w:rPr>
          <w:sz w:val="20"/>
          <w:szCs w:val="20"/>
        </w:rPr>
      </w:pPr>
      <w:r w:rsidRPr="00212B8B">
        <w:rPr>
          <w:sz w:val="20"/>
          <w:szCs w:val="20"/>
        </w:rPr>
        <w:t> </w:t>
      </w:r>
      <w:r w:rsidR="008F3E8B" w:rsidRPr="00212B8B">
        <w:rPr>
          <w:sz w:val="20"/>
          <w:szCs w:val="20"/>
        </w:rPr>
        <w:t> </w:t>
      </w:r>
    </w:p>
    <w:p w14:paraId="1E971D64" w14:textId="77777777" w:rsidR="008F3E8B" w:rsidRPr="00212B8B" w:rsidRDefault="008F3E8B" w:rsidP="003E5A31">
      <w:pPr>
        <w:rPr>
          <w:sz w:val="20"/>
          <w:szCs w:val="20"/>
        </w:rPr>
      </w:pPr>
      <w:r w:rsidRPr="00212B8B">
        <w:rPr>
          <w:b/>
          <w:bCs/>
          <w:sz w:val="20"/>
          <w:szCs w:val="20"/>
        </w:rPr>
        <w:t>Liquidity and Capital Resources</w:t>
      </w:r>
    </w:p>
    <w:p w14:paraId="264F423F" w14:textId="77777777" w:rsidR="008F3E8B" w:rsidRPr="00212B8B" w:rsidRDefault="008F3E8B" w:rsidP="003E5A31">
      <w:pPr>
        <w:ind w:left="144"/>
        <w:rPr>
          <w:sz w:val="20"/>
          <w:szCs w:val="20"/>
        </w:rPr>
      </w:pPr>
      <w:r w:rsidRPr="00212B8B">
        <w:rPr>
          <w:sz w:val="20"/>
          <w:szCs w:val="20"/>
        </w:rPr>
        <w:t> </w:t>
      </w:r>
    </w:p>
    <w:p w14:paraId="49AD3836" w14:textId="3504BF47" w:rsidR="008F3E8B" w:rsidRPr="00212B8B" w:rsidRDefault="008F3E8B" w:rsidP="004F0831">
      <w:pPr>
        <w:ind w:firstLine="720"/>
        <w:rPr>
          <w:sz w:val="20"/>
          <w:szCs w:val="20"/>
        </w:rPr>
      </w:pPr>
      <w:r w:rsidRPr="00212B8B">
        <w:rPr>
          <w:sz w:val="20"/>
          <w:szCs w:val="20"/>
        </w:rPr>
        <w:t xml:space="preserve">From inception through </w:t>
      </w:r>
      <w:r w:rsidR="00542129">
        <w:rPr>
          <w:sz w:val="20"/>
          <w:szCs w:val="20"/>
        </w:rPr>
        <w:t>March</w:t>
      </w:r>
      <w:r w:rsidRPr="00212B8B">
        <w:rPr>
          <w:sz w:val="20"/>
          <w:szCs w:val="20"/>
        </w:rPr>
        <w:t xml:space="preserve"> 3</w:t>
      </w:r>
      <w:r w:rsidR="00542129">
        <w:rPr>
          <w:sz w:val="20"/>
          <w:szCs w:val="20"/>
        </w:rPr>
        <w:t>1</w:t>
      </w:r>
      <w:r w:rsidRPr="00212B8B">
        <w:rPr>
          <w:sz w:val="20"/>
          <w:szCs w:val="20"/>
        </w:rPr>
        <w:t>, 202</w:t>
      </w:r>
      <w:r w:rsidR="00542129">
        <w:rPr>
          <w:sz w:val="20"/>
          <w:szCs w:val="20"/>
        </w:rPr>
        <w:t>2</w:t>
      </w:r>
      <w:r w:rsidRPr="00212B8B">
        <w:rPr>
          <w:sz w:val="20"/>
          <w:szCs w:val="20"/>
        </w:rPr>
        <w:t>, we have accumulated net losses of approximately $</w:t>
      </w:r>
      <w:r w:rsidR="00542129">
        <w:rPr>
          <w:sz w:val="20"/>
          <w:szCs w:val="20"/>
        </w:rPr>
        <w:t>66.8</w:t>
      </w:r>
      <w:r w:rsidRPr="00212B8B">
        <w:rPr>
          <w:sz w:val="20"/>
          <w:szCs w:val="20"/>
        </w:rPr>
        <w:t xml:space="preserve"> million and we expect to incur operating losses and generate negative cash flows from operations for the foreseeable future. We have funded our operations to date primarily from sales of our equity securities and from government grants and clinical trial assistance.</w:t>
      </w:r>
    </w:p>
    <w:p w14:paraId="15525AD8" w14:textId="77777777" w:rsidR="008F3E8B" w:rsidRPr="00212B8B" w:rsidRDefault="008F3E8B" w:rsidP="004F0831">
      <w:pPr>
        <w:ind w:left="144"/>
        <w:rPr>
          <w:sz w:val="20"/>
          <w:szCs w:val="20"/>
        </w:rPr>
      </w:pPr>
      <w:r w:rsidRPr="00212B8B">
        <w:rPr>
          <w:sz w:val="20"/>
          <w:szCs w:val="20"/>
        </w:rPr>
        <w:t> </w:t>
      </w:r>
    </w:p>
    <w:p w14:paraId="1373C12D" w14:textId="7F83A734" w:rsidR="008F3E8B" w:rsidRPr="00212B8B" w:rsidRDefault="008F3E8B" w:rsidP="004F0831">
      <w:pPr>
        <w:ind w:firstLine="720"/>
        <w:rPr>
          <w:sz w:val="20"/>
          <w:szCs w:val="20"/>
        </w:rPr>
      </w:pPr>
      <w:r w:rsidRPr="00212B8B">
        <w:rPr>
          <w:sz w:val="20"/>
          <w:szCs w:val="20"/>
        </w:rPr>
        <w:t xml:space="preserve">The following tables summarize our liquidity and capital resources as of </w:t>
      </w:r>
      <w:r w:rsidR="008B30D7">
        <w:rPr>
          <w:sz w:val="20"/>
          <w:szCs w:val="20"/>
        </w:rPr>
        <w:t>March</w:t>
      </w:r>
      <w:r w:rsidRPr="00212B8B">
        <w:rPr>
          <w:sz w:val="20"/>
          <w:szCs w:val="20"/>
        </w:rPr>
        <w:t xml:space="preserve"> 3</w:t>
      </w:r>
      <w:r w:rsidR="008B30D7">
        <w:rPr>
          <w:sz w:val="20"/>
          <w:szCs w:val="20"/>
        </w:rPr>
        <w:t>1</w:t>
      </w:r>
      <w:r w:rsidRPr="00212B8B">
        <w:rPr>
          <w:sz w:val="20"/>
          <w:szCs w:val="20"/>
        </w:rPr>
        <w:t>, 202</w:t>
      </w:r>
      <w:r w:rsidR="008B30D7">
        <w:rPr>
          <w:sz w:val="20"/>
          <w:szCs w:val="20"/>
        </w:rPr>
        <w:t>2</w:t>
      </w:r>
      <w:r w:rsidRPr="00212B8B">
        <w:rPr>
          <w:sz w:val="20"/>
          <w:szCs w:val="20"/>
        </w:rPr>
        <w:t xml:space="preserve"> and December 31, 202</w:t>
      </w:r>
      <w:r w:rsidR="008B30D7">
        <w:rPr>
          <w:sz w:val="20"/>
          <w:szCs w:val="20"/>
        </w:rPr>
        <w:t>1</w:t>
      </w:r>
      <w:r w:rsidR="006D77A9" w:rsidRPr="00212B8B">
        <w:rPr>
          <w:sz w:val="20"/>
          <w:szCs w:val="20"/>
        </w:rPr>
        <w:t xml:space="preserve"> and 20</w:t>
      </w:r>
      <w:r w:rsidR="008B30D7">
        <w:rPr>
          <w:sz w:val="20"/>
          <w:szCs w:val="20"/>
        </w:rPr>
        <w:t>20</w:t>
      </w:r>
      <w:r w:rsidRPr="00212B8B">
        <w:rPr>
          <w:sz w:val="20"/>
          <w:szCs w:val="20"/>
        </w:rPr>
        <w:t xml:space="preserve">, and our cash flows for the </w:t>
      </w:r>
      <w:r w:rsidR="006D77A9" w:rsidRPr="00212B8B">
        <w:rPr>
          <w:sz w:val="20"/>
          <w:szCs w:val="20"/>
        </w:rPr>
        <w:t>years ended December 31, 202</w:t>
      </w:r>
      <w:r w:rsidR="008B30D7">
        <w:rPr>
          <w:sz w:val="20"/>
          <w:szCs w:val="20"/>
        </w:rPr>
        <w:t>1</w:t>
      </w:r>
      <w:r w:rsidR="006D77A9" w:rsidRPr="00212B8B">
        <w:rPr>
          <w:sz w:val="20"/>
          <w:szCs w:val="20"/>
        </w:rPr>
        <w:t xml:space="preserve"> and 20</w:t>
      </w:r>
      <w:r w:rsidR="008B30D7">
        <w:rPr>
          <w:sz w:val="20"/>
          <w:szCs w:val="20"/>
        </w:rPr>
        <w:t>20 and the</w:t>
      </w:r>
      <w:r w:rsidR="006D77A9" w:rsidRPr="00212B8B">
        <w:rPr>
          <w:sz w:val="20"/>
          <w:szCs w:val="20"/>
        </w:rPr>
        <w:t xml:space="preserve"> </w:t>
      </w:r>
      <w:r w:rsidR="008B30D7">
        <w:rPr>
          <w:sz w:val="20"/>
          <w:szCs w:val="20"/>
        </w:rPr>
        <w:t>three</w:t>
      </w:r>
      <w:r w:rsidRPr="00212B8B">
        <w:rPr>
          <w:sz w:val="20"/>
          <w:szCs w:val="20"/>
        </w:rPr>
        <w:t xml:space="preserve">-month periods ended </w:t>
      </w:r>
      <w:r w:rsidR="008B30D7">
        <w:rPr>
          <w:sz w:val="20"/>
          <w:szCs w:val="20"/>
        </w:rPr>
        <w:t>March</w:t>
      </w:r>
      <w:r w:rsidRPr="00212B8B">
        <w:rPr>
          <w:sz w:val="20"/>
          <w:szCs w:val="20"/>
        </w:rPr>
        <w:t xml:space="preserve"> 3</w:t>
      </w:r>
      <w:r w:rsidR="008B30D7">
        <w:rPr>
          <w:sz w:val="20"/>
          <w:szCs w:val="20"/>
        </w:rPr>
        <w:t>1</w:t>
      </w:r>
      <w:r w:rsidRPr="00212B8B">
        <w:rPr>
          <w:sz w:val="20"/>
          <w:szCs w:val="20"/>
        </w:rPr>
        <w:t>, 202</w:t>
      </w:r>
      <w:r w:rsidR="008B30D7">
        <w:rPr>
          <w:sz w:val="20"/>
          <w:szCs w:val="20"/>
        </w:rPr>
        <w:t>2</w:t>
      </w:r>
      <w:r w:rsidRPr="00212B8B">
        <w:rPr>
          <w:sz w:val="20"/>
          <w:szCs w:val="20"/>
        </w:rPr>
        <w:t xml:space="preserve"> and 202</w:t>
      </w:r>
      <w:r w:rsidR="008B30D7">
        <w:rPr>
          <w:sz w:val="20"/>
          <w:szCs w:val="20"/>
        </w:rPr>
        <w:t>1</w:t>
      </w:r>
      <w:r w:rsidRPr="00212B8B">
        <w:rPr>
          <w:sz w:val="20"/>
          <w:szCs w:val="20"/>
        </w:rPr>
        <w:t>:</w:t>
      </w:r>
    </w:p>
    <w:p w14:paraId="5AC6915F" w14:textId="77777777" w:rsidR="008F3E8B" w:rsidRPr="00212B8B" w:rsidRDefault="008F3E8B" w:rsidP="004F0831">
      <w:pPr>
        <w:rPr>
          <w:sz w:val="20"/>
          <w:szCs w:val="20"/>
        </w:rPr>
      </w:pPr>
    </w:p>
    <w:tbl>
      <w:tblPr>
        <w:tblStyle w:val="finTable"/>
        <w:tblW w:w="4750" w:type="pct"/>
        <w:tblCellSpacing w:w="0" w:type="dxa"/>
        <w:tblInd w:w="144" w:type="dxa"/>
        <w:tblCellMar>
          <w:left w:w="0" w:type="dxa"/>
          <w:right w:w="0" w:type="dxa"/>
        </w:tblCellMar>
        <w:tblLook w:val="05E0" w:firstRow="1" w:lastRow="1" w:firstColumn="1" w:lastColumn="1" w:noHBand="0" w:noVBand="1"/>
      </w:tblPr>
      <w:tblGrid>
        <w:gridCol w:w="4365"/>
        <w:gridCol w:w="93"/>
        <w:gridCol w:w="101"/>
        <w:gridCol w:w="1224"/>
        <w:gridCol w:w="92"/>
        <w:gridCol w:w="92"/>
        <w:gridCol w:w="100"/>
        <w:gridCol w:w="1224"/>
        <w:gridCol w:w="92"/>
        <w:gridCol w:w="92"/>
        <w:gridCol w:w="101"/>
        <w:gridCol w:w="1224"/>
        <w:gridCol w:w="92"/>
      </w:tblGrid>
      <w:tr w:rsidR="00BA2EE4" w:rsidRPr="00212B8B" w14:paraId="2EA0F4E0" w14:textId="77777777" w:rsidTr="004D0987">
        <w:trPr>
          <w:cantSplit/>
          <w:trHeight w:val="47"/>
          <w:tblCellSpacing w:w="0" w:type="dxa"/>
        </w:trPr>
        <w:tc>
          <w:tcPr>
            <w:tcW w:w="0" w:type="auto"/>
            <w:shd w:val="clear" w:color="auto" w:fill="auto"/>
            <w:tcMar>
              <w:top w:w="0" w:type="dxa"/>
              <w:left w:w="0" w:type="dxa"/>
              <w:bottom w:w="0" w:type="dxa"/>
              <w:right w:w="0" w:type="dxa"/>
            </w:tcMar>
            <w:vAlign w:val="bottom"/>
            <w:hideMark/>
          </w:tcPr>
          <w:p w14:paraId="0EC3C1EE" w14:textId="77777777" w:rsidR="00BA2EE4" w:rsidRPr="00212B8B" w:rsidRDefault="00BA2EE4" w:rsidP="003E5A31">
            <w:pPr>
              <w:rPr>
                <w:color w:val="000000"/>
                <w:sz w:val="20"/>
                <w:szCs w:val="20"/>
              </w:rPr>
            </w:pPr>
            <w:r w:rsidRPr="00212B8B">
              <w:rPr>
                <w:color w:val="000000"/>
                <w:sz w:val="20"/>
                <w:szCs w:val="20"/>
              </w:rPr>
              <w:t>Liquidity and Capital Resources</w:t>
            </w:r>
          </w:p>
        </w:tc>
        <w:tc>
          <w:tcPr>
            <w:tcW w:w="0" w:type="auto"/>
            <w:tcBorders>
              <w:bottom w:val="single" w:sz="4" w:space="0" w:color="auto"/>
            </w:tcBorders>
            <w:shd w:val="clear" w:color="auto" w:fill="auto"/>
            <w:tcMar>
              <w:top w:w="0" w:type="dxa"/>
              <w:left w:w="0" w:type="dxa"/>
              <w:bottom w:w="0" w:type="dxa"/>
              <w:right w:w="0" w:type="dxa"/>
            </w:tcMar>
            <w:vAlign w:val="bottom"/>
            <w:hideMark/>
          </w:tcPr>
          <w:p w14:paraId="06F387D4" w14:textId="77777777" w:rsidR="00BA2EE4" w:rsidRPr="00212B8B" w:rsidRDefault="00BA2EE4" w:rsidP="003E5A31">
            <w:pPr>
              <w:jc w:val="center"/>
              <w:rPr>
                <w:color w:val="000000"/>
                <w:sz w:val="20"/>
                <w:szCs w:val="20"/>
              </w:rPr>
            </w:pP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28F5169B" w14:textId="77777777" w:rsidR="008B30D7" w:rsidRDefault="008B30D7" w:rsidP="003E5A31">
            <w:pPr>
              <w:jc w:val="center"/>
              <w:rPr>
                <w:color w:val="000000"/>
                <w:sz w:val="20"/>
                <w:szCs w:val="20"/>
              </w:rPr>
            </w:pPr>
            <w:r>
              <w:rPr>
                <w:color w:val="000000"/>
                <w:sz w:val="20"/>
                <w:szCs w:val="20"/>
              </w:rPr>
              <w:t>March</w:t>
            </w:r>
            <w:r w:rsidR="00BA2EE4" w:rsidRPr="00212B8B">
              <w:rPr>
                <w:color w:val="000000"/>
                <w:sz w:val="20"/>
                <w:szCs w:val="20"/>
              </w:rPr>
              <w:t xml:space="preserve"> 3</w:t>
            </w:r>
            <w:r>
              <w:rPr>
                <w:color w:val="000000"/>
                <w:sz w:val="20"/>
                <w:szCs w:val="20"/>
              </w:rPr>
              <w:t>1</w:t>
            </w:r>
            <w:r w:rsidR="00BA2EE4" w:rsidRPr="00212B8B">
              <w:rPr>
                <w:color w:val="000000"/>
                <w:sz w:val="20"/>
                <w:szCs w:val="20"/>
              </w:rPr>
              <w:t>,</w:t>
            </w:r>
          </w:p>
          <w:p w14:paraId="47AE849D" w14:textId="53202C84" w:rsidR="00BA2EE4" w:rsidRPr="00212B8B" w:rsidRDefault="00BA2EE4" w:rsidP="003E5A31">
            <w:pPr>
              <w:jc w:val="center"/>
              <w:rPr>
                <w:color w:val="000000"/>
                <w:sz w:val="20"/>
                <w:szCs w:val="20"/>
              </w:rPr>
            </w:pPr>
            <w:r w:rsidRPr="00212B8B">
              <w:rPr>
                <w:color w:val="000000"/>
                <w:sz w:val="20"/>
                <w:szCs w:val="20"/>
              </w:rPr>
              <w:t xml:space="preserve"> 202</w:t>
            </w:r>
            <w:r w:rsidR="008B30D7">
              <w:rPr>
                <w:color w:val="000000"/>
                <w:sz w:val="20"/>
                <w:szCs w:val="20"/>
              </w:rPr>
              <w:t>2</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0D226882" w14:textId="77777777" w:rsidR="00BA2EE4" w:rsidRPr="00212B8B" w:rsidRDefault="00BA2EE4" w:rsidP="003E5A31">
            <w:pPr>
              <w:rPr>
                <w:color w:val="000000"/>
                <w:sz w:val="20"/>
                <w:szCs w:val="20"/>
              </w:rPr>
            </w:pPr>
            <w:r w:rsidRPr="00212B8B">
              <w:rPr>
                <w:color w:val="000000"/>
                <w:sz w:val="20"/>
                <w:szCs w:val="20"/>
              </w:rPr>
              <w:t xml:space="preserve">  </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7C100529" w14:textId="77777777" w:rsidR="00BA2EE4" w:rsidRPr="00212B8B" w:rsidRDefault="00BA2EE4"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0DA2F01B" w14:textId="23D3DF2F" w:rsidR="00BA2EE4" w:rsidRPr="00212B8B" w:rsidRDefault="00BA2EE4" w:rsidP="003E5A31">
            <w:pPr>
              <w:jc w:val="center"/>
              <w:rPr>
                <w:color w:val="000000"/>
                <w:sz w:val="20"/>
                <w:szCs w:val="20"/>
              </w:rPr>
            </w:pPr>
            <w:r w:rsidRPr="00212B8B">
              <w:rPr>
                <w:color w:val="000000"/>
                <w:sz w:val="20"/>
                <w:szCs w:val="20"/>
              </w:rPr>
              <w:t>December 31, 202</w:t>
            </w:r>
            <w:r w:rsidR="008B30D7">
              <w:rPr>
                <w:color w:val="000000"/>
                <w:sz w:val="20"/>
                <w:szCs w:val="20"/>
              </w:rPr>
              <w:t>1</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3EE1F92D" w14:textId="77777777" w:rsidR="00BA2EE4" w:rsidRPr="00212B8B" w:rsidRDefault="00BA2EE4" w:rsidP="003E5A31">
            <w:pPr>
              <w:rPr>
                <w:color w:val="000000"/>
                <w:sz w:val="20"/>
                <w:szCs w:val="20"/>
              </w:rPr>
            </w:pPr>
            <w:r w:rsidRPr="00212B8B">
              <w:rPr>
                <w:color w:val="000000"/>
                <w:sz w:val="20"/>
                <w:szCs w:val="20"/>
              </w:rPr>
              <w:t> </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7E21041E" w14:textId="77777777" w:rsidR="00BA2EE4" w:rsidRPr="00212B8B" w:rsidRDefault="00BA2EE4"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53A7EBC2" w14:textId="0452F0A4" w:rsidR="00BA2EE4" w:rsidRPr="00212B8B" w:rsidRDefault="00BA2EE4" w:rsidP="003E5A31">
            <w:pPr>
              <w:jc w:val="center"/>
              <w:rPr>
                <w:color w:val="000000"/>
                <w:sz w:val="20"/>
                <w:szCs w:val="20"/>
              </w:rPr>
            </w:pPr>
            <w:r w:rsidRPr="00212B8B">
              <w:rPr>
                <w:color w:val="000000"/>
                <w:sz w:val="20"/>
                <w:szCs w:val="20"/>
              </w:rPr>
              <w:t>December 31, 20</w:t>
            </w:r>
            <w:r w:rsidR="008B30D7">
              <w:rPr>
                <w:color w:val="000000"/>
                <w:sz w:val="20"/>
                <w:szCs w:val="20"/>
              </w:rPr>
              <w:t>20</w:t>
            </w:r>
          </w:p>
        </w:tc>
        <w:tc>
          <w:tcPr>
            <w:tcW w:w="0" w:type="auto"/>
            <w:shd w:val="clear" w:color="auto" w:fill="auto"/>
            <w:tcMar>
              <w:top w:w="0" w:type="dxa"/>
              <w:left w:w="0" w:type="dxa"/>
              <w:bottom w:w="15" w:type="dxa"/>
              <w:right w:w="0" w:type="dxa"/>
            </w:tcMar>
            <w:vAlign w:val="bottom"/>
            <w:hideMark/>
          </w:tcPr>
          <w:p w14:paraId="6C0C4ADD" w14:textId="77777777" w:rsidR="00BA2EE4" w:rsidRPr="00212B8B" w:rsidRDefault="00BA2EE4" w:rsidP="003E5A31">
            <w:pPr>
              <w:rPr>
                <w:color w:val="000000"/>
                <w:sz w:val="20"/>
                <w:szCs w:val="20"/>
              </w:rPr>
            </w:pPr>
            <w:r w:rsidRPr="00212B8B">
              <w:rPr>
                <w:color w:val="000000"/>
                <w:sz w:val="20"/>
                <w:szCs w:val="20"/>
              </w:rPr>
              <w:t> </w:t>
            </w:r>
          </w:p>
        </w:tc>
      </w:tr>
      <w:tr w:rsidR="00BA2EE4" w:rsidRPr="00212B8B" w14:paraId="67CA6DB5" w14:textId="77777777" w:rsidTr="004D0987">
        <w:trPr>
          <w:cantSplit/>
          <w:tblCellSpacing w:w="0" w:type="dxa"/>
        </w:trPr>
        <w:tc>
          <w:tcPr>
            <w:tcW w:w="0" w:type="auto"/>
            <w:tcBorders>
              <w:top w:val="single" w:sz="4" w:space="0" w:color="auto"/>
            </w:tcBorders>
            <w:shd w:val="clear" w:color="auto" w:fill="auto"/>
            <w:tcMar>
              <w:top w:w="0" w:type="dxa"/>
              <w:left w:w="0" w:type="dxa"/>
              <w:bottom w:w="0" w:type="dxa"/>
              <w:right w:w="0" w:type="dxa"/>
            </w:tcMar>
            <w:vAlign w:val="bottom"/>
            <w:hideMark/>
          </w:tcPr>
          <w:p w14:paraId="6FDF0120" w14:textId="77777777" w:rsidR="00BA2EE4" w:rsidRPr="00212B8B" w:rsidRDefault="00BA2EE4" w:rsidP="003E5A31">
            <w:pPr>
              <w:rPr>
                <w:color w:val="000000"/>
                <w:sz w:val="20"/>
                <w:szCs w:val="20"/>
              </w:rPr>
            </w:pPr>
            <w:r w:rsidRPr="00212B8B">
              <w:rPr>
                <w:color w:val="000000"/>
                <w:sz w:val="20"/>
                <w:szCs w:val="20"/>
              </w:rPr>
              <w:t>Cash and cash equivalents</w:t>
            </w:r>
          </w:p>
        </w:tc>
        <w:tc>
          <w:tcPr>
            <w:tcW w:w="52" w:type="pct"/>
            <w:shd w:val="clear" w:color="auto" w:fill="auto"/>
            <w:tcMar>
              <w:top w:w="0" w:type="dxa"/>
              <w:left w:w="0" w:type="dxa"/>
              <w:bottom w:w="0" w:type="dxa"/>
              <w:right w:w="0" w:type="dxa"/>
            </w:tcMar>
            <w:vAlign w:val="bottom"/>
            <w:hideMark/>
          </w:tcPr>
          <w:p w14:paraId="593B1AF7" w14:textId="77777777" w:rsidR="00BA2EE4" w:rsidRPr="00212B8B" w:rsidRDefault="00BA2EE4" w:rsidP="003E5A31">
            <w:pPr>
              <w:rPr>
                <w:color w:val="000000"/>
                <w:sz w:val="20"/>
                <w:szCs w:val="20"/>
              </w:rPr>
            </w:pPr>
            <w:r w:rsidRPr="00212B8B">
              <w:rPr>
                <w:color w:val="000000"/>
                <w:sz w:val="20"/>
                <w:szCs w:val="20"/>
              </w:rPr>
              <w:t> </w:t>
            </w:r>
          </w:p>
        </w:tc>
        <w:tc>
          <w:tcPr>
            <w:tcW w:w="57" w:type="pct"/>
            <w:shd w:val="clear" w:color="auto" w:fill="auto"/>
            <w:tcMar>
              <w:top w:w="0" w:type="dxa"/>
              <w:left w:w="0" w:type="dxa"/>
              <w:bottom w:w="0" w:type="dxa"/>
              <w:right w:w="0" w:type="dxa"/>
            </w:tcMar>
            <w:vAlign w:val="bottom"/>
            <w:hideMark/>
          </w:tcPr>
          <w:p w14:paraId="4B8656C3" w14:textId="77777777" w:rsidR="00BA2EE4" w:rsidRPr="00212B8B" w:rsidRDefault="00BA2EE4" w:rsidP="003E5A31">
            <w:pPr>
              <w:rPr>
                <w:color w:val="000000"/>
                <w:sz w:val="20"/>
                <w:szCs w:val="20"/>
              </w:rPr>
            </w:pPr>
            <w:r w:rsidRPr="00212B8B">
              <w:rPr>
                <w:color w:val="000000"/>
                <w:sz w:val="20"/>
                <w:szCs w:val="20"/>
              </w:rPr>
              <w:t>$</w:t>
            </w:r>
          </w:p>
        </w:tc>
        <w:tc>
          <w:tcPr>
            <w:tcW w:w="688" w:type="pct"/>
            <w:shd w:val="clear" w:color="auto" w:fill="auto"/>
            <w:tcMar>
              <w:top w:w="0" w:type="dxa"/>
              <w:left w:w="0" w:type="dxa"/>
              <w:bottom w:w="0" w:type="dxa"/>
              <w:right w:w="0" w:type="dxa"/>
            </w:tcMar>
            <w:vAlign w:val="bottom"/>
            <w:hideMark/>
          </w:tcPr>
          <w:p w14:paraId="7BBB594B" w14:textId="6B7146B0" w:rsidR="00BA2EE4" w:rsidRPr="00212B8B" w:rsidRDefault="008B30D7" w:rsidP="003E5A31">
            <w:pPr>
              <w:jc w:val="right"/>
              <w:rPr>
                <w:color w:val="000000"/>
                <w:sz w:val="20"/>
                <w:szCs w:val="20"/>
              </w:rPr>
            </w:pPr>
            <w:r>
              <w:rPr>
                <w:color w:val="000000"/>
                <w:sz w:val="20"/>
                <w:szCs w:val="20"/>
              </w:rPr>
              <w:t>16,527,716</w:t>
            </w:r>
          </w:p>
        </w:tc>
        <w:tc>
          <w:tcPr>
            <w:tcW w:w="52" w:type="pct"/>
            <w:shd w:val="clear" w:color="auto" w:fill="auto"/>
            <w:tcMar>
              <w:top w:w="0" w:type="dxa"/>
              <w:left w:w="0" w:type="dxa"/>
              <w:bottom w:w="0" w:type="dxa"/>
              <w:right w:w="0" w:type="dxa"/>
            </w:tcMar>
            <w:vAlign w:val="bottom"/>
            <w:hideMark/>
          </w:tcPr>
          <w:p w14:paraId="5D5D8602" w14:textId="77777777" w:rsidR="00BA2EE4" w:rsidRPr="00212B8B" w:rsidRDefault="00BA2EE4" w:rsidP="003E5A31">
            <w:pPr>
              <w:rPr>
                <w:color w:val="000000"/>
                <w:sz w:val="20"/>
                <w:szCs w:val="20"/>
              </w:rPr>
            </w:pPr>
            <w:r w:rsidRPr="00212B8B">
              <w:rPr>
                <w:color w:val="000000"/>
                <w:sz w:val="20"/>
                <w:szCs w:val="20"/>
              </w:rPr>
              <w:t> </w:t>
            </w:r>
          </w:p>
        </w:tc>
        <w:tc>
          <w:tcPr>
            <w:tcW w:w="52" w:type="pct"/>
            <w:shd w:val="clear" w:color="auto" w:fill="auto"/>
            <w:tcMar>
              <w:top w:w="0" w:type="dxa"/>
              <w:left w:w="0" w:type="dxa"/>
              <w:bottom w:w="0" w:type="dxa"/>
              <w:right w:w="0" w:type="dxa"/>
            </w:tcMar>
            <w:vAlign w:val="bottom"/>
            <w:hideMark/>
          </w:tcPr>
          <w:p w14:paraId="67EAECFD" w14:textId="77777777" w:rsidR="00BA2EE4" w:rsidRPr="00212B8B" w:rsidRDefault="00BA2EE4" w:rsidP="003E5A31">
            <w:pPr>
              <w:rPr>
                <w:color w:val="000000"/>
                <w:sz w:val="20"/>
                <w:szCs w:val="20"/>
              </w:rPr>
            </w:pPr>
            <w:r w:rsidRPr="00212B8B">
              <w:rPr>
                <w:color w:val="000000"/>
                <w:sz w:val="20"/>
                <w:szCs w:val="20"/>
              </w:rPr>
              <w:t> </w:t>
            </w:r>
          </w:p>
        </w:tc>
        <w:tc>
          <w:tcPr>
            <w:tcW w:w="56" w:type="pct"/>
            <w:shd w:val="clear" w:color="auto" w:fill="auto"/>
            <w:tcMar>
              <w:top w:w="0" w:type="dxa"/>
              <w:left w:w="0" w:type="dxa"/>
              <w:bottom w:w="0" w:type="dxa"/>
              <w:right w:w="0" w:type="dxa"/>
            </w:tcMar>
            <w:vAlign w:val="bottom"/>
            <w:hideMark/>
          </w:tcPr>
          <w:p w14:paraId="3A92A630" w14:textId="77777777" w:rsidR="00BA2EE4" w:rsidRPr="00212B8B" w:rsidRDefault="00BA2EE4" w:rsidP="003E5A31">
            <w:pPr>
              <w:rPr>
                <w:color w:val="000000"/>
                <w:sz w:val="20"/>
                <w:szCs w:val="20"/>
              </w:rPr>
            </w:pPr>
            <w:r w:rsidRPr="00212B8B">
              <w:rPr>
                <w:color w:val="000000"/>
                <w:sz w:val="20"/>
                <w:szCs w:val="20"/>
              </w:rPr>
              <w:t>$</w:t>
            </w:r>
          </w:p>
        </w:tc>
        <w:tc>
          <w:tcPr>
            <w:tcW w:w="688" w:type="pct"/>
            <w:shd w:val="clear" w:color="auto" w:fill="auto"/>
            <w:tcMar>
              <w:top w:w="0" w:type="dxa"/>
              <w:left w:w="0" w:type="dxa"/>
              <w:bottom w:w="0" w:type="dxa"/>
              <w:right w:w="0" w:type="dxa"/>
            </w:tcMar>
            <w:vAlign w:val="bottom"/>
            <w:hideMark/>
          </w:tcPr>
          <w:p w14:paraId="26FE5814" w14:textId="397BA74B" w:rsidR="00BA2EE4" w:rsidRPr="00212B8B" w:rsidRDefault="008B30D7" w:rsidP="003E5A31">
            <w:pPr>
              <w:jc w:val="right"/>
              <w:rPr>
                <w:color w:val="000000"/>
                <w:sz w:val="20"/>
                <w:szCs w:val="20"/>
              </w:rPr>
            </w:pPr>
            <w:r>
              <w:rPr>
                <w:color w:val="000000"/>
                <w:sz w:val="20"/>
                <w:szCs w:val="20"/>
              </w:rPr>
              <w:t>11,423,870</w:t>
            </w:r>
          </w:p>
        </w:tc>
        <w:tc>
          <w:tcPr>
            <w:tcW w:w="52" w:type="pct"/>
            <w:shd w:val="clear" w:color="auto" w:fill="auto"/>
            <w:tcMar>
              <w:top w:w="0" w:type="dxa"/>
              <w:left w:w="0" w:type="dxa"/>
              <w:bottom w:w="0" w:type="dxa"/>
              <w:right w:w="0" w:type="dxa"/>
            </w:tcMar>
            <w:vAlign w:val="bottom"/>
            <w:hideMark/>
          </w:tcPr>
          <w:p w14:paraId="0685CC8A" w14:textId="77777777" w:rsidR="00BA2EE4" w:rsidRPr="00212B8B" w:rsidRDefault="00BA2EE4" w:rsidP="003E5A31">
            <w:pPr>
              <w:rPr>
                <w:color w:val="000000"/>
                <w:sz w:val="20"/>
                <w:szCs w:val="20"/>
              </w:rPr>
            </w:pPr>
            <w:r w:rsidRPr="00212B8B">
              <w:rPr>
                <w:color w:val="000000"/>
                <w:sz w:val="20"/>
                <w:szCs w:val="20"/>
              </w:rPr>
              <w:t> </w:t>
            </w:r>
          </w:p>
        </w:tc>
        <w:tc>
          <w:tcPr>
            <w:tcW w:w="52" w:type="pct"/>
            <w:shd w:val="clear" w:color="auto" w:fill="auto"/>
            <w:tcMar>
              <w:top w:w="0" w:type="dxa"/>
              <w:left w:w="0" w:type="dxa"/>
              <w:bottom w:w="0" w:type="dxa"/>
              <w:right w:w="0" w:type="dxa"/>
            </w:tcMar>
            <w:vAlign w:val="bottom"/>
            <w:hideMark/>
          </w:tcPr>
          <w:p w14:paraId="5604725E" w14:textId="77777777" w:rsidR="00BA2EE4" w:rsidRPr="00212B8B" w:rsidRDefault="00BA2EE4" w:rsidP="003E5A31">
            <w:pPr>
              <w:rPr>
                <w:color w:val="000000"/>
                <w:sz w:val="20"/>
                <w:szCs w:val="20"/>
              </w:rPr>
            </w:pPr>
            <w:r w:rsidRPr="00212B8B">
              <w:rPr>
                <w:color w:val="000000"/>
                <w:sz w:val="20"/>
                <w:szCs w:val="20"/>
              </w:rPr>
              <w:t> </w:t>
            </w:r>
          </w:p>
        </w:tc>
        <w:tc>
          <w:tcPr>
            <w:tcW w:w="57" w:type="pct"/>
            <w:shd w:val="clear" w:color="auto" w:fill="auto"/>
            <w:tcMar>
              <w:top w:w="0" w:type="dxa"/>
              <w:left w:w="0" w:type="dxa"/>
              <w:bottom w:w="0" w:type="dxa"/>
              <w:right w:w="0" w:type="dxa"/>
            </w:tcMar>
            <w:vAlign w:val="bottom"/>
            <w:hideMark/>
          </w:tcPr>
          <w:p w14:paraId="03A46EBF" w14:textId="77777777" w:rsidR="00BA2EE4" w:rsidRPr="00212B8B" w:rsidRDefault="00BA2EE4" w:rsidP="003E5A31">
            <w:pPr>
              <w:rPr>
                <w:color w:val="000000"/>
                <w:sz w:val="20"/>
                <w:szCs w:val="20"/>
              </w:rPr>
            </w:pPr>
            <w:r w:rsidRPr="00212B8B">
              <w:rPr>
                <w:color w:val="000000"/>
                <w:sz w:val="20"/>
                <w:szCs w:val="20"/>
              </w:rPr>
              <w:t>$</w:t>
            </w:r>
          </w:p>
        </w:tc>
        <w:tc>
          <w:tcPr>
            <w:tcW w:w="688" w:type="pct"/>
            <w:shd w:val="clear" w:color="auto" w:fill="auto"/>
            <w:tcMar>
              <w:top w:w="0" w:type="dxa"/>
              <w:left w:w="0" w:type="dxa"/>
              <w:bottom w:w="0" w:type="dxa"/>
              <w:right w:w="0" w:type="dxa"/>
            </w:tcMar>
            <w:vAlign w:val="bottom"/>
            <w:hideMark/>
          </w:tcPr>
          <w:p w14:paraId="56394CC2" w14:textId="0B0A7FB4" w:rsidR="00BA2EE4" w:rsidRPr="00212B8B" w:rsidRDefault="008B30D7" w:rsidP="003E5A31">
            <w:pPr>
              <w:jc w:val="right"/>
              <w:rPr>
                <w:color w:val="000000"/>
                <w:sz w:val="20"/>
                <w:szCs w:val="20"/>
              </w:rPr>
            </w:pPr>
            <w:r>
              <w:rPr>
                <w:color w:val="000000"/>
                <w:sz w:val="20"/>
                <w:szCs w:val="20"/>
              </w:rPr>
              <w:t>9,883,796</w:t>
            </w:r>
          </w:p>
        </w:tc>
        <w:tc>
          <w:tcPr>
            <w:tcW w:w="52" w:type="pct"/>
            <w:shd w:val="clear" w:color="auto" w:fill="auto"/>
            <w:tcMar>
              <w:top w:w="0" w:type="dxa"/>
              <w:left w:w="0" w:type="dxa"/>
              <w:bottom w:w="0" w:type="dxa"/>
              <w:right w:w="0" w:type="dxa"/>
            </w:tcMar>
            <w:vAlign w:val="bottom"/>
            <w:hideMark/>
          </w:tcPr>
          <w:p w14:paraId="6F42913B" w14:textId="77777777" w:rsidR="00BA2EE4" w:rsidRPr="00212B8B" w:rsidRDefault="00BA2EE4" w:rsidP="003E5A31">
            <w:pPr>
              <w:rPr>
                <w:color w:val="000000"/>
                <w:sz w:val="20"/>
                <w:szCs w:val="20"/>
              </w:rPr>
            </w:pPr>
          </w:p>
        </w:tc>
      </w:tr>
      <w:tr w:rsidR="00BA2EE4" w:rsidRPr="00212B8B" w14:paraId="7FD55F72"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5BDF9A89" w14:textId="77777777" w:rsidR="00BA2EE4" w:rsidRPr="00212B8B" w:rsidRDefault="00BA2EE4" w:rsidP="003E5A31">
            <w:pPr>
              <w:rPr>
                <w:color w:val="000000"/>
                <w:sz w:val="20"/>
                <w:szCs w:val="20"/>
              </w:rPr>
            </w:pPr>
            <w:r w:rsidRPr="00212B8B">
              <w:rPr>
                <w:color w:val="000000"/>
                <w:sz w:val="20"/>
                <w:szCs w:val="20"/>
              </w:rPr>
              <w:t>Working Capital</w:t>
            </w:r>
          </w:p>
        </w:tc>
        <w:tc>
          <w:tcPr>
            <w:tcW w:w="0" w:type="auto"/>
            <w:shd w:val="clear" w:color="auto" w:fill="auto"/>
            <w:tcMar>
              <w:top w:w="0" w:type="dxa"/>
              <w:left w:w="0" w:type="dxa"/>
              <w:bottom w:w="0" w:type="dxa"/>
              <w:right w:w="0" w:type="dxa"/>
            </w:tcMar>
            <w:vAlign w:val="bottom"/>
            <w:hideMark/>
          </w:tcPr>
          <w:p w14:paraId="2C38552F"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0828B6A2"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1CF30E11" w14:textId="5381F787" w:rsidR="00BA2EE4" w:rsidRPr="00212B8B" w:rsidRDefault="00BA2EE4" w:rsidP="003E5A31">
            <w:pPr>
              <w:jc w:val="right"/>
              <w:rPr>
                <w:color w:val="000000"/>
                <w:sz w:val="20"/>
                <w:szCs w:val="20"/>
              </w:rPr>
            </w:pPr>
            <w:r w:rsidRPr="00212B8B">
              <w:rPr>
                <w:color w:val="000000"/>
                <w:sz w:val="20"/>
                <w:szCs w:val="20"/>
              </w:rPr>
              <w:t> </w:t>
            </w:r>
            <w:r w:rsidR="008B30D7">
              <w:rPr>
                <w:color w:val="000000"/>
                <w:sz w:val="20"/>
                <w:szCs w:val="20"/>
              </w:rPr>
              <w:t>13,135,787</w:t>
            </w:r>
          </w:p>
        </w:tc>
        <w:tc>
          <w:tcPr>
            <w:tcW w:w="0" w:type="auto"/>
            <w:shd w:val="clear" w:color="auto" w:fill="auto"/>
            <w:tcMar>
              <w:top w:w="0" w:type="dxa"/>
              <w:left w:w="0" w:type="dxa"/>
              <w:bottom w:w="0" w:type="dxa"/>
              <w:right w:w="0" w:type="dxa"/>
            </w:tcMar>
            <w:vAlign w:val="bottom"/>
            <w:hideMark/>
          </w:tcPr>
          <w:p w14:paraId="336F51E8"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50A5FFCE"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0B536977"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1A01B5BA" w14:textId="6861C1F2" w:rsidR="00BA2EE4" w:rsidRPr="00212B8B" w:rsidRDefault="00BA2EE4" w:rsidP="003E5A31">
            <w:pPr>
              <w:jc w:val="right"/>
              <w:rPr>
                <w:color w:val="000000"/>
                <w:sz w:val="20"/>
                <w:szCs w:val="20"/>
              </w:rPr>
            </w:pPr>
            <w:r w:rsidRPr="00212B8B">
              <w:rPr>
                <w:color w:val="000000"/>
                <w:sz w:val="20"/>
                <w:szCs w:val="20"/>
              </w:rPr>
              <w:t> </w:t>
            </w:r>
            <w:r w:rsidR="008B30D7">
              <w:rPr>
                <w:color w:val="000000"/>
                <w:sz w:val="20"/>
                <w:szCs w:val="20"/>
              </w:rPr>
              <w:t>6,193,756</w:t>
            </w:r>
          </w:p>
        </w:tc>
        <w:tc>
          <w:tcPr>
            <w:tcW w:w="0" w:type="auto"/>
            <w:shd w:val="clear" w:color="auto" w:fill="auto"/>
            <w:tcMar>
              <w:top w:w="0" w:type="dxa"/>
              <w:left w:w="0" w:type="dxa"/>
              <w:bottom w:w="0" w:type="dxa"/>
              <w:right w:w="0" w:type="dxa"/>
            </w:tcMar>
            <w:vAlign w:val="bottom"/>
            <w:hideMark/>
          </w:tcPr>
          <w:p w14:paraId="4EA55C96"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38DDD34A"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30FF8DD5"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56F0F6F3" w14:textId="5C954434" w:rsidR="00BA2EE4" w:rsidRPr="00212B8B" w:rsidRDefault="00BA2EE4" w:rsidP="003E5A31">
            <w:pPr>
              <w:jc w:val="right"/>
              <w:rPr>
                <w:color w:val="000000"/>
                <w:sz w:val="20"/>
                <w:szCs w:val="20"/>
              </w:rPr>
            </w:pPr>
            <w:r w:rsidRPr="00212B8B">
              <w:rPr>
                <w:color w:val="000000"/>
                <w:sz w:val="20"/>
                <w:szCs w:val="20"/>
              </w:rPr>
              <w:t> </w:t>
            </w:r>
            <w:r w:rsidR="008B30D7">
              <w:rPr>
                <w:color w:val="000000"/>
                <w:sz w:val="20"/>
                <w:szCs w:val="20"/>
              </w:rPr>
              <w:t>9,424,839</w:t>
            </w:r>
          </w:p>
        </w:tc>
        <w:tc>
          <w:tcPr>
            <w:tcW w:w="0" w:type="auto"/>
            <w:shd w:val="clear" w:color="auto" w:fill="auto"/>
            <w:tcMar>
              <w:top w:w="0" w:type="dxa"/>
              <w:left w:w="0" w:type="dxa"/>
              <w:bottom w:w="0" w:type="dxa"/>
              <w:right w:w="0" w:type="dxa"/>
            </w:tcMar>
            <w:vAlign w:val="bottom"/>
            <w:hideMark/>
          </w:tcPr>
          <w:p w14:paraId="753EA88F" w14:textId="77777777" w:rsidR="00BA2EE4" w:rsidRPr="00212B8B" w:rsidRDefault="00BA2EE4" w:rsidP="003E5A31">
            <w:pPr>
              <w:rPr>
                <w:color w:val="000000"/>
                <w:sz w:val="20"/>
                <w:szCs w:val="20"/>
              </w:rPr>
            </w:pPr>
            <w:r w:rsidRPr="00212B8B">
              <w:rPr>
                <w:color w:val="000000"/>
                <w:sz w:val="20"/>
                <w:szCs w:val="20"/>
              </w:rPr>
              <w:t> </w:t>
            </w:r>
          </w:p>
        </w:tc>
      </w:tr>
    </w:tbl>
    <w:p w14:paraId="37BB8F07" w14:textId="77777777" w:rsidR="00BA2EE4" w:rsidRPr="00212B8B" w:rsidRDefault="00BA2EE4" w:rsidP="003E5A31">
      <w:pPr>
        <w:rPr>
          <w:sz w:val="20"/>
          <w:szCs w:val="20"/>
        </w:rPr>
      </w:pPr>
    </w:p>
    <w:p w14:paraId="316AC7B3" w14:textId="77777777" w:rsidR="008F3E8B" w:rsidRPr="00212B8B" w:rsidRDefault="008F3E8B" w:rsidP="003E5A31">
      <w:pPr>
        <w:ind w:left="144"/>
        <w:rPr>
          <w:sz w:val="20"/>
          <w:szCs w:val="20"/>
        </w:rPr>
      </w:pPr>
    </w:p>
    <w:tbl>
      <w:tblPr>
        <w:tblStyle w:val="finTable"/>
        <w:tblW w:w="4750" w:type="pct"/>
        <w:tblCellSpacing w:w="0" w:type="dxa"/>
        <w:tblInd w:w="144" w:type="dxa"/>
        <w:tblCellMar>
          <w:left w:w="0" w:type="dxa"/>
          <w:right w:w="0" w:type="dxa"/>
        </w:tblCellMar>
        <w:tblLook w:val="05E0" w:firstRow="1" w:lastRow="1" w:firstColumn="1" w:lastColumn="1" w:noHBand="0" w:noVBand="1"/>
      </w:tblPr>
      <w:tblGrid>
        <w:gridCol w:w="6041"/>
        <w:gridCol w:w="83"/>
        <w:gridCol w:w="100"/>
        <w:gridCol w:w="1150"/>
        <w:gridCol w:w="100"/>
        <w:gridCol w:w="83"/>
        <w:gridCol w:w="100"/>
        <w:gridCol w:w="1151"/>
        <w:gridCol w:w="84"/>
      </w:tblGrid>
      <w:tr w:rsidR="00BA2EE4" w:rsidRPr="00212B8B" w14:paraId="79417ECF"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687BF4CB"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766AF69F" w14:textId="77777777" w:rsidR="00BA2EE4" w:rsidRPr="00212B8B" w:rsidRDefault="00BA2EE4" w:rsidP="003E5A31">
            <w:pPr>
              <w:rPr>
                <w:color w:val="000000"/>
                <w:sz w:val="20"/>
                <w:szCs w:val="20"/>
              </w:rPr>
            </w:pPr>
            <w:r w:rsidRPr="00212B8B">
              <w:rPr>
                <w:color w:val="000000"/>
                <w:sz w:val="20"/>
                <w:szCs w:val="20"/>
              </w:rPr>
              <w:t> </w:t>
            </w:r>
          </w:p>
        </w:tc>
        <w:tc>
          <w:tcPr>
            <w:tcW w:w="0" w:type="auto"/>
            <w:gridSpan w:val="6"/>
            <w:tcBorders>
              <w:bottom w:val="single" w:sz="6" w:space="0" w:color="000000"/>
            </w:tcBorders>
            <w:shd w:val="clear" w:color="auto" w:fill="auto"/>
            <w:tcMar>
              <w:top w:w="0" w:type="dxa"/>
              <w:left w:w="0" w:type="dxa"/>
              <w:bottom w:w="8" w:type="dxa"/>
              <w:right w:w="0" w:type="dxa"/>
            </w:tcMar>
            <w:vAlign w:val="bottom"/>
            <w:hideMark/>
          </w:tcPr>
          <w:p w14:paraId="00841AAA" w14:textId="77777777" w:rsidR="00BA2EE4" w:rsidRPr="00212B8B" w:rsidRDefault="00BA2EE4" w:rsidP="003E5A31">
            <w:pPr>
              <w:jc w:val="center"/>
              <w:rPr>
                <w:color w:val="000000"/>
                <w:sz w:val="20"/>
                <w:szCs w:val="20"/>
              </w:rPr>
            </w:pPr>
            <w:r w:rsidRPr="00212B8B">
              <w:rPr>
                <w:color w:val="000000"/>
                <w:sz w:val="20"/>
                <w:szCs w:val="20"/>
              </w:rPr>
              <w:t>Year Ended December 31,</w:t>
            </w:r>
          </w:p>
        </w:tc>
        <w:tc>
          <w:tcPr>
            <w:tcW w:w="0" w:type="auto"/>
            <w:shd w:val="clear" w:color="auto" w:fill="auto"/>
            <w:tcMar>
              <w:top w:w="0" w:type="dxa"/>
              <w:left w:w="0" w:type="dxa"/>
              <w:bottom w:w="15" w:type="dxa"/>
              <w:right w:w="0" w:type="dxa"/>
            </w:tcMar>
            <w:vAlign w:val="bottom"/>
            <w:hideMark/>
          </w:tcPr>
          <w:p w14:paraId="66FFAA9F" w14:textId="77777777" w:rsidR="00BA2EE4" w:rsidRPr="00212B8B" w:rsidRDefault="00BA2EE4" w:rsidP="003E5A31">
            <w:pPr>
              <w:rPr>
                <w:color w:val="000000"/>
                <w:sz w:val="20"/>
                <w:szCs w:val="20"/>
              </w:rPr>
            </w:pPr>
            <w:r w:rsidRPr="00212B8B">
              <w:rPr>
                <w:color w:val="000000"/>
                <w:sz w:val="20"/>
                <w:szCs w:val="20"/>
              </w:rPr>
              <w:t> </w:t>
            </w:r>
          </w:p>
        </w:tc>
      </w:tr>
      <w:tr w:rsidR="00BA2EE4" w:rsidRPr="00212B8B" w14:paraId="7D17F6C7" w14:textId="77777777" w:rsidTr="00C627C4">
        <w:trPr>
          <w:cantSplit/>
          <w:tblCellSpacing w:w="0" w:type="dxa"/>
        </w:trPr>
        <w:tc>
          <w:tcPr>
            <w:tcW w:w="3400" w:type="pct"/>
            <w:tcBorders>
              <w:bottom w:val="single" w:sz="6" w:space="0" w:color="000000"/>
            </w:tcBorders>
            <w:shd w:val="clear" w:color="auto" w:fill="auto"/>
            <w:tcMar>
              <w:top w:w="0" w:type="dxa"/>
              <w:left w:w="0" w:type="dxa"/>
              <w:bottom w:w="8" w:type="dxa"/>
              <w:right w:w="0" w:type="dxa"/>
            </w:tcMar>
            <w:vAlign w:val="bottom"/>
            <w:hideMark/>
          </w:tcPr>
          <w:p w14:paraId="60AAC9D4" w14:textId="77777777" w:rsidR="00BA2EE4" w:rsidRPr="00212B8B" w:rsidRDefault="00BA2EE4" w:rsidP="003E5A31">
            <w:pPr>
              <w:rPr>
                <w:color w:val="000000"/>
                <w:sz w:val="20"/>
                <w:szCs w:val="20"/>
              </w:rPr>
            </w:pPr>
            <w:r w:rsidRPr="00212B8B">
              <w:rPr>
                <w:color w:val="000000"/>
                <w:sz w:val="20"/>
                <w:szCs w:val="20"/>
              </w:rPr>
              <w:t>Cash Flow Data</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130DA2F5" w14:textId="77777777" w:rsidR="00BA2EE4" w:rsidRPr="00212B8B" w:rsidRDefault="00BA2EE4"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0D315BC9" w14:textId="203D08D0" w:rsidR="00BA2EE4" w:rsidRPr="00212B8B" w:rsidRDefault="00BA2EE4" w:rsidP="003E5A31">
            <w:pPr>
              <w:jc w:val="center"/>
              <w:rPr>
                <w:color w:val="000000"/>
                <w:sz w:val="20"/>
                <w:szCs w:val="20"/>
              </w:rPr>
            </w:pPr>
            <w:r w:rsidRPr="00212B8B">
              <w:rPr>
                <w:color w:val="000000"/>
                <w:sz w:val="20"/>
                <w:szCs w:val="20"/>
              </w:rPr>
              <w:t>202</w:t>
            </w:r>
            <w:r w:rsidR="008B30D7">
              <w:rPr>
                <w:color w:val="000000"/>
                <w:sz w:val="20"/>
                <w:szCs w:val="20"/>
              </w:rPr>
              <w:t>1</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399AEC23" w14:textId="77777777" w:rsidR="00BA2EE4" w:rsidRPr="00212B8B" w:rsidRDefault="00BA2EE4" w:rsidP="003E5A31">
            <w:pPr>
              <w:rPr>
                <w:color w:val="000000"/>
                <w:sz w:val="20"/>
                <w:szCs w:val="20"/>
              </w:rPr>
            </w:pPr>
            <w:r w:rsidRPr="00212B8B">
              <w:rPr>
                <w:color w:val="000000"/>
                <w:sz w:val="20"/>
                <w:szCs w:val="20"/>
              </w:rPr>
              <w:t xml:space="preserve">  </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0761C473" w14:textId="77777777" w:rsidR="00BA2EE4" w:rsidRPr="00212B8B" w:rsidRDefault="00BA2EE4"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4CBA1910" w14:textId="4CBD7248" w:rsidR="00BA2EE4" w:rsidRPr="00212B8B" w:rsidRDefault="00BA2EE4" w:rsidP="003E5A31">
            <w:pPr>
              <w:jc w:val="center"/>
              <w:rPr>
                <w:color w:val="000000"/>
                <w:sz w:val="20"/>
                <w:szCs w:val="20"/>
              </w:rPr>
            </w:pPr>
            <w:r w:rsidRPr="00212B8B">
              <w:rPr>
                <w:color w:val="000000"/>
                <w:sz w:val="20"/>
                <w:szCs w:val="20"/>
              </w:rPr>
              <w:t>20</w:t>
            </w:r>
            <w:r w:rsidR="008B30D7">
              <w:rPr>
                <w:color w:val="000000"/>
                <w:sz w:val="20"/>
                <w:szCs w:val="20"/>
              </w:rPr>
              <w:t>20</w:t>
            </w:r>
          </w:p>
        </w:tc>
        <w:tc>
          <w:tcPr>
            <w:tcW w:w="0" w:type="auto"/>
            <w:shd w:val="clear" w:color="auto" w:fill="auto"/>
            <w:tcMar>
              <w:top w:w="0" w:type="dxa"/>
              <w:left w:w="0" w:type="dxa"/>
              <w:bottom w:w="15" w:type="dxa"/>
              <w:right w:w="0" w:type="dxa"/>
            </w:tcMar>
            <w:vAlign w:val="bottom"/>
            <w:hideMark/>
          </w:tcPr>
          <w:p w14:paraId="1A6057E0" w14:textId="77777777" w:rsidR="00BA2EE4" w:rsidRPr="00212B8B" w:rsidRDefault="00BA2EE4" w:rsidP="003E5A31">
            <w:pPr>
              <w:rPr>
                <w:color w:val="000000"/>
                <w:sz w:val="20"/>
                <w:szCs w:val="20"/>
              </w:rPr>
            </w:pPr>
            <w:r w:rsidRPr="00212B8B">
              <w:rPr>
                <w:color w:val="000000"/>
                <w:sz w:val="20"/>
                <w:szCs w:val="20"/>
              </w:rPr>
              <w:t> </w:t>
            </w:r>
          </w:p>
        </w:tc>
      </w:tr>
      <w:tr w:rsidR="00BA2EE4" w:rsidRPr="00212B8B" w14:paraId="4C4740E9"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1B63184C" w14:textId="77777777" w:rsidR="00BA2EE4" w:rsidRPr="00212B8B" w:rsidRDefault="00BA2EE4" w:rsidP="003E5A31">
            <w:pPr>
              <w:rPr>
                <w:color w:val="000000"/>
                <w:sz w:val="20"/>
                <w:szCs w:val="20"/>
              </w:rPr>
            </w:pPr>
            <w:r w:rsidRPr="00212B8B">
              <w:rPr>
                <w:color w:val="000000"/>
                <w:sz w:val="20"/>
                <w:szCs w:val="20"/>
              </w:rPr>
              <w:t>Net cash provided by (used in):</w:t>
            </w:r>
          </w:p>
        </w:tc>
        <w:tc>
          <w:tcPr>
            <w:tcW w:w="0" w:type="auto"/>
            <w:shd w:val="clear" w:color="auto" w:fill="auto"/>
            <w:tcMar>
              <w:top w:w="0" w:type="dxa"/>
              <w:left w:w="0" w:type="dxa"/>
              <w:bottom w:w="0" w:type="dxa"/>
              <w:right w:w="0" w:type="dxa"/>
            </w:tcMar>
            <w:vAlign w:val="bottom"/>
            <w:hideMark/>
          </w:tcPr>
          <w:p w14:paraId="43A7D395"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186CC8E8"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20643497"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3F424332"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6C18B3CC"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0AB682C3"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16C32AD0" w14:textId="77777777" w:rsidR="00BA2EE4" w:rsidRPr="00212B8B" w:rsidRDefault="00BA2EE4"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584E3B56" w14:textId="77777777" w:rsidR="00BA2EE4" w:rsidRPr="00212B8B" w:rsidRDefault="00BA2EE4" w:rsidP="003E5A31">
            <w:pPr>
              <w:rPr>
                <w:color w:val="000000"/>
                <w:sz w:val="20"/>
                <w:szCs w:val="20"/>
              </w:rPr>
            </w:pPr>
            <w:r w:rsidRPr="00212B8B">
              <w:rPr>
                <w:color w:val="000000"/>
                <w:sz w:val="20"/>
                <w:szCs w:val="20"/>
              </w:rPr>
              <w:t> </w:t>
            </w:r>
          </w:p>
        </w:tc>
      </w:tr>
      <w:tr w:rsidR="00BA2EE4" w:rsidRPr="00212B8B" w14:paraId="75E9D606"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64920F59" w14:textId="77777777" w:rsidR="00BA2EE4" w:rsidRPr="00212B8B" w:rsidRDefault="00BA2EE4" w:rsidP="003E5A31">
            <w:pPr>
              <w:ind w:left="180"/>
              <w:rPr>
                <w:color w:val="000000"/>
                <w:sz w:val="20"/>
                <w:szCs w:val="20"/>
              </w:rPr>
            </w:pPr>
            <w:r w:rsidRPr="00212B8B">
              <w:rPr>
                <w:color w:val="000000"/>
                <w:sz w:val="20"/>
                <w:szCs w:val="20"/>
              </w:rPr>
              <w:t>Operating activities</w:t>
            </w:r>
          </w:p>
        </w:tc>
        <w:tc>
          <w:tcPr>
            <w:tcW w:w="50" w:type="pct"/>
            <w:shd w:val="clear" w:color="auto" w:fill="auto"/>
            <w:tcMar>
              <w:top w:w="0" w:type="dxa"/>
              <w:left w:w="0" w:type="dxa"/>
              <w:bottom w:w="0" w:type="dxa"/>
              <w:right w:w="0" w:type="dxa"/>
            </w:tcMar>
            <w:vAlign w:val="bottom"/>
            <w:hideMark/>
          </w:tcPr>
          <w:p w14:paraId="5263A7F7" w14:textId="77777777" w:rsidR="00BA2EE4" w:rsidRPr="00212B8B" w:rsidRDefault="00BA2EE4"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542F9861" w14:textId="77777777" w:rsidR="00BA2EE4" w:rsidRPr="00212B8B" w:rsidRDefault="00BA2EE4" w:rsidP="003E5A31">
            <w:pPr>
              <w:rPr>
                <w:color w:val="000000"/>
                <w:sz w:val="20"/>
                <w:szCs w:val="20"/>
              </w:rPr>
            </w:pPr>
            <w:r w:rsidRPr="00212B8B">
              <w:rPr>
                <w:color w:val="000000"/>
                <w:sz w:val="20"/>
                <w:szCs w:val="20"/>
              </w:rPr>
              <w:t>$</w:t>
            </w:r>
          </w:p>
        </w:tc>
        <w:tc>
          <w:tcPr>
            <w:tcW w:w="650" w:type="pct"/>
            <w:shd w:val="clear" w:color="auto" w:fill="auto"/>
            <w:tcMar>
              <w:top w:w="0" w:type="dxa"/>
              <w:left w:w="0" w:type="dxa"/>
              <w:bottom w:w="0" w:type="dxa"/>
              <w:right w:w="0" w:type="dxa"/>
            </w:tcMar>
            <w:vAlign w:val="bottom"/>
            <w:hideMark/>
          </w:tcPr>
          <w:p w14:paraId="40F59F6C" w14:textId="54C1EF2A" w:rsidR="00BA2EE4" w:rsidRPr="00212B8B" w:rsidRDefault="00CA01C2" w:rsidP="003E5A31">
            <w:pPr>
              <w:jc w:val="right"/>
              <w:rPr>
                <w:color w:val="000000"/>
                <w:sz w:val="20"/>
                <w:szCs w:val="20"/>
              </w:rPr>
            </w:pPr>
            <w:r w:rsidRPr="00212B8B">
              <w:rPr>
                <w:color w:val="000000"/>
                <w:sz w:val="20"/>
                <w:szCs w:val="20"/>
              </w:rPr>
              <w:t>(</w:t>
            </w:r>
            <w:r w:rsidR="007C271A">
              <w:rPr>
                <w:color w:val="000000"/>
                <w:sz w:val="20"/>
                <w:szCs w:val="20"/>
              </w:rPr>
              <w:t>11,196,420</w:t>
            </w:r>
            <w:r w:rsidRPr="00212B8B">
              <w:rPr>
                <w:color w:val="000000"/>
                <w:sz w:val="20"/>
                <w:szCs w:val="20"/>
              </w:rPr>
              <w:t>)</w:t>
            </w:r>
          </w:p>
        </w:tc>
        <w:tc>
          <w:tcPr>
            <w:tcW w:w="50" w:type="pct"/>
            <w:shd w:val="clear" w:color="auto" w:fill="auto"/>
            <w:tcMar>
              <w:top w:w="0" w:type="dxa"/>
              <w:left w:w="0" w:type="dxa"/>
              <w:bottom w:w="0" w:type="dxa"/>
              <w:right w:w="0" w:type="dxa"/>
            </w:tcMar>
            <w:vAlign w:val="bottom"/>
            <w:hideMark/>
          </w:tcPr>
          <w:p w14:paraId="29F1D870" w14:textId="77777777" w:rsidR="00BA2EE4" w:rsidRPr="00212B8B" w:rsidRDefault="00BA2EE4" w:rsidP="003E5A31">
            <w:pPr>
              <w:rPr>
                <w:color w:val="000000"/>
                <w:sz w:val="20"/>
                <w:szCs w:val="20"/>
              </w:rPr>
            </w:pPr>
          </w:p>
        </w:tc>
        <w:tc>
          <w:tcPr>
            <w:tcW w:w="50" w:type="pct"/>
            <w:shd w:val="clear" w:color="auto" w:fill="auto"/>
            <w:tcMar>
              <w:top w:w="0" w:type="dxa"/>
              <w:left w:w="0" w:type="dxa"/>
              <w:bottom w:w="0" w:type="dxa"/>
              <w:right w:w="0" w:type="dxa"/>
            </w:tcMar>
            <w:vAlign w:val="bottom"/>
            <w:hideMark/>
          </w:tcPr>
          <w:p w14:paraId="3E09113C" w14:textId="77777777" w:rsidR="00BA2EE4" w:rsidRPr="00212B8B" w:rsidRDefault="00BA2EE4"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7CE70EBF" w14:textId="77777777" w:rsidR="00BA2EE4" w:rsidRPr="00212B8B" w:rsidRDefault="00BA2EE4" w:rsidP="003E5A31">
            <w:pPr>
              <w:rPr>
                <w:color w:val="000000"/>
                <w:sz w:val="20"/>
                <w:szCs w:val="20"/>
              </w:rPr>
            </w:pPr>
            <w:r w:rsidRPr="00212B8B">
              <w:rPr>
                <w:color w:val="000000"/>
                <w:sz w:val="20"/>
                <w:szCs w:val="20"/>
              </w:rPr>
              <w:t>$</w:t>
            </w:r>
          </w:p>
        </w:tc>
        <w:tc>
          <w:tcPr>
            <w:tcW w:w="650" w:type="pct"/>
            <w:shd w:val="clear" w:color="auto" w:fill="auto"/>
            <w:tcMar>
              <w:top w:w="0" w:type="dxa"/>
              <w:left w:w="0" w:type="dxa"/>
              <w:bottom w:w="0" w:type="dxa"/>
              <w:right w:w="0" w:type="dxa"/>
            </w:tcMar>
            <w:vAlign w:val="bottom"/>
            <w:hideMark/>
          </w:tcPr>
          <w:p w14:paraId="472DC16D" w14:textId="539523AE" w:rsidR="00BA2EE4" w:rsidRPr="00212B8B" w:rsidRDefault="00CA01C2" w:rsidP="003E5A31">
            <w:pPr>
              <w:jc w:val="right"/>
              <w:rPr>
                <w:color w:val="000000"/>
                <w:sz w:val="20"/>
                <w:szCs w:val="20"/>
              </w:rPr>
            </w:pPr>
            <w:r w:rsidRPr="00212B8B">
              <w:rPr>
                <w:color w:val="000000"/>
                <w:sz w:val="20"/>
                <w:szCs w:val="20"/>
              </w:rPr>
              <w:t>(</w:t>
            </w:r>
            <w:r w:rsidR="008B30D7">
              <w:rPr>
                <w:color w:val="000000"/>
                <w:sz w:val="20"/>
                <w:szCs w:val="20"/>
              </w:rPr>
              <w:t>2,750,570</w:t>
            </w:r>
            <w:r w:rsidRPr="00212B8B">
              <w:rPr>
                <w:color w:val="000000"/>
                <w:sz w:val="20"/>
                <w:szCs w:val="20"/>
              </w:rPr>
              <w:t>)</w:t>
            </w:r>
          </w:p>
        </w:tc>
        <w:tc>
          <w:tcPr>
            <w:tcW w:w="50" w:type="pct"/>
            <w:shd w:val="clear" w:color="auto" w:fill="auto"/>
            <w:tcMar>
              <w:top w:w="0" w:type="dxa"/>
              <w:left w:w="0" w:type="dxa"/>
              <w:bottom w:w="0" w:type="dxa"/>
              <w:right w:w="0" w:type="dxa"/>
            </w:tcMar>
            <w:vAlign w:val="bottom"/>
            <w:hideMark/>
          </w:tcPr>
          <w:p w14:paraId="41625F2B" w14:textId="77777777" w:rsidR="00BA2EE4" w:rsidRPr="00212B8B" w:rsidRDefault="00BA2EE4" w:rsidP="003E5A31">
            <w:pPr>
              <w:rPr>
                <w:color w:val="000000"/>
                <w:sz w:val="20"/>
                <w:szCs w:val="20"/>
              </w:rPr>
            </w:pPr>
          </w:p>
        </w:tc>
      </w:tr>
      <w:tr w:rsidR="00BA2EE4" w:rsidRPr="00212B8B" w14:paraId="2831FEA8"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26C4A97B" w14:textId="77777777" w:rsidR="00BA2EE4" w:rsidRPr="00212B8B" w:rsidRDefault="00BA2EE4" w:rsidP="003E5A31">
            <w:pPr>
              <w:ind w:left="180"/>
              <w:rPr>
                <w:color w:val="000000"/>
                <w:sz w:val="20"/>
                <w:szCs w:val="20"/>
              </w:rPr>
            </w:pPr>
            <w:r w:rsidRPr="00212B8B">
              <w:rPr>
                <w:color w:val="000000"/>
                <w:sz w:val="20"/>
                <w:szCs w:val="20"/>
              </w:rPr>
              <w:t>Investing activities</w:t>
            </w:r>
          </w:p>
        </w:tc>
        <w:tc>
          <w:tcPr>
            <w:tcW w:w="50" w:type="pct"/>
            <w:shd w:val="clear" w:color="auto" w:fill="auto"/>
            <w:tcMar>
              <w:top w:w="0" w:type="dxa"/>
              <w:left w:w="0" w:type="dxa"/>
              <w:bottom w:w="0" w:type="dxa"/>
              <w:right w:w="0" w:type="dxa"/>
            </w:tcMar>
            <w:vAlign w:val="bottom"/>
            <w:hideMark/>
          </w:tcPr>
          <w:p w14:paraId="61A68C8D" w14:textId="77777777" w:rsidR="00BA2EE4" w:rsidRPr="00212B8B" w:rsidRDefault="00BA2EE4"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4D6AF841" w14:textId="77777777" w:rsidR="00BA2EE4" w:rsidRPr="00212B8B" w:rsidRDefault="00BA2EE4" w:rsidP="003E5A31">
            <w:pPr>
              <w:rPr>
                <w:color w:val="000000"/>
                <w:sz w:val="20"/>
                <w:szCs w:val="20"/>
              </w:rPr>
            </w:pPr>
            <w:r w:rsidRPr="00212B8B">
              <w:rPr>
                <w:color w:val="000000"/>
                <w:sz w:val="20"/>
                <w:szCs w:val="20"/>
              </w:rPr>
              <w:t> </w:t>
            </w:r>
          </w:p>
        </w:tc>
        <w:tc>
          <w:tcPr>
            <w:tcW w:w="650" w:type="pct"/>
            <w:shd w:val="clear" w:color="auto" w:fill="auto"/>
            <w:tcMar>
              <w:top w:w="0" w:type="dxa"/>
              <w:left w:w="0" w:type="dxa"/>
              <w:bottom w:w="0" w:type="dxa"/>
              <w:right w:w="0" w:type="dxa"/>
            </w:tcMar>
            <w:vAlign w:val="bottom"/>
            <w:hideMark/>
          </w:tcPr>
          <w:p w14:paraId="1BC2B932" w14:textId="2DB7D775" w:rsidR="00BA2EE4" w:rsidRPr="00212B8B" w:rsidRDefault="00CA01C2" w:rsidP="003E5A31">
            <w:pPr>
              <w:jc w:val="right"/>
              <w:rPr>
                <w:color w:val="000000"/>
                <w:sz w:val="20"/>
                <w:szCs w:val="20"/>
              </w:rPr>
            </w:pPr>
            <w:r w:rsidRPr="00212B8B">
              <w:rPr>
                <w:color w:val="000000"/>
                <w:sz w:val="20"/>
                <w:szCs w:val="20"/>
              </w:rPr>
              <w:t>(</w:t>
            </w:r>
            <w:r w:rsidR="007C271A">
              <w:rPr>
                <w:color w:val="000000"/>
                <w:sz w:val="20"/>
                <w:szCs w:val="20"/>
              </w:rPr>
              <w:t>47,718</w:t>
            </w:r>
            <w:r w:rsidRPr="00212B8B">
              <w:rPr>
                <w:color w:val="000000"/>
                <w:sz w:val="20"/>
                <w:szCs w:val="20"/>
              </w:rPr>
              <w:t>)</w:t>
            </w:r>
          </w:p>
        </w:tc>
        <w:tc>
          <w:tcPr>
            <w:tcW w:w="50" w:type="pct"/>
            <w:shd w:val="clear" w:color="auto" w:fill="auto"/>
            <w:tcMar>
              <w:top w:w="0" w:type="dxa"/>
              <w:left w:w="0" w:type="dxa"/>
              <w:bottom w:w="0" w:type="dxa"/>
              <w:right w:w="0" w:type="dxa"/>
            </w:tcMar>
            <w:vAlign w:val="bottom"/>
            <w:hideMark/>
          </w:tcPr>
          <w:p w14:paraId="18477601" w14:textId="77777777" w:rsidR="00BA2EE4" w:rsidRPr="00212B8B" w:rsidRDefault="00BA2EE4" w:rsidP="003E5A31">
            <w:pPr>
              <w:rPr>
                <w:color w:val="000000"/>
                <w:sz w:val="20"/>
                <w:szCs w:val="20"/>
              </w:rPr>
            </w:pPr>
          </w:p>
        </w:tc>
        <w:tc>
          <w:tcPr>
            <w:tcW w:w="50" w:type="pct"/>
            <w:shd w:val="clear" w:color="auto" w:fill="auto"/>
            <w:tcMar>
              <w:top w:w="0" w:type="dxa"/>
              <w:left w:w="0" w:type="dxa"/>
              <w:bottom w:w="0" w:type="dxa"/>
              <w:right w:w="0" w:type="dxa"/>
            </w:tcMar>
            <w:vAlign w:val="bottom"/>
            <w:hideMark/>
          </w:tcPr>
          <w:p w14:paraId="0886B8BE" w14:textId="77777777" w:rsidR="00BA2EE4" w:rsidRPr="00212B8B" w:rsidRDefault="00BA2EE4"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336A033A" w14:textId="77777777" w:rsidR="00BA2EE4" w:rsidRPr="00212B8B" w:rsidRDefault="00BA2EE4" w:rsidP="003E5A31">
            <w:pPr>
              <w:rPr>
                <w:color w:val="000000"/>
                <w:sz w:val="20"/>
                <w:szCs w:val="20"/>
              </w:rPr>
            </w:pPr>
            <w:r w:rsidRPr="00212B8B">
              <w:rPr>
                <w:color w:val="000000"/>
                <w:sz w:val="20"/>
                <w:szCs w:val="20"/>
              </w:rPr>
              <w:t> </w:t>
            </w:r>
          </w:p>
        </w:tc>
        <w:tc>
          <w:tcPr>
            <w:tcW w:w="650" w:type="pct"/>
            <w:shd w:val="clear" w:color="auto" w:fill="auto"/>
            <w:tcMar>
              <w:top w:w="0" w:type="dxa"/>
              <w:left w:w="0" w:type="dxa"/>
              <w:bottom w:w="0" w:type="dxa"/>
              <w:right w:w="0" w:type="dxa"/>
            </w:tcMar>
            <w:vAlign w:val="bottom"/>
            <w:hideMark/>
          </w:tcPr>
          <w:p w14:paraId="050A9660" w14:textId="0BBB4912" w:rsidR="00BA2EE4" w:rsidRPr="00212B8B" w:rsidRDefault="00CA01C2" w:rsidP="003E5A31">
            <w:pPr>
              <w:jc w:val="right"/>
              <w:rPr>
                <w:color w:val="000000"/>
                <w:sz w:val="20"/>
                <w:szCs w:val="20"/>
              </w:rPr>
            </w:pPr>
            <w:r w:rsidRPr="00212B8B">
              <w:rPr>
                <w:color w:val="000000"/>
                <w:sz w:val="20"/>
                <w:szCs w:val="20"/>
              </w:rPr>
              <w:t>(</w:t>
            </w:r>
            <w:r w:rsidR="008B30D7">
              <w:rPr>
                <w:color w:val="000000"/>
                <w:sz w:val="20"/>
                <w:szCs w:val="20"/>
              </w:rPr>
              <w:t>156,791</w:t>
            </w:r>
            <w:r w:rsidRPr="00212B8B">
              <w:rPr>
                <w:color w:val="000000"/>
                <w:sz w:val="20"/>
                <w:szCs w:val="20"/>
              </w:rPr>
              <w:t>)</w:t>
            </w:r>
          </w:p>
        </w:tc>
        <w:tc>
          <w:tcPr>
            <w:tcW w:w="50" w:type="pct"/>
            <w:shd w:val="clear" w:color="auto" w:fill="auto"/>
            <w:tcMar>
              <w:top w:w="0" w:type="dxa"/>
              <w:left w:w="0" w:type="dxa"/>
              <w:bottom w:w="0" w:type="dxa"/>
              <w:right w:w="0" w:type="dxa"/>
            </w:tcMar>
            <w:vAlign w:val="bottom"/>
            <w:hideMark/>
          </w:tcPr>
          <w:p w14:paraId="02378D3D" w14:textId="77777777" w:rsidR="00BA2EE4" w:rsidRPr="00212B8B" w:rsidRDefault="00BA2EE4" w:rsidP="003E5A31">
            <w:pPr>
              <w:rPr>
                <w:color w:val="000000"/>
                <w:sz w:val="20"/>
                <w:szCs w:val="20"/>
              </w:rPr>
            </w:pPr>
          </w:p>
        </w:tc>
      </w:tr>
      <w:tr w:rsidR="00BA2EE4" w:rsidRPr="00212B8B" w14:paraId="2EE81F61"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21032DEE" w14:textId="77777777" w:rsidR="00BA2EE4" w:rsidRPr="00212B8B" w:rsidRDefault="00BA2EE4" w:rsidP="003E5A31">
            <w:pPr>
              <w:ind w:left="180"/>
              <w:rPr>
                <w:color w:val="000000"/>
                <w:sz w:val="20"/>
                <w:szCs w:val="20"/>
              </w:rPr>
            </w:pPr>
            <w:r w:rsidRPr="00212B8B">
              <w:rPr>
                <w:color w:val="000000"/>
                <w:sz w:val="20"/>
                <w:szCs w:val="20"/>
              </w:rPr>
              <w:t>Financing activities</w:t>
            </w:r>
          </w:p>
        </w:tc>
        <w:tc>
          <w:tcPr>
            <w:tcW w:w="50" w:type="pct"/>
            <w:shd w:val="clear" w:color="auto" w:fill="auto"/>
            <w:tcMar>
              <w:top w:w="0" w:type="dxa"/>
              <w:left w:w="0" w:type="dxa"/>
              <w:bottom w:w="0" w:type="dxa"/>
              <w:right w:w="0" w:type="dxa"/>
            </w:tcMar>
            <w:vAlign w:val="bottom"/>
            <w:hideMark/>
          </w:tcPr>
          <w:p w14:paraId="1205C51A" w14:textId="77777777" w:rsidR="00BA2EE4" w:rsidRPr="00212B8B" w:rsidRDefault="00BA2EE4"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02672E6C" w14:textId="77777777" w:rsidR="00BA2EE4" w:rsidRPr="00212B8B" w:rsidRDefault="00BA2EE4" w:rsidP="003E5A31">
            <w:pPr>
              <w:rPr>
                <w:color w:val="000000"/>
                <w:sz w:val="20"/>
                <w:szCs w:val="20"/>
              </w:rPr>
            </w:pPr>
            <w:r w:rsidRPr="00212B8B">
              <w:rPr>
                <w:color w:val="000000"/>
                <w:sz w:val="20"/>
                <w:szCs w:val="20"/>
              </w:rPr>
              <w:t> </w:t>
            </w:r>
          </w:p>
        </w:tc>
        <w:tc>
          <w:tcPr>
            <w:tcW w:w="650" w:type="pct"/>
            <w:tcBorders>
              <w:bottom w:val="single" w:sz="6" w:space="0" w:color="000000"/>
            </w:tcBorders>
            <w:shd w:val="clear" w:color="auto" w:fill="auto"/>
            <w:tcMar>
              <w:top w:w="0" w:type="dxa"/>
              <w:left w:w="0" w:type="dxa"/>
              <w:bottom w:w="8" w:type="dxa"/>
              <w:right w:w="0" w:type="dxa"/>
            </w:tcMar>
            <w:vAlign w:val="bottom"/>
            <w:hideMark/>
          </w:tcPr>
          <w:p w14:paraId="4B6C8CA5" w14:textId="0300D9A0" w:rsidR="00BA2EE4" w:rsidRPr="00212B8B" w:rsidRDefault="007C271A" w:rsidP="003E5A31">
            <w:pPr>
              <w:jc w:val="right"/>
              <w:rPr>
                <w:color w:val="000000"/>
                <w:sz w:val="20"/>
                <w:szCs w:val="20"/>
              </w:rPr>
            </w:pPr>
            <w:r>
              <w:rPr>
                <w:color w:val="000000"/>
                <w:sz w:val="20"/>
                <w:szCs w:val="20"/>
              </w:rPr>
              <w:t>12,784,212</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1E5C849D" w14:textId="77777777" w:rsidR="00BA2EE4" w:rsidRPr="00212B8B" w:rsidRDefault="00BA2EE4"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5E585061" w14:textId="77777777" w:rsidR="00BA2EE4" w:rsidRPr="00212B8B" w:rsidRDefault="00BA2EE4"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7D106ECE" w14:textId="77777777" w:rsidR="00BA2EE4" w:rsidRPr="00212B8B" w:rsidRDefault="00BA2EE4" w:rsidP="003E5A31">
            <w:pPr>
              <w:rPr>
                <w:color w:val="000000"/>
                <w:sz w:val="20"/>
                <w:szCs w:val="20"/>
              </w:rPr>
            </w:pPr>
            <w:r w:rsidRPr="00212B8B">
              <w:rPr>
                <w:color w:val="000000"/>
                <w:sz w:val="20"/>
                <w:szCs w:val="20"/>
              </w:rPr>
              <w:t> </w:t>
            </w:r>
          </w:p>
        </w:tc>
        <w:tc>
          <w:tcPr>
            <w:tcW w:w="650" w:type="pct"/>
            <w:tcBorders>
              <w:bottom w:val="single" w:sz="6" w:space="0" w:color="000000"/>
            </w:tcBorders>
            <w:shd w:val="clear" w:color="auto" w:fill="auto"/>
            <w:tcMar>
              <w:top w:w="0" w:type="dxa"/>
              <w:left w:w="0" w:type="dxa"/>
              <w:bottom w:w="8" w:type="dxa"/>
              <w:right w:w="0" w:type="dxa"/>
            </w:tcMar>
            <w:vAlign w:val="bottom"/>
            <w:hideMark/>
          </w:tcPr>
          <w:p w14:paraId="7A77BF4E" w14:textId="20A99FEB" w:rsidR="00BA2EE4" w:rsidRPr="00212B8B" w:rsidRDefault="00CA01C2" w:rsidP="003E5A31">
            <w:pPr>
              <w:jc w:val="right"/>
              <w:rPr>
                <w:color w:val="000000"/>
                <w:sz w:val="20"/>
                <w:szCs w:val="20"/>
              </w:rPr>
            </w:pPr>
            <w:r w:rsidRPr="00212B8B">
              <w:rPr>
                <w:color w:val="000000"/>
                <w:sz w:val="20"/>
                <w:szCs w:val="20"/>
              </w:rPr>
              <w:t>1</w:t>
            </w:r>
            <w:r w:rsidR="008B30D7">
              <w:rPr>
                <w:color w:val="000000"/>
                <w:sz w:val="20"/>
                <w:szCs w:val="20"/>
              </w:rPr>
              <w:t>2,507,816</w:t>
            </w:r>
          </w:p>
        </w:tc>
        <w:tc>
          <w:tcPr>
            <w:tcW w:w="50" w:type="pct"/>
            <w:shd w:val="clear" w:color="auto" w:fill="auto"/>
            <w:tcMar>
              <w:top w:w="0" w:type="dxa"/>
              <w:left w:w="0" w:type="dxa"/>
              <w:bottom w:w="15" w:type="dxa"/>
              <w:right w:w="0" w:type="dxa"/>
            </w:tcMar>
            <w:vAlign w:val="bottom"/>
            <w:hideMark/>
          </w:tcPr>
          <w:p w14:paraId="5EF317E2" w14:textId="77777777" w:rsidR="00BA2EE4" w:rsidRPr="00212B8B" w:rsidRDefault="00BA2EE4" w:rsidP="003E5A31">
            <w:pPr>
              <w:rPr>
                <w:color w:val="000000"/>
                <w:sz w:val="20"/>
                <w:szCs w:val="20"/>
              </w:rPr>
            </w:pPr>
            <w:r w:rsidRPr="00212B8B">
              <w:rPr>
                <w:color w:val="000000"/>
                <w:sz w:val="20"/>
                <w:szCs w:val="20"/>
              </w:rPr>
              <w:t> </w:t>
            </w:r>
          </w:p>
        </w:tc>
      </w:tr>
      <w:tr w:rsidR="00BA2EE4" w:rsidRPr="00212B8B" w14:paraId="58A40200" w14:textId="77777777" w:rsidTr="00C627C4">
        <w:trPr>
          <w:cantSplit/>
          <w:tblCellSpacing w:w="0" w:type="dxa"/>
        </w:trPr>
        <w:tc>
          <w:tcPr>
            <w:tcW w:w="0" w:type="auto"/>
            <w:shd w:val="clear" w:color="auto" w:fill="auto"/>
            <w:tcMar>
              <w:top w:w="0" w:type="dxa"/>
              <w:left w:w="0" w:type="dxa"/>
              <w:bottom w:w="0" w:type="dxa"/>
              <w:right w:w="0" w:type="dxa"/>
            </w:tcMar>
            <w:vAlign w:val="bottom"/>
            <w:hideMark/>
          </w:tcPr>
          <w:p w14:paraId="1A08A3C2" w14:textId="77777777" w:rsidR="00BA2EE4" w:rsidRPr="00212B8B" w:rsidRDefault="00BA2EE4" w:rsidP="003E5A31">
            <w:pPr>
              <w:rPr>
                <w:color w:val="000000"/>
                <w:sz w:val="20"/>
                <w:szCs w:val="20"/>
              </w:rPr>
            </w:pPr>
            <w:r w:rsidRPr="00212B8B">
              <w:rPr>
                <w:color w:val="000000"/>
                <w:sz w:val="20"/>
                <w:szCs w:val="20"/>
              </w:rPr>
              <w:t>Net increase in cash and cash equivalents</w:t>
            </w:r>
          </w:p>
        </w:tc>
        <w:tc>
          <w:tcPr>
            <w:tcW w:w="50" w:type="pct"/>
            <w:shd w:val="clear" w:color="auto" w:fill="auto"/>
            <w:tcMar>
              <w:top w:w="0" w:type="dxa"/>
              <w:left w:w="0" w:type="dxa"/>
              <w:bottom w:w="0" w:type="dxa"/>
              <w:right w:w="0" w:type="dxa"/>
            </w:tcMar>
            <w:vAlign w:val="bottom"/>
            <w:hideMark/>
          </w:tcPr>
          <w:p w14:paraId="587F02F2" w14:textId="77777777" w:rsidR="00BA2EE4" w:rsidRPr="00212B8B" w:rsidRDefault="00BA2EE4"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1BA0E3F8" w14:textId="77777777" w:rsidR="00BA2EE4" w:rsidRPr="00212B8B" w:rsidRDefault="00BA2EE4" w:rsidP="003E5A31">
            <w:pPr>
              <w:rPr>
                <w:color w:val="000000"/>
                <w:sz w:val="20"/>
                <w:szCs w:val="20"/>
              </w:rPr>
            </w:pPr>
            <w:r w:rsidRPr="00212B8B">
              <w:rPr>
                <w:color w:val="000000"/>
                <w:sz w:val="20"/>
                <w:szCs w:val="20"/>
              </w:rPr>
              <w:t>$</w:t>
            </w:r>
          </w:p>
        </w:tc>
        <w:tc>
          <w:tcPr>
            <w:tcW w:w="650" w:type="pct"/>
            <w:tcBorders>
              <w:bottom w:val="double" w:sz="6" w:space="0" w:color="000000"/>
            </w:tcBorders>
            <w:shd w:val="clear" w:color="auto" w:fill="auto"/>
            <w:tcMar>
              <w:top w:w="0" w:type="dxa"/>
              <w:left w:w="0" w:type="dxa"/>
              <w:bottom w:w="22" w:type="dxa"/>
              <w:right w:w="0" w:type="dxa"/>
            </w:tcMar>
            <w:vAlign w:val="bottom"/>
            <w:hideMark/>
          </w:tcPr>
          <w:p w14:paraId="065663B5" w14:textId="03836106" w:rsidR="00BA2EE4" w:rsidRPr="00212B8B" w:rsidRDefault="007C271A" w:rsidP="003E5A31">
            <w:pPr>
              <w:jc w:val="right"/>
              <w:rPr>
                <w:color w:val="000000"/>
                <w:sz w:val="20"/>
                <w:szCs w:val="20"/>
              </w:rPr>
            </w:pPr>
            <w:r>
              <w:rPr>
                <w:color w:val="000000"/>
                <w:sz w:val="20"/>
                <w:szCs w:val="20"/>
              </w:rPr>
              <w:t>1,540,074</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3B3BDC96" w14:textId="77777777" w:rsidR="00BA2EE4" w:rsidRPr="00212B8B" w:rsidRDefault="00BA2EE4"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028A4B6D" w14:textId="77777777" w:rsidR="00BA2EE4" w:rsidRPr="00212B8B" w:rsidRDefault="00BA2EE4"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0E7C3B6A" w14:textId="77777777" w:rsidR="00BA2EE4" w:rsidRPr="00212B8B" w:rsidRDefault="00BA2EE4" w:rsidP="003E5A31">
            <w:pPr>
              <w:rPr>
                <w:color w:val="000000"/>
                <w:sz w:val="20"/>
                <w:szCs w:val="20"/>
              </w:rPr>
            </w:pPr>
            <w:r w:rsidRPr="00212B8B">
              <w:rPr>
                <w:color w:val="000000"/>
                <w:sz w:val="20"/>
                <w:szCs w:val="20"/>
              </w:rPr>
              <w:t>$</w:t>
            </w:r>
          </w:p>
        </w:tc>
        <w:tc>
          <w:tcPr>
            <w:tcW w:w="650" w:type="pct"/>
            <w:tcBorders>
              <w:bottom w:val="double" w:sz="6" w:space="0" w:color="000000"/>
            </w:tcBorders>
            <w:shd w:val="clear" w:color="auto" w:fill="auto"/>
            <w:tcMar>
              <w:top w:w="0" w:type="dxa"/>
              <w:left w:w="0" w:type="dxa"/>
              <w:bottom w:w="22" w:type="dxa"/>
              <w:right w:w="0" w:type="dxa"/>
            </w:tcMar>
            <w:vAlign w:val="bottom"/>
            <w:hideMark/>
          </w:tcPr>
          <w:p w14:paraId="4F00086F" w14:textId="5429ECFD" w:rsidR="00BA2EE4" w:rsidRPr="00212B8B" w:rsidRDefault="008B30D7" w:rsidP="003E5A31">
            <w:pPr>
              <w:jc w:val="right"/>
              <w:rPr>
                <w:color w:val="000000"/>
                <w:sz w:val="20"/>
                <w:szCs w:val="20"/>
              </w:rPr>
            </w:pPr>
            <w:r>
              <w:rPr>
                <w:color w:val="000000"/>
                <w:sz w:val="20"/>
                <w:szCs w:val="20"/>
              </w:rPr>
              <w:t>9,600,455</w:t>
            </w:r>
          </w:p>
        </w:tc>
        <w:tc>
          <w:tcPr>
            <w:tcW w:w="50" w:type="pct"/>
            <w:shd w:val="clear" w:color="auto" w:fill="auto"/>
            <w:tcMar>
              <w:top w:w="0" w:type="dxa"/>
              <w:left w:w="0" w:type="dxa"/>
              <w:bottom w:w="45" w:type="dxa"/>
              <w:right w:w="0" w:type="dxa"/>
            </w:tcMar>
            <w:vAlign w:val="bottom"/>
            <w:hideMark/>
          </w:tcPr>
          <w:p w14:paraId="4F505A46" w14:textId="77777777" w:rsidR="00BA2EE4" w:rsidRPr="00212B8B" w:rsidRDefault="00BA2EE4" w:rsidP="003E5A31">
            <w:pPr>
              <w:rPr>
                <w:color w:val="000000"/>
                <w:sz w:val="20"/>
                <w:szCs w:val="20"/>
              </w:rPr>
            </w:pPr>
            <w:r w:rsidRPr="00212B8B">
              <w:rPr>
                <w:color w:val="000000"/>
                <w:sz w:val="20"/>
                <w:szCs w:val="20"/>
              </w:rPr>
              <w:t> </w:t>
            </w:r>
          </w:p>
        </w:tc>
      </w:tr>
    </w:tbl>
    <w:p w14:paraId="26ED9A49" w14:textId="77777777" w:rsidR="00BA2EE4" w:rsidRPr="00212B8B" w:rsidRDefault="00BA2EE4" w:rsidP="003E5A31">
      <w:pPr>
        <w:ind w:left="144"/>
        <w:rPr>
          <w:sz w:val="20"/>
          <w:szCs w:val="20"/>
        </w:rPr>
      </w:pPr>
    </w:p>
    <w:tbl>
      <w:tblPr>
        <w:tblStyle w:val="finTable"/>
        <w:tblW w:w="4750" w:type="pct"/>
        <w:tblCellSpacing w:w="0" w:type="dxa"/>
        <w:tblInd w:w="144" w:type="dxa"/>
        <w:tblCellMar>
          <w:left w:w="0" w:type="dxa"/>
          <w:right w:w="0" w:type="dxa"/>
        </w:tblCellMar>
        <w:tblLook w:val="05E0" w:firstRow="1" w:lastRow="1" w:firstColumn="1" w:lastColumn="1" w:noHBand="0" w:noVBand="1"/>
      </w:tblPr>
      <w:tblGrid>
        <w:gridCol w:w="6043"/>
        <w:gridCol w:w="85"/>
        <w:gridCol w:w="100"/>
        <w:gridCol w:w="1153"/>
        <w:gridCol w:w="86"/>
        <w:gridCol w:w="86"/>
        <w:gridCol w:w="100"/>
        <w:gridCol w:w="1153"/>
        <w:gridCol w:w="86"/>
      </w:tblGrid>
      <w:tr w:rsidR="008F3E8B" w:rsidRPr="00212B8B" w14:paraId="455C3100" w14:textId="77777777" w:rsidTr="00BA2EE4">
        <w:trPr>
          <w:cantSplit/>
          <w:tblCellSpacing w:w="0" w:type="dxa"/>
        </w:trPr>
        <w:tc>
          <w:tcPr>
            <w:tcW w:w="0" w:type="auto"/>
            <w:shd w:val="clear" w:color="auto" w:fill="auto"/>
            <w:tcMar>
              <w:top w:w="0" w:type="dxa"/>
              <w:left w:w="0" w:type="dxa"/>
              <w:bottom w:w="0" w:type="dxa"/>
              <w:right w:w="0" w:type="dxa"/>
            </w:tcMar>
            <w:vAlign w:val="bottom"/>
            <w:hideMark/>
          </w:tcPr>
          <w:p w14:paraId="0444A5A9" w14:textId="77777777" w:rsidR="008F3E8B" w:rsidRPr="00212B8B" w:rsidRDefault="008F3E8B"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5893EE47" w14:textId="77777777" w:rsidR="008F3E8B" w:rsidRPr="00212B8B" w:rsidRDefault="008F3E8B" w:rsidP="003E5A31">
            <w:pPr>
              <w:rPr>
                <w:color w:val="000000"/>
                <w:sz w:val="20"/>
                <w:szCs w:val="20"/>
              </w:rPr>
            </w:pPr>
            <w:r w:rsidRPr="00212B8B">
              <w:rPr>
                <w:color w:val="000000"/>
                <w:sz w:val="20"/>
                <w:szCs w:val="20"/>
              </w:rPr>
              <w:t> </w:t>
            </w:r>
          </w:p>
        </w:tc>
        <w:tc>
          <w:tcPr>
            <w:tcW w:w="0" w:type="auto"/>
            <w:gridSpan w:val="6"/>
            <w:tcBorders>
              <w:bottom w:val="single" w:sz="6" w:space="0" w:color="000000"/>
            </w:tcBorders>
            <w:shd w:val="clear" w:color="auto" w:fill="auto"/>
            <w:tcMar>
              <w:top w:w="0" w:type="dxa"/>
              <w:left w:w="0" w:type="dxa"/>
              <w:bottom w:w="8" w:type="dxa"/>
              <w:right w:w="0" w:type="dxa"/>
            </w:tcMar>
            <w:vAlign w:val="bottom"/>
            <w:hideMark/>
          </w:tcPr>
          <w:p w14:paraId="3E29083D" w14:textId="69685885" w:rsidR="008F3E8B" w:rsidRPr="00212B8B" w:rsidRDefault="008B30D7" w:rsidP="003E5A31">
            <w:pPr>
              <w:jc w:val="center"/>
              <w:rPr>
                <w:color w:val="000000"/>
                <w:sz w:val="20"/>
                <w:szCs w:val="20"/>
              </w:rPr>
            </w:pPr>
            <w:r>
              <w:rPr>
                <w:color w:val="000000"/>
                <w:sz w:val="20"/>
                <w:szCs w:val="20"/>
              </w:rPr>
              <w:t>Three</w:t>
            </w:r>
            <w:r w:rsidR="008F3E8B" w:rsidRPr="00212B8B">
              <w:rPr>
                <w:color w:val="000000"/>
                <w:sz w:val="20"/>
                <w:szCs w:val="20"/>
              </w:rPr>
              <w:t xml:space="preserve"> Months Ended </w:t>
            </w:r>
            <w:r>
              <w:rPr>
                <w:color w:val="000000"/>
                <w:sz w:val="20"/>
                <w:szCs w:val="20"/>
              </w:rPr>
              <w:t>March</w:t>
            </w:r>
            <w:r w:rsidR="008F3E8B" w:rsidRPr="00212B8B">
              <w:rPr>
                <w:color w:val="000000"/>
                <w:sz w:val="20"/>
                <w:szCs w:val="20"/>
              </w:rPr>
              <w:t xml:space="preserve"> 3</w:t>
            </w:r>
            <w:r>
              <w:rPr>
                <w:color w:val="000000"/>
                <w:sz w:val="20"/>
                <w:szCs w:val="20"/>
              </w:rPr>
              <w:t>1</w:t>
            </w:r>
            <w:r w:rsidR="008F3E8B" w:rsidRPr="00212B8B">
              <w:rPr>
                <w:color w:val="000000"/>
                <w:sz w:val="20"/>
                <w:szCs w:val="20"/>
              </w:rPr>
              <w:t>,</w:t>
            </w:r>
          </w:p>
        </w:tc>
        <w:tc>
          <w:tcPr>
            <w:tcW w:w="0" w:type="auto"/>
            <w:shd w:val="clear" w:color="auto" w:fill="auto"/>
            <w:tcMar>
              <w:top w:w="0" w:type="dxa"/>
              <w:left w:w="0" w:type="dxa"/>
              <w:bottom w:w="15" w:type="dxa"/>
              <w:right w:w="0" w:type="dxa"/>
            </w:tcMar>
            <w:vAlign w:val="bottom"/>
            <w:hideMark/>
          </w:tcPr>
          <w:p w14:paraId="472DDBF5" w14:textId="77777777" w:rsidR="008F3E8B" w:rsidRPr="00212B8B" w:rsidRDefault="008F3E8B" w:rsidP="003E5A31">
            <w:pPr>
              <w:rPr>
                <w:color w:val="000000"/>
                <w:sz w:val="20"/>
                <w:szCs w:val="20"/>
              </w:rPr>
            </w:pPr>
            <w:r w:rsidRPr="00212B8B">
              <w:rPr>
                <w:color w:val="000000"/>
                <w:sz w:val="20"/>
                <w:szCs w:val="20"/>
              </w:rPr>
              <w:t> </w:t>
            </w:r>
          </w:p>
        </w:tc>
      </w:tr>
      <w:tr w:rsidR="008F3E8B" w:rsidRPr="00212B8B" w14:paraId="67C4485A" w14:textId="77777777" w:rsidTr="00BA2EE4">
        <w:trPr>
          <w:cantSplit/>
          <w:tblCellSpacing w:w="0" w:type="dxa"/>
        </w:trPr>
        <w:tc>
          <w:tcPr>
            <w:tcW w:w="3400" w:type="pct"/>
            <w:tcBorders>
              <w:bottom w:val="single" w:sz="6" w:space="0" w:color="000000"/>
            </w:tcBorders>
            <w:shd w:val="clear" w:color="auto" w:fill="auto"/>
            <w:tcMar>
              <w:top w:w="0" w:type="dxa"/>
              <w:left w:w="0" w:type="dxa"/>
              <w:bottom w:w="8" w:type="dxa"/>
              <w:right w:w="0" w:type="dxa"/>
            </w:tcMar>
            <w:vAlign w:val="bottom"/>
            <w:hideMark/>
          </w:tcPr>
          <w:p w14:paraId="7CD0B586" w14:textId="77777777" w:rsidR="008F3E8B" w:rsidRPr="00212B8B" w:rsidRDefault="008F3E8B" w:rsidP="003E5A31">
            <w:pPr>
              <w:rPr>
                <w:color w:val="000000"/>
                <w:sz w:val="20"/>
                <w:szCs w:val="20"/>
              </w:rPr>
            </w:pPr>
            <w:r w:rsidRPr="00212B8B">
              <w:rPr>
                <w:color w:val="000000"/>
                <w:sz w:val="20"/>
                <w:szCs w:val="20"/>
              </w:rPr>
              <w:t>Cash Flow Data</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6DD0BE6D" w14:textId="77777777" w:rsidR="008F3E8B" w:rsidRPr="00212B8B" w:rsidRDefault="008F3E8B"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7C265966" w14:textId="671A2C3B" w:rsidR="008F3E8B" w:rsidRPr="00212B8B" w:rsidRDefault="008F3E8B" w:rsidP="003E5A31">
            <w:pPr>
              <w:jc w:val="center"/>
              <w:rPr>
                <w:color w:val="000000"/>
                <w:sz w:val="20"/>
                <w:szCs w:val="20"/>
              </w:rPr>
            </w:pPr>
            <w:r w:rsidRPr="00212B8B">
              <w:rPr>
                <w:color w:val="000000"/>
                <w:sz w:val="20"/>
                <w:szCs w:val="20"/>
              </w:rPr>
              <w:t>202</w:t>
            </w:r>
            <w:r w:rsidR="008B30D7">
              <w:rPr>
                <w:color w:val="000000"/>
                <w:sz w:val="20"/>
                <w:szCs w:val="20"/>
              </w:rPr>
              <w:t>2</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66409D5B" w14:textId="77777777" w:rsidR="008F3E8B" w:rsidRPr="00212B8B" w:rsidRDefault="008F3E8B" w:rsidP="003E5A31">
            <w:pPr>
              <w:rPr>
                <w:color w:val="000000"/>
                <w:sz w:val="20"/>
                <w:szCs w:val="20"/>
              </w:rPr>
            </w:pPr>
            <w:r w:rsidRPr="00212B8B">
              <w:rPr>
                <w:color w:val="000000"/>
                <w:sz w:val="20"/>
                <w:szCs w:val="20"/>
              </w:rPr>
              <w:t> </w:t>
            </w:r>
          </w:p>
        </w:tc>
        <w:tc>
          <w:tcPr>
            <w:tcW w:w="0" w:type="auto"/>
            <w:tcBorders>
              <w:bottom w:val="single" w:sz="6" w:space="0" w:color="000000"/>
            </w:tcBorders>
            <w:shd w:val="clear" w:color="auto" w:fill="auto"/>
            <w:tcMar>
              <w:top w:w="0" w:type="dxa"/>
              <w:left w:w="0" w:type="dxa"/>
              <w:bottom w:w="8" w:type="dxa"/>
              <w:right w:w="0" w:type="dxa"/>
            </w:tcMar>
            <w:vAlign w:val="bottom"/>
            <w:hideMark/>
          </w:tcPr>
          <w:p w14:paraId="57E19D46" w14:textId="77777777" w:rsidR="008F3E8B" w:rsidRPr="00212B8B" w:rsidRDefault="008F3E8B" w:rsidP="003E5A31">
            <w:pPr>
              <w:rPr>
                <w:color w:val="000000"/>
                <w:sz w:val="20"/>
                <w:szCs w:val="20"/>
              </w:rPr>
            </w:pPr>
            <w:r w:rsidRPr="00212B8B">
              <w:rPr>
                <w:color w:val="000000"/>
                <w:sz w:val="20"/>
                <w:szCs w:val="20"/>
              </w:rPr>
              <w:t> </w:t>
            </w:r>
          </w:p>
        </w:tc>
        <w:tc>
          <w:tcPr>
            <w:tcW w:w="0" w:type="auto"/>
            <w:gridSpan w:val="2"/>
            <w:tcBorders>
              <w:bottom w:val="single" w:sz="6" w:space="0" w:color="000000"/>
            </w:tcBorders>
            <w:shd w:val="clear" w:color="auto" w:fill="auto"/>
            <w:tcMar>
              <w:top w:w="0" w:type="dxa"/>
              <w:left w:w="0" w:type="dxa"/>
              <w:bottom w:w="8" w:type="dxa"/>
              <w:right w:w="0" w:type="dxa"/>
            </w:tcMar>
            <w:vAlign w:val="bottom"/>
            <w:hideMark/>
          </w:tcPr>
          <w:p w14:paraId="055B71E1" w14:textId="4A36F1AF" w:rsidR="008F3E8B" w:rsidRPr="00212B8B" w:rsidRDefault="008F3E8B" w:rsidP="003E5A31">
            <w:pPr>
              <w:jc w:val="center"/>
              <w:rPr>
                <w:color w:val="000000"/>
                <w:sz w:val="20"/>
                <w:szCs w:val="20"/>
              </w:rPr>
            </w:pPr>
            <w:r w:rsidRPr="00212B8B">
              <w:rPr>
                <w:color w:val="000000"/>
                <w:sz w:val="20"/>
                <w:szCs w:val="20"/>
              </w:rPr>
              <w:t>202</w:t>
            </w:r>
            <w:r w:rsidR="008B30D7">
              <w:rPr>
                <w:color w:val="000000"/>
                <w:sz w:val="20"/>
                <w:szCs w:val="20"/>
              </w:rPr>
              <w:t>1</w:t>
            </w:r>
          </w:p>
        </w:tc>
        <w:tc>
          <w:tcPr>
            <w:tcW w:w="0" w:type="auto"/>
            <w:shd w:val="clear" w:color="auto" w:fill="auto"/>
            <w:tcMar>
              <w:top w:w="0" w:type="dxa"/>
              <w:left w:w="0" w:type="dxa"/>
              <w:bottom w:w="15" w:type="dxa"/>
              <w:right w:w="0" w:type="dxa"/>
            </w:tcMar>
            <w:vAlign w:val="bottom"/>
            <w:hideMark/>
          </w:tcPr>
          <w:p w14:paraId="202C8A59" w14:textId="77777777" w:rsidR="008F3E8B" w:rsidRPr="00212B8B" w:rsidRDefault="008F3E8B" w:rsidP="003E5A31">
            <w:pPr>
              <w:rPr>
                <w:color w:val="000000"/>
                <w:sz w:val="20"/>
                <w:szCs w:val="20"/>
              </w:rPr>
            </w:pPr>
            <w:r w:rsidRPr="00212B8B">
              <w:rPr>
                <w:color w:val="000000"/>
                <w:sz w:val="20"/>
                <w:szCs w:val="20"/>
              </w:rPr>
              <w:t> </w:t>
            </w:r>
          </w:p>
        </w:tc>
      </w:tr>
      <w:tr w:rsidR="008F3E8B" w:rsidRPr="00212B8B" w14:paraId="16C45006" w14:textId="77777777" w:rsidTr="00BA2EE4">
        <w:trPr>
          <w:cantSplit/>
          <w:tblCellSpacing w:w="0" w:type="dxa"/>
        </w:trPr>
        <w:tc>
          <w:tcPr>
            <w:tcW w:w="0" w:type="auto"/>
            <w:shd w:val="clear" w:color="auto" w:fill="auto"/>
            <w:tcMar>
              <w:top w:w="0" w:type="dxa"/>
              <w:left w:w="0" w:type="dxa"/>
              <w:bottom w:w="0" w:type="dxa"/>
              <w:right w:w="0" w:type="dxa"/>
            </w:tcMar>
            <w:vAlign w:val="bottom"/>
            <w:hideMark/>
          </w:tcPr>
          <w:p w14:paraId="7018A498" w14:textId="77777777" w:rsidR="008F3E8B" w:rsidRPr="00212B8B" w:rsidRDefault="008F3E8B" w:rsidP="003E5A31">
            <w:pPr>
              <w:rPr>
                <w:color w:val="000000"/>
                <w:sz w:val="20"/>
                <w:szCs w:val="20"/>
              </w:rPr>
            </w:pPr>
            <w:r w:rsidRPr="00212B8B">
              <w:rPr>
                <w:color w:val="000000"/>
                <w:sz w:val="20"/>
                <w:szCs w:val="20"/>
              </w:rPr>
              <w:t>Net cash provided by (used in):</w:t>
            </w:r>
          </w:p>
        </w:tc>
        <w:tc>
          <w:tcPr>
            <w:tcW w:w="0" w:type="auto"/>
            <w:shd w:val="clear" w:color="auto" w:fill="auto"/>
            <w:tcMar>
              <w:top w:w="0" w:type="dxa"/>
              <w:left w:w="0" w:type="dxa"/>
              <w:bottom w:w="0" w:type="dxa"/>
              <w:right w:w="0" w:type="dxa"/>
            </w:tcMar>
            <w:vAlign w:val="bottom"/>
            <w:hideMark/>
          </w:tcPr>
          <w:p w14:paraId="7C6F5DBE" w14:textId="77777777" w:rsidR="008F3E8B" w:rsidRPr="00212B8B" w:rsidRDefault="008F3E8B"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576C2C0C" w14:textId="77777777" w:rsidR="008F3E8B" w:rsidRPr="00212B8B" w:rsidRDefault="008F3E8B"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6BE2A318" w14:textId="77777777" w:rsidR="008F3E8B" w:rsidRPr="00212B8B" w:rsidRDefault="008F3E8B"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7097CEA5" w14:textId="77777777" w:rsidR="008F3E8B" w:rsidRPr="00212B8B" w:rsidRDefault="008F3E8B"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0ADF84C2" w14:textId="77777777" w:rsidR="008F3E8B" w:rsidRPr="00212B8B" w:rsidRDefault="008F3E8B"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3BF4C0D9" w14:textId="77777777" w:rsidR="008F3E8B" w:rsidRPr="00212B8B" w:rsidRDefault="008F3E8B"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37970B6A" w14:textId="77777777" w:rsidR="008F3E8B" w:rsidRPr="00212B8B" w:rsidRDefault="008F3E8B" w:rsidP="003E5A31">
            <w:pPr>
              <w:rPr>
                <w:color w:val="000000"/>
                <w:sz w:val="20"/>
                <w:szCs w:val="20"/>
              </w:rPr>
            </w:pPr>
            <w:r w:rsidRPr="00212B8B">
              <w:rPr>
                <w:color w:val="000000"/>
                <w:sz w:val="20"/>
                <w:szCs w:val="20"/>
              </w:rPr>
              <w:t> </w:t>
            </w:r>
          </w:p>
        </w:tc>
        <w:tc>
          <w:tcPr>
            <w:tcW w:w="0" w:type="auto"/>
            <w:shd w:val="clear" w:color="auto" w:fill="auto"/>
            <w:tcMar>
              <w:top w:w="0" w:type="dxa"/>
              <w:left w:w="0" w:type="dxa"/>
              <w:bottom w:w="0" w:type="dxa"/>
              <w:right w:w="0" w:type="dxa"/>
            </w:tcMar>
            <w:vAlign w:val="bottom"/>
            <w:hideMark/>
          </w:tcPr>
          <w:p w14:paraId="389DBF65" w14:textId="77777777" w:rsidR="008F3E8B" w:rsidRPr="00212B8B" w:rsidRDefault="008F3E8B" w:rsidP="003E5A31">
            <w:pPr>
              <w:rPr>
                <w:color w:val="000000"/>
                <w:sz w:val="20"/>
                <w:szCs w:val="20"/>
              </w:rPr>
            </w:pPr>
            <w:r w:rsidRPr="00212B8B">
              <w:rPr>
                <w:color w:val="000000"/>
                <w:sz w:val="20"/>
                <w:szCs w:val="20"/>
              </w:rPr>
              <w:t> </w:t>
            </w:r>
          </w:p>
        </w:tc>
      </w:tr>
      <w:tr w:rsidR="008F3E8B" w:rsidRPr="00212B8B" w14:paraId="532C5980" w14:textId="77777777" w:rsidTr="00BA2EE4">
        <w:trPr>
          <w:cantSplit/>
          <w:tblCellSpacing w:w="0" w:type="dxa"/>
        </w:trPr>
        <w:tc>
          <w:tcPr>
            <w:tcW w:w="0" w:type="auto"/>
            <w:shd w:val="clear" w:color="auto" w:fill="auto"/>
            <w:tcMar>
              <w:top w:w="0" w:type="dxa"/>
              <w:left w:w="0" w:type="dxa"/>
              <w:bottom w:w="0" w:type="dxa"/>
              <w:right w:w="0" w:type="dxa"/>
            </w:tcMar>
            <w:vAlign w:val="bottom"/>
            <w:hideMark/>
          </w:tcPr>
          <w:p w14:paraId="043EB0DA" w14:textId="77777777" w:rsidR="008F3E8B" w:rsidRPr="00212B8B" w:rsidRDefault="008F3E8B" w:rsidP="003E5A31">
            <w:pPr>
              <w:ind w:left="180"/>
              <w:rPr>
                <w:color w:val="000000"/>
                <w:sz w:val="20"/>
                <w:szCs w:val="20"/>
              </w:rPr>
            </w:pPr>
            <w:r w:rsidRPr="00212B8B">
              <w:rPr>
                <w:color w:val="000000"/>
                <w:sz w:val="20"/>
                <w:szCs w:val="20"/>
              </w:rPr>
              <w:t>Operating activities</w:t>
            </w:r>
          </w:p>
        </w:tc>
        <w:tc>
          <w:tcPr>
            <w:tcW w:w="50" w:type="pct"/>
            <w:shd w:val="clear" w:color="auto" w:fill="auto"/>
            <w:tcMar>
              <w:top w:w="0" w:type="dxa"/>
              <w:left w:w="0" w:type="dxa"/>
              <w:bottom w:w="0" w:type="dxa"/>
              <w:right w:w="0" w:type="dxa"/>
            </w:tcMar>
            <w:vAlign w:val="bottom"/>
            <w:hideMark/>
          </w:tcPr>
          <w:p w14:paraId="74135749"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25087F49" w14:textId="77777777" w:rsidR="008F3E8B" w:rsidRPr="00212B8B" w:rsidRDefault="008F3E8B" w:rsidP="003E5A31">
            <w:pPr>
              <w:rPr>
                <w:color w:val="000000"/>
                <w:sz w:val="20"/>
                <w:szCs w:val="20"/>
              </w:rPr>
            </w:pPr>
            <w:r w:rsidRPr="00212B8B">
              <w:rPr>
                <w:color w:val="000000"/>
                <w:sz w:val="20"/>
                <w:szCs w:val="20"/>
              </w:rPr>
              <w:t>$</w:t>
            </w:r>
          </w:p>
        </w:tc>
        <w:tc>
          <w:tcPr>
            <w:tcW w:w="650" w:type="pct"/>
            <w:shd w:val="clear" w:color="auto" w:fill="auto"/>
            <w:tcMar>
              <w:top w:w="0" w:type="dxa"/>
              <w:left w:w="0" w:type="dxa"/>
              <w:bottom w:w="0" w:type="dxa"/>
              <w:right w:w="0" w:type="dxa"/>
            </w:tcMar>
            <w:vAlign w:val="bottom"/>
            <w:hideMark/>
          </w:tcPr>
          <w:p w14:paraId="5207DF6C" w14:textId="4275FD7F" w:rsidR="008F3E8B" w:rsidRPr="00212B8B" w:rsidRDefault="008F3E8B" w:rsidP="003E5A31">
            <w:pPr>
              <w:jc w:val="right"/>
              <w:rPr>
                <w:color w:val="000000"/>
                <w:sz w:val="20"/>
                <w:szCs w:val="20"/>
              </w:rPr>
            </w:pPr>
            <w:r w:rsidRPr="00212B8B">
              <w:rPr>
                <w:color w:val="000000"/>
                <w:sz w:val="20"/>
                <w:szCs w:val="20"/>
              </w:rPr>
              <w:t>(</w:t>
            </w:r>
            <w:r w:rsidR="008B30D7">
              <w:rPr>
                <w:color w:val="000000"/>
                <w:sz w:val="20"/>
                <w:szCs w:val="20"/>
              </w:rPr>
              <w:t>4,333,240</w:t>
            </w:r>
          </w:p>
        </w:tc>
        <w:tc>
          <w:tcPr>
            <w:tcW w:w="50" w:type="pct"/>
            <w:shd w:val="clear" w:color="auto" w:fill="auto"/>
            <w:tcMar>
              <w:top w:w="0" w:type="dxa"/>
              <w:left w:w="0" w:type="dxa"/>
              <w:bottom w:w="0" w:type="dxa"/>
              <w:right w:w="0" w:type="dxa"/>
            </w:tcMar>
            <w:vAlign w:val="bottom"/>
            <w:hideMark/>
          </w:tcPr>
          <w:p w14:paraId="13130C27" w14:textId="77777777" w:rsidR="008F3E8B" w:rsidRPr="00212B8B" w:rsidRDefault="008F3E8B" w:rsidP="003E5A31">
            <w:pPr>
              <w:rPr>
                <w:color w:val="000000"/>
                <w:sz w:val="20"/>
                <w:szCs w:val="20"/>
              </w:rPr>
            </w:pPr>
            <w:r w:rsidRPr="00212B8B">
              <w:rPr>
                <w:color w:val="000000"/>
                <w:sz w:val="20"/>
                <w:szCs w:val="20"/>
              </w:rPr>
              <w:t>)</w:t>
            </w:r>
          </w:p>
        </w:tc>
        <w:tc>
          <w:tcPr>
            <w:tcW w:w="50" w:type="pct"/>
            <w:shd w:val="clear" w:color="auto" w:fill="auto"/>
            <w:tcMar>
              <w:top w:w="0" w:type="dxa"/>
              <w:left w:w="0" w:type="dxa"/>
              <w:bottom w:w="0" w:type="dxa"/>
              <w:right w:w="0" w:type="dxa"/>
            </w:tcMar>
            <w:vAlign w:val="bottom"/>
            <w:hideMark/>
          </w:tcPr>
          <w:p w14:paraId="5CC5E672"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2F2678AF" w14:textId="77777777" w:rsidR="008F3E8B" w:rsidRPr="00212B8B" w:rsidRDefault="008F3E8B" w:rsidP="003E5A31">
            <w:pPr>
              <w:rPr>
                <w:color w:val="000000"/>
                <w:sz w:val="20"/>
                <w:szCs w:val="20"/>
              </w:rPr>
            </w:pPr>
            <w:r w:rsidRPr="00212B8B">
              <w:rPr>
                <w:color w:val="000000"/>
                <w:sz w:val="20"/>
                <w:szCs w:val="20"/>
              </w:rPr>
              <w:t>$</w:t>
            </w:r>
          </w:p>
        </w:tc>
        <w:tc>
          <w:tcPr>
            <w:tcW w:w="650" w:type="pct"/>
            <w:shd w:val="clear" w:color="auto" w:fill="auto"/>
            <w:tcMar>
              <w:top w:w="0" w:type="dxa"/>
              <w:left w:w="0" w:type="dxa"/>
              <w:bottom w:w="0" w:type="dxa"/>
              <w:right w:w="0" w:type="dxa"/>
            </w:tcMar>
            <w:vAlign w:val="bottom"/>
            <w:hideMark/>
          </w:tcPr>
          <w:p w14:paraId="71F0A02C" w14:textId="1969BAD5" w:rsidR="008F3E8B" w:rsidRPr="00212B8B" w:rsidRDefault="008F3E8B" w:rsidP="003E5A31">
            <w:pPr>
              <w:jc w:val="right"/>
              <w:rPr>
                <w:color w:val="000000"/>
                <w:sz w:val="20"/>
                <w:szCs w:val="20"/>
              </w:rPr>
            </w:pPr>
            <w:r w:rsidRPr="00212B8B">
              <w:rPr>
                <w:color w:val="000000"/>
                <w:sz w:val="20"/>
                <w:szCs w:val="20"/>
              </w:rPr>
              <w:t>(1,</w:t>
            </w:r>
            <w:r w:rsidR="008B30D7">
              <w:rPr>
                <w:color w:val="000000"/>
                <w:sz w:val="20"/>
                <w:szCs w:val="20"/>
              </w:rPr>
              <w:t>621,027</w:t>
            </w:r>
          </w:p>
        </w:tc>
        <w:tc>
          <w:tcPr>
            <w:tcW w:w="50" w:type="pct"/>
            <w:shd w:val="clear" w:color="auto" w:fill="auto"/>
            <w:tcMar>
              <w:top w:w="0" w:type="dxa"/>
              <w:left w:w="0" w:type="dxa"/>
              <w:bottom w:w="0" w:type="dxa"/>
              <w:right w:w="0" w:type="dxa"/>
            </w:tcMar>
            <w:vAlign w:val="bottom"/>
            <w:hideMark/>
          </w:tcPr>
          <w:p w14:paraId="373DA694" w14:textId="77777777" w:rsidR="008F3E8B" w:rsidRPr="00212B8B" w:rsidRDefault="008F3E8B" w:rsidP="003E5A31">
            <w:pPr>
              <w:rPr>
                <w:color w:val="000000"/>
                <w:sz w:val="20"/>
                <w:szCs w:val="20"/>
              </w:rPr>
            </w:pPr>
            <w:r w:rsidRPr="00212B8B">
              <w:rPr>
                <w:color w:val="000000"/>
                <w:sz w:val="20"/>
                <w:szCs w:val="20"/>
              </w:rPr>
              <w:t>)</w:t>
            </w:r>
          </w:p>
        </w:tc>
      </w:tr>
      <w:tr w:rsidR="008F3E8B" w:rsidRPr="00212B8B" w14:paraId="268A9CBB" w14:textId="77777777" w:rsidTr="00BA2EE4">
        <w:trPr>
          <w:cantSplit/>
          <w:tblCellSpacing w:w="0" w:type="dxa"/>
        </w:trPr>
        <w:tc>
          <w:tcPr>
            <w:tcW w:w="0" w:type="auto"/>
            <w:shd w:val="clear" w:color="auto" w:fill="auto"/>
            <w:tcMar>
              <w:top w:w="0" w:type="dxa"/>
              <w:left w:w="0" w:type="dxa"/>
              <w:bottom w:w="0" w:type="dxa"/>
              <w:right w:w="0" w:type="dxa"/>
            </w:tcMar>
            <w:vAlign w:val="bottom"/>
            <w:hideMark/>
          </w:tcPr>
          <w:p w14:paraId="67726641" w14:textId="77777777" w:rsidR="008F3E8B" w:rsidRPr="00212B8B" w:rsidRDefault="008F3E8B" w:rsidP="003E5A31">
            <w:pPr>
              <w:ind w:left="180"/>
              <w:rPr>
                <w:color w:val="000000"/>
                <w:sz w:val="20"/>
                <w:szCs w:val="20"/>
              </w:rPr>
            </w:pPr>
            <w:r w:rsidRPr="00212B8B">
              <w:rPr>
                <w:color w:val="000000"/>
                <w:sz w:val="20"/>
                <w:szCs w:val="20"/>
              </w:rPr>
              <w:t>Investing activities</w:t>
            </w:r>
          </w:p>
        </w:tc>
        <w:tc>
          <w:tcPr>
            <w:tcW w:w="50" w:type="pct"/>
            <w:shd w:val="clear" w:color="auto" w:fill="auto"/>
            <w:tcMar>
              <w:top w:w="0" w:type="dxa"/>
              <w:left w:w="0" w:type="dxa"/>
              <w:bottom w:w="0" w:type="dxa"/>
              <w:right w:w="0" w:type="dxa"/>
            </w:tcMar>
            <w:vAlign w:val="bottom"/>
            <w:hideMark/>
          </w:tcPr>
          <w:p w14:paraId="2AC9B4E4"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172D4A2D" w14:textId="77777777" w:rsidR="008F3E8B" w:rsidRPr="00212B8B" w:rsidRDefault="008F3E8B" w:rsidP="003E5A31">
            <w:pPr>
              <w:rPr>
                <w:color w:val="000000"/>
                <w:sz w:val="20"/>
                <w:szCs w:val="20"/>
              </w:rPr>
            </w:pPr>
            <w:r w:rsidRPr="00212B8B">
              <w:rPr>
                <w:color w:val="000000"/>
                <w:sz w:val="20"/>
                <w:szCs w:val="20"/>
              </w:rPr>
              <w:t> </w:t>
            </w:r>
          </w:p>
        </w:tc>
        <w:tc>
          <w:tcPr>
            <w:tcW w:w="650" w:type="pct"/>
            <w:shd w:val="clear" w:color="auto" w:fill="auto"/>
            <w:tcMar>
              <w:top w:w="0" w:type="dxa"/>
              <w:left w:w="0" w:type="dxa"/>
              <w:bottom w:w="0" w:type="dxa"/>
              <w:right w:w="0" w:type="dxa"/>
            </w:tcMar>
            <w:vAlign w:val="bottom"/>
            <w:hideMark/>
          </w:tcPr>
          <w:p w14:paraId="3F834E6E" w14:textId="5C413BB9" w:rsidR="008F3E8B" w:rsidRPr="00212B8B" w:rsidRDefault="008F3E8B" w:rsidP="003E5A31">
            <w:pPr>
              <w:jc w:val="right"/>
              <w:rPr>
                <w:color w:val="000000"/>
                <w:sz w:val="20"/>
                <w:szCs w:val="20"/>
              </w:rPr>
            </w:pPr>
            <w:r w:rsidRPr="00212B8B">
              <w:rPr>
                <w:color w:val="000000"/>
                <w:sz w:val="20"/>
                <w:szCs w:val="20"/>
              </w:rPr>
              <w:t>(</w:t>
            </w:r>
            <w:r w:rsidR="008B30D7">
              <w:rPr>
                <w:color w:val="000000"/>
                <w:sz w:val="20"/>
                <w:szCs w:val="20"/>
              </w:rPr>
              <w:t>62,186</w:t>
            </w:r>
          </w:p>
        </w:tc>
        <w:tc>
          <w:tcPr>
            <w:tcW w:w="50" w:type="pct"/>
            <w:shd w:val="clear" w:color="auto" w:fill="auto"/>
            <w:tcMar>
              <w:top w:w="0" w:type="dxa"/>
              <w:left w:w="0" w:type="dxa"/>
              <w:bottom w:w="0" w:type="dxa"/>
              <w:right w:w="0" w:type="dxa"/>
            </w:tcMar>
            <w:vAlign w:val="bottom"/>
            <w:hideMark/>
          </w:tcPr>
          <w:p w14:paraId="2B64A0A3" w14:textId="77777777" w:rsidR="008F3E8B" w:rsidRPr="00212B8B" w:rsidRDefault="008F3E8B" w:rsidP="003E5A31">
            <w:pPr>
              <w:rPr>
                <w:color w:val="000000"/>
                <w:sz w:val="20"/>
                <w:szCs w:val="20"/>
              </w:rPr>
            </w:pPr>
            <w:r w:rsidRPr="00212B8B">
              <w:rPr>
                <w:color w:val="000000"/>
                <w:sz w:val="20"/>
                <w:szCs w:val="20"/>
              </w:rPr>
              <w:t>)</w:t>
            </w:r>
          </w:p>
        </w:tc>
        <w:tc>
          <w:tcPr>
            <w:tcW w:w="50" w:type="pct"/>
            <w:shd w:val="clear" w:color="auto" w:fill="auto"/>
            <w:tcMar>
              <w:top w:w="0" w:type="dxa"/>
              <w:left w:w="0" w:type="dxa"/>
              <w:bottom w:w="0" w:type="dxa"/>
              <w:right w:w="0" w:type="dxa"/>
            </w:tcMar>
            <w:vAlign w:val="bottom"/>
            <w:hideMark/>
          </w:tcPr>
          <w:p w14:paraId="4E735C6A" w14:textId="77777777" w:rsidR="008F3E8B" w:rsidRPr="00212B8B" w:rsidRDefault="008F3E8B" w:rsidP="003E5A31">
            <w:pPr>
              <w:rPr>
                <w:color w:val="000000"/>
                <w:sz w:val="20"/>
                <w:szCs w:val="20"/>
              </w:rPr>
            </w:pPr>
            <w:r w:rsidRPr="00212B8B">
              <w:rPr>
                <w:color w:val="000000"/>
                <w:sz w:val="20"/>
                <w:szCs w:val="20"/>
              </w:rPr>
              <w:t> </w:t>
            </w:r>
          </w:p>
        </w:tc>
        <w:tc>
          <w:tcPr>
            <w:tcW w:w="50" w:type="pct"/>
            <w:shd w:val="clear" w:color="auto" w:fill="auto"/>
            <w:tcMar>
              <w:top w:w="0" w:type="dxa"/>
              <w:left w:w="0" w:type="dxa"/>
              <w:bottom w:w="0" w:type="dxa"/>
              <w:right w:w="0" w:type="dxa"/>
            </w:tcMar>
            <w:vAlign w:val="bottom"/>
            <w:hideMark/>
          </w:tcPr>
          <w:p w14:paraId="3AAD281F" w14:textId="77777777" w:rsidR="008F3E8B" w:rsidRPr="00212B8B" w:rsidRDefault="008F3E8B" w:rsidP="003E5A31">
            <w:pPr>
              <w:rPr>
                <w:color w:val="000000"/>
                <w:sz w:val="20"/>
                <w:szCs w:val="20"/>
              </w:rPr>
            </w:pPr>
            <w:r w:rsidRPr="00212B8B">
              <w:rPr>
                <w:color w:val="000000"/>
                <w:sz w:val="20"/>
                <w:szCs w:val="20"/>
              </w:rPr>
              <w:t> </w:t>
            </w:r>
          </w:p>
        </w:tc>
        <w:tc>
          <w:tcPr>
            <w:tcW w:w="650" w:type="pct"/>
            <w:shd w:val="clear" w:color="auto" w:fill="auto"/>
            <w:tcMar>
              <w:top w:w="0" w:type="dxa"/>
              <w:left w:w="0" w:type="dxa"/>
              <w:bottom w:w="0" w:type="dxa"/>
              <w:right w:w="0" w:type="dxa"/>
            </w:tcMar>
            <w:vAlign w:val="bottom"/>
            <w:hideMark/>
          </w:tcPr>
          <w:p w14:paraId="1FE91065" w14:textId="1DEDEE46" w:rsidR="008F3E8B" w:rsidRPr="00212B8B" w:rsidRDefault="008B30D7" w:rsidP="003E5A31">
            <w:pPr>
              <w:jc w:val="right"/>
              <w:rPr>
                <w:color w:val="000000"/>
                <w:sz w:val="20"/>
                <w:szCs w:val="20"/>
              </w:rPr>
            </w:pPr>
            <w:r>
              <w:rPr>
                <w:color w:val="000000"/>
                <w:sz w:val="20"/>
                <w:szCs w:val="20"/>
              </w:rPr>
              <w:t>-</w:t>
            </w:r>
          </w:p>
        </w:tc>
        <w:tc>
          <w:tcPr>
            <w:tcW w:w="50" w:type="pct"/>
            <w:shd w:val="clear" w:color="auto" w:fill="auto"/>
            <w:tcMar>
              <w:top w:w="0" w:type="dxa"/>
              <w:left w:w="0" w:type="dxa"/>
              <w:bottom w:w="0" w:type="dxa"/>
              <w:right w:w="0" w:type="dxa"/>
            </w:tcMar>
            <w:vAlign w:val="bottom"/>
            <w:hideMark/>
          </w:tcPr>
          <w:p w14:paraId="4B26B215" w14:textId="0831483C" w:rsidR="008F3E8B" w:rsidRPr="00212B8B" w:rsidRDefault="008F3E8B" w:rsidP="003E5A31">
            <w:pPr>
              <w:rPr>
                <w:color w:val="000000"/>
                <w:sz w:val="20"/>
                <w:szCs w:val="20"/>
              </w:rPr>
            </w:pPr>
          </w:p>
        </w:tc>
      </w:tr>
      <w:tr w:rsidR="008F3E8B" w:rsidRPr="00212B8B" w14:paraId="2CD2EA4A" w14:textId="77777777" w:rsidTr="00BA2EE4">
        <w:trPr>
          <w:cantSplit/>
          <w:tblCellSpacing w:w="0" w:type="dxa"/>
        </w:trPr>
        <w:tc>
          <w:tcPr>
            <w:tcW w:w="0" w:type="auto"/>
            <w:shd w:val="clear" w:color="auto" w:fill="auto"/>
            <w:tcMar>
              <w:top w:w="0" w:type="dxa"/>
              <w:left w:w="0" w:type="dxa"/>
              <w:bottom w:w="0" w:type="dxa"/>
              <w:right w:w="0" w:type="dxa"/>
            </w:tcMar>
            <w:vAlign w:val="bottom"/>
            <w:hideMark/>
          </w:tcPr>
          <w:p w14:paraId="2EAB8841" w14:textId="77777777" w:rsidR="008F3E8B" w:rsidRPr="00212B8B" w:rsidRDefault="008F3E8B" w:rsidP="003E5A31">
            <w:pPr>
              <w:ind w:left="180"/>
              <w:rPr>
                <w:color w:val="000000"/>
                <w:sz w:val="20"/>
                <w:szCs w:val="20"/>
              </w:rPr>
            </w:pPr>
            <w:r w:rsidRPr="00212B8B">
              <w:rPr>
                <w:color w:val="000000"/>
                <w:sz w:val="20"/>
                <w:szCs w:val="20"/>
              </w:rPr>
              <w:t>Financing activities</w:t>
            </w:r>
          </w:p>
        </w:tc>
        <w:tc>
          <w:tcPr>
            <w:tcW w:w="50" w:type="pct"/>
            <w:shd w:val="clear" w:color="auto" w:fill="auto"/>
            <w:tcMar>
              <w:top w:w="0" w:type="dxa"/>
              <w:left w:w="0" w:type="dxa"/>
              <w:bottom w:w="0" w:type="dxa"/>
              <w:right w:w="0" w:type="dxa"/>
            </w:tcMar>
            <w:vAlign w:val="bottom"/>
            <w:hideMark/>
          </w:tcPr>
          <w:p w14:paraId="0596E2AF"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0883087A" w14:textId="77777777" w:rsidR="008F3E8B" w:rsidRPr="00212B8B" w:rsidRDefault="008F3E8B" w:rsidP="003E5A31">
            <w:pPr>
              <w:rPr>
                <w:color w:val="000000"/>
                <w:sz w:val="20"/>
                <w:szCs w:val="20"/>
              </w:rPr>
            </w:pPr>
            <w:r w:rsidRPr="00212B8B">
              <w:rPr>
                <w:color w:val="000000"/>
                <w:sz w:val="20"/>
                <w:szCs w:val="20"/>
              </w:rPr>
              <w:t> </w:t>
            </w:r>
          </w:p>
        </w:tc>
        <w:tc>
          <w:tcPr>
            <w:tcW w:w="650" w:type="pct"/>
            <w:tcBorders>
              <w:bottom w:val="single" w:sz="6" w:space="0" w:color="000000"/>
            </w:tcBorders>
            <w:shd w:val="clear" w:color="auto" w:fill="auto"/>
            <w:tcMar>
              <w:top w:w="0" w:type="dxa"/>
              <w:left w:w="0" w:type="dxa"/>
              <w:bottom w:w="8" w:type="dxa"/>
              <w:right w:w="0" w:type="dxa"/>
            </w:tcMar>
            <w:vAlign w:val="bottom"/>
            <w:hideMark/>
          </w:tcPr>
          <w:p w14:paraId="25E8ECF0" w14:textId="78FDD7E6" w:rsidR="008F3E8B" w:rsidRPr="00212B8B" w:rsidRDefault="008B30D7" w:rsidP="003E5A31">
            <w:pPr>
              <w:jc w:val="right"/>
              <w:rPr>
                <w:color w:val="000000"/>
                <w:sz w:val="20"/>
                <w:szCs w:val="20"/>
              </w:rPr>
            </w:pPr>
            <w:r>
              <w:rPr>
                <w:color w:val="000000"/>
                <w:sz w:val="20"/>
                <w:szCs w:val="20"/>
              </w:rPr>
              <w:t>9,229,272</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73D68B00"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089F7AB6"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single" w:sz="6" w:space="0" w:color="000000"/>
            </w:tcBorders>
            <w:shd w:val="clear" w:color="auto" w:fill="auto"/>
            <w:tcMar>
              <w:top w:w="0" w:type="dxa"/>
              <w:left w:w="0" w:type="dxa"/>
              <w:bottom w:w="8" w:type="dxa"/>
              <w:right w:w="0" w:type="dxa"/>
            </w:tcMar>
            <w:vAlign w:val="bottom"/>
            <w:hideMark/>
          </w:tcPr>
          <w:p w14:paraId="69334765" w14:textId="77777777" w:rsidR="008F3E8B" w:rsidRPr="00212B8B" w:rsidRDefault="008F3E8B" w:rsidP="003E5A31">
            <w:pPr>
              <w:rPr>
                <w:color w:val="000000"/>
                <w:sz w:val="20"/>
                <w:szCs w:val="20"/>
              </w:rPr>
            </w:pPr>
            <w:r w:rsidRPr="00212B8B">
              <w:rPr>
                <w:color w:val="000000"/>
                <w:sz w:val="20"/>
                <w:szCs w:val="20"/>
              </w:rPr>
              <w:t> </w:t>
            </w:r>
          </w:p>
        </w:tc>
        <w:tc>
          <w:tcPr>
            <w:tcW w:w="650" w:type="pct"/>
            <w:tcBorders>
              <w:bottom w:val="single" w:sz="6" w:space="0" w:color="000000"/>
            </w:tcBorders>
            <w:shd w:val="clear" w:color="auto" w:fill="auto"/>
            <w:tcMar>
              <w:top w:w="0" w:type="dxa"/>
              <w:left w:w="0" w:type="dxa"/>
              <w:bottom w:w="8" w:type="dxa"/>
              <w:right w:w="0" w:type="dxa"/>
            </w:tcMar>
            <w:vAlign w:val="bottom"/>
            <w:hideMark/>
          </w:tcPr>
          <w:p w14:paraId="6F46DF21" w14:textId="3B0F3524" w:rsidR="008F3E8B" w:rsidRPr="00212B8B" w:rsidRDefault="008B30D7" w:rsidP="003E5A31">
            <w:pPr>
              <w:jc w:val="right"/>
              <w:rPr>
                <w:color w:val="000000"/>
                <w:sz w:val="20"/>
                <w:szCs w:val="20"/>
              </w:rPr>
            </w:pPr>
            <w:r>
              <w:rPr>
                <w:color w:val="000000"/>
                <w:sz w:val="20"/>
                <w:szCs w:val="20"/>
              </w:rPr>
              <w:t>12,580,013</w:t>
            </w:r>
          </w:p>
        </w:tc>
        <w:tc>
          <w:tcPr>
            <w:tcW w:w="50" w:type="pct"/>
            <w:shd w:val="clear" w:color="auto" w:fill="auto"/>
            <w:tcMar>
              <w:top w:w="0" w:type="dxa"/>
              <w:left w:w="0" w:type="dxa"/>
              <w:bottom w:w="15" w:type="dxa"/>
              <w:right w:w="0" w:type="dxa"/>
            </w:tcMar>
            <w:vAlign w:val="bottom"/>
            <w:hideMark/>
          </w:tcPr>
          <w:p w14:paraId="0CEAF558" w14:textId="77777777" w:rsidR="008F3E8B" w:rsidRPr="00212B8B" w:rsidRDefault="008F3E8B" w:rsidP="003E5A31">
            <w:pPr>
              <w:rPr>
                <w:color w:val="000000"/>
                <w:sz w:val="20"/>
                <w:szCs w:val="20"/>
              </w:rPr>
            </w:pPr>
            <w:r w:rsidRPr="00212B8B">
              <w:rPr>
                <w:color w:val="000000"/>
                <w:sz w:val="20"/>
                <w:szCs w:val="20"/>
              </w:rPr>
              <w:t> </w:t>
            </w:r>
          </w:p>
        </w:tc>
      </w:tr>
      <w:tr w:rsidR="008F3E8B" w:rsidRPr="00212B8B" w14:paraId="35F08E8F" w14:textId="77777777" w:rsidTr="00BA2EE4">
        <w:trPr>
          <w:cantSplit/>
          <w:tblCellSpacing w:w="0" w:type="dxa"/>
        </w:trPr>
        <w:tc>
          <w:tcPr>
            <w:tcW w:w="0" w:type="auto"/>
            <w:shd w:val="clear" w:color="auto" w:fill="auto"/>
            <w:tcMar>
              <w:top w:w="0" w:type="dxa"/>
              <w:left w:w="0" w:type="dxa"/>
              <w:bottom w:w="0" w:type="dxa"/>
              <w:right w:w="0" w:type="dxa"/>
            </w:tcMar>
            <w:vAlign w:val="bottom"/>
            <w:hideMark/>
          </w:tcPr>
          <w:p w14:paraId="3272F100" w14:textId="77777777" w:rsidR="008F3E8B" w:rsidRPr="00212B8B" w:rsidRDefault="008F3E8B" w:rsidP="003E5A31">
            <w:pPr>
              <w:rPr>
                <w:color w:val="000000"/>
                <w:sz w:val="20"/>
                <w:szCs w:val="20"/>
              </w:rPr>
            </w:pPr>
            <w:r w:rsidRPr="00212B8B">
              <w:rPr>
                <w:color w:val="000000"/>
                <w:sz w:val="20"/>
                <w:szCs w:val="20"/>
              </w:rPr>
              <w:t>Net increase in cash and cash equivalents</w:t>
            </w:r>
          </w:p>
        </w:tc>
        <w:tc>
          <w:tcPr>
            <w:tcW w:w="50" w:type="pct"/>
            <w:shd w:val="clear" w:color="auto" w:fill="auto"/>
            <w:tcMar>
              <w:top w:w="0" w:type="dxa"/>
              <w:left w:w="0" w:type="dxa"/>
              <w:bottom w:w="0" w:type="dxa"/>
              <w:right w:w="0" w:type="dxa"/>
            </w:tcMar>
            <w:vAlign w:val="bottom"/>
            <w:hideMark/>
          </w:tcPr>
          <w:p w14:paraId="7E9457DA"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1BFB31A5" w14:textId="77777777" w:rsidR="008F3E8B" w:rsidRPr="00212B8B" w:rsidRDefault="008F3E8B" w:rsidP="003E5A31">
            <w:pPr>
              <w:rPr>
                <w:color w:val="000000"/>
                <w:sz w:val="20"/>
                <w:szCs w:val="20"/>
              </w:rPr>
            </w:pPr>
            <w:r w:rsidRPr="00212B8B">
              <w:rPr>
                <w:color w:val="000000"/>
                <w:sz w:val="20"/>
                <w:szCs w:val="20"/>
              </w:rPr>
              <w:t>$</w:t>
            </w:r>
          </w:p>
        </w:tc>
        <w:tc>
          <w:tcPr>
            <w:tcW w:w="650" w:type="pct"/>
            <w:tcBorders>
              <w:bottom w:val="double" w:sz="6" w:space="0" w:color="000000"/>
            </w:tcBorders>
            <w:shd w:val="clear" w:color="auto" w:fill="auto"/>
            <w:tcMar>
              <w:top w:w="0" w:type="dxa"/>
              <w:left w:w="0" w:type="dxa"/>
              <w:bottom w:w="22" w:type="dxa"/>
              <w:right w:w="0" w:type="dxa"/>
            </w:tcMar>
            <w:vAlign w:val="bottom"/>
            <w:hideMark/>
          </w:tcPr>
          <w:p w14:paraId="0EAC4CB4" w14:textId="6D51DDAE" w:rsidR="008F3E8B" w:rsidRPr="00212B8B" w:rsidRDefault="008B30D7" w:rsidP="003E5A31">
            <w:pPr>
              <w:jc w:val="right"/>
              <w:rPr>
                <w:color w:val="000000"/>
                <w:sz w:val="20"/>
                <w:szCs w:val="20"/>
              </w:rPr>
            </w:pPr>
            <w:r>
              <w:rPr>
                <w:color w:val="000000"/>
                <w:sz w:val="20"/>
                <w:szCs w:val="20"/>
              </w:rPr>
              <w:t>4,833,846</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03074CFE"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4A215735" w14:textId="77777777" w:rsidR="008F3E8B" w:rsidRPr="00212B8B" w:rsidRDefault="008F3E8B" w:rsidP="003E5A31">
            <w:pPr>
              <w:rPr>
                <w:color w:val="000000"/>
                <w:sz w:val="20"/>
                <w:szCs w:val="20"/>
              </w:rPr>
            </w:pPr>
            <w:r w:rsidRPr="00212B8B">
              <w:rPr>
                <w:color w:val="000000"/>
                <w:sz w:val="20"/>
                <w:szCs w:val="20"/>
              </w:rPr>
              <w:t> </w:t>
            </w:r>
          </w:p>
        </w:tc>
        <w:tc>
          <w:tcPr>
            <w:tcW w:w="50" w:type="pct"/>
            <w:tcBorders>
              <w:bottom w:val="double" w:sz="6" w:space="0" w:color="000000"/>
            </w:tcBorders>
            <w:shd w:val="clear" w:color="auto" w:fill="auto"/>
            <w:tcMar>
              <w:top w:w="0" w:type="dxa"/>
              <w:left w:w="0" w:type="dxa"/>
              <w:bottom w:w="22" w:type="dxa"/>
              <w:right w:w="0" w:type="dxa"/>
            </w:tcMar>
            <w:vAlign w:val="bottom"/>
            <w:hideMark/>
          </w:tcPr>
          <w:p w14:paraId="7C1B692A" w14:textId="77777777" w:rsidR="008F3E8B" w:rsidRPr="00212B8B" w:rsidRDefault="008F3E8B" w:rsidP="003E5A31">
            <w:pPr>
              <w:rPr>
                <w:color w:val="000000"/>
                <w:sz w:val="20"/>
                <w:szCs w:val="20"/>
              </w:rPr>
            </w:pPr>
            <w:r w:rsidRPr="00212B8B">
              <w:rPr>
                <w:color w:val="000000"/>
                <w:sz w:val="20"/>
                <w:szCs w:val="20"/>
              </w:rPr>
              <w:t>$</w:t>
            </w:r>
          </w:p>
        </w:tc>
        <w:tc>
          <w:tcPr>
            <w:tcW w:w="650" w:type="pct"/>
            <w:tcBorders>
              <w:bottom w:val="double" w:sz="6" w:space="0" w:color="000000"/>
            </w:tcBorders>
            <w:shd w:val="clear" w:color="auto" w:fill="auto"/>
            <w:tcMar>
              <w:top w:w="0" w:type="dxa"/>
              <w:left w:w="0" w:type="dxa"/>
              <w:bottom w:w="22" w:type="dxa"/>
              <w:right w:w="0" w:type="dxa"/>
            </w:tcMar>
            <w:vAlign w:val="bottom"/>
            <w:hideMark/>
          </w:tcPr>
          <w:p w14:paraId="429E6A17" w14:textId="2235E5FE" w:rsidR="008F3E8B" w:rsidRPr="00212B8B" w:rsidRDefault="008B30D7" w:rsidP="003E5A31">
            <w:pPr>
              <w:jc w:val="right"/>
              <w:rPr>
                <w:color w:val="000000"/>
                <w:sz w:val="20"/>
                <w:szCs w:val="20"/>
              </w:rPr>
            </w:pPr>
            <w:r>
              <w:rPr>
                <w:color w:val="000000"/>
                <w:sz w:val="20"/>
                <w:szCs w:val="20"/>
              </w:rPr>
              <w:t>10,958,986</w:t>
            </w:r>
          </w:p>
        </w:tc>
        <w:tc>
          <w:tcPr>
            <w:tcW w:w="50" w:type="pct"/>
            <w:shd w:val="clear" w:color="auto" w:fill="auto"/>
            <w:tcMar>
              <w:top w:w="0" w:type="dxa"/>
              <w:left w:w="0" w:type="dxa"/>
              <w:bottom w:w="45" w:type="dxa"/>
              <w:right w:w="0" w:type="dxa"/>
            </w:tcMar>
            <w:vAlign w:val="bottom"/>
            <w:hideMark/>
          </w:tcPr>
          <w:p w14:paraId="5258DBAE" w14:textId="77777777" w:rsidR="008F3E8B" w:rsidRPr="00212B8B" w:rsidRDefault="008F3E8B" w:rsidP="003E5A31">
            <w:pPr>
              <w:rPr>
                <w:color w:val="000000"/>
                <w:sz w:val="20"/>
                <w:szCs w:val="20"/>
              </w:rPr>
            </w:pPr>
            <w:r w:rsidRPr="00212B8B">
              <w:rPr>
                <w:color w:val="000000"/>
                <w:sz w:val="20"/>
                <w:szCs w:val="20"/>
              </w:rPr>
              <w:t> </w:t>
            </w:r>
          </w:p>
        </w:tc>
      </w:tr>
    </w:tbl>
    <w:p w14:paraId="6899D073" w14:textId="77777777" w:rsidR="008F3E8B" w:rsidRPr="00212B8B" w:rsidRDefault="008F3E8B" w:rsidP="003E5A31">
      <w:pPr>
        <w:ind w:left="144"/>
        <w:rPr>
          <w:sz w:val="20"/>
          <w:szCs w:val="20"/>
        </w:rPr>
      </w:pPr>
      <w:r w:rsidRPr="00212B8B">
        <w:rPr>
          <w:sz w:val="20"/>
          <w:szCs w:val="20"/>
        </w:rPr>
        <w:t> </w:t>
      </w:r>
    </w:p>
    <w:p w14:paraId="1B3B6B53" w14:textId="62E3BE1F" w:rsidR="004D0987" w:rsidRPr="004D0987" w:rsidRDefault="008F3E8B" w:rsidP="004F0831">
      <w:pPr>
        <w:ind w:firstLine="720"/>
        <w:rPr>
          <w:sz w:val="20"/>
          <w:szCs w:val="20"/>
        </w:rPr>
      </w:pPr>
      <w:r w:rsidRPr="00212B8B">
        <w:rPr>
          <w:i/>
          <w:iCs/>
          <w:sz w:val="20"/>
          <w:szCs w:val="20"/>
        </w:rPr>
        <w:t>Operating Activities</w:t>
      </w:r>
      <w:r w:rsidRPr="00212B8B">
        <w:rPr>
          <w:sz w:val="20"/>
          <w:szCs w:val="20"/>
        </w:rPr>
        <w:t xml:space="preserve"> – </w:t>
      </w:r>
      <w:r w:rsidR="004D0987" w:rsidRPr="004D0987">
        <w:rPr>
          <w:sz w:val="20"/>
          <w:szCs w:val="20"/>
        </w:rPr>
        <w:t xml:space="preserve">Net cash used in operating activities of $11,196,420 for </w:t>
      </w:r>
      <w:r w:rsidR="00E54F30">
        <w:rPr>
          <w:sz w:val="20"/>
          <w:szCs w:val="20"/>
        </w:rPr>
        <w:t xml:space="preserve">the year ended December 31, </w:t>
      </w:r>
      <w:r w:rsidR="004D0987" w:rsidRPr="004D0987">
        <w:rPr>
          <w:sz w:val="20"/>
          <w:szCs w:val="20"/>
        </w:rPr>
        <w:t xml:space="preserve">2021 was primarily due to our net loss of $18,570,317, offset by non-cash items such as depreciation expense, stock-based compensation expense and the gain recognized on extinguishment of our PPP loan, and by changes in our working capital accounts. Net cash used in operating activities of $2,750,570 for </w:t>
      </w:r>
      <w:r w:rsidR="00E54F30">
        <w:rPr>
          <w:sz w:val="20"/>
          <w:szCs w:val="20"/>
        </w:rPr>
        <w:t xml:space="preserve">the year ended December 31, </w:t>
      </w:r>
      <w:r w:rsidR="004D0987" w:rsidRPr="004D0987">
        <w:rPr>
          <w:sz w:val="20"/>
          <w:szCs w:val="20"/>
        </w:rPr>
        <w:t>2020 was primarily due to our net loss of $2,958,068, offset by non-cash charges such as depreciation and stock-based compensation expense, and by changes in our working capital accounts.</w:t>
      </w:r>
    </w:p>
    <w:p w14:paraId="3F789C41" w14:textId="77777777" w:rsidR="004D0987" w:rsidRDefault="004D0987" w:rsidP="004F0831">
      <w:pPr>
        <w:ind w:firstLine="720"/>
        <w:rPr>
          <w:sz w:val="20"/>
          <w:szCs w:val="20"/>
        </w:rPr>
      </w:pPr>
    </w:p>
    <w:p w14:paraId="1666F5CD" w14:textId="77777777" w:rsidR="00E54F30" w:rsidRPr="00E54F30" w:rsidRDefault="00E54F30" w:rsidP="004F0831">
      <w:pPr>
        <w:ind w:firstLine="720"/>
        <w:rPr>
          <w:sz w:val="20"/>
          <w:szCs w:val="20"/>
        </w:rPr>
      </w:pPr>
      <w:r w:rsidRPr="00E54F30">
        <w:rPr>
          <w:sz w:val="20"/>
          <w:szCs w:val="20"/>
        </w:rPr>
        <w:t xml:space="preserve">Net cash used in operating activities of $4,333,240 for the three months ended March 31, 2022, was primarily due to our net loss of $2,427,515, offset by non-cash items such as depreciation expense and stock-based compensation expense, and by changes in our working capital accounts. Net cash used in operating activities of $1,621,027 for the three months ended March 31, 2021, was primarily due to our net loss of $1,562,778, offset by non-cash charges such as depreciation and stock-based compensation expense, and by changes in our working capital accounts. </w:t>
      </w:r>
    </w:p>
    <w:p w14:paraId="609BC6CD" w14:textId="77777777" w:rsidR="008F3E8B" w:rsidRPr="00212B8B" w:rsidRDefault="008F3E8B" w:rsidP="004F0831">
      <w:pPr>
        <w:rPr>
          <w:sz w:val="20"/>
          <w:szCs w:val="20"/>
        </w:rPr>
      </w:pPr>
      <w:r w:rsidRPr="00212B8B">
        <w:rPr>
          <w:sz w:val="20"/>
          <w:szCs w:val="20"/>
        </w:rPr>
        <w:t> </w:t>
      </w:r>
    </w:p>
    <w:p w14:paraId="0289217C" w14:textId="52E33A2B" w:rsidR="00E54F30" w:rsidRPr="00E54F30" w:rsidRDefault="008F3E8B" w:rsidP="004F0831">
      <w:pPr>
        <w:ind w:firstLine="720"/>
        <w:rPr>
          <w:sz w:val="20"/>
          <w:szCs w:val="20"/>
        </w:rPr>
      </w:pPr>
      <w:r w:rsidRPr="00212B8B">
        <w:rPr>
          <w:i/>
          <w:iCs/>
          <w:sz w:val="20"/>
          <w:szCs w:val="20"/>
        </w:rPr>
        <w:t>Investing Activities</w:t>
      </w:r>
      <w:r w:rsidRPr="00212B8B">
        <w:rPr>
          <w:sz w:val="20"/>
          <w:szCs w:val="20"/>
        </w:rPr>
        <w:t xml:space="preserve"> – </w:t>
      </w:r>
      <w:r w:rsidR="00E54F30" w:rsidRPr="00E54F30">
        <w:rPr>
          <w:sz w:val="20"/>
          <w:szCs w:val="20"/>
        </w:rPr>
        <w:t xml:space="preserve">Net cash used in investing activities was $47,718 and $156,791 for </w:t>
      </w:r>
      <w:r w:rsidR="00E54F30">
        <w:rPr>
          <w:sz w:val="20"/>
          <w:szCs w:val="20"/>
        </w:rPr>
        <w:t xml:space="preserve">the years ended December 31, </w:t>
      </w:r>
      <w:r w:rsidR="00E54F30" w:rsidRPr="00E54F30">
        <w:rPr>
          <w:sz w:val="20"/>
          <w:szCs w:val="20"/>
        </w:rPr>
        <w:t>2021 and 2020, respectively, and relates to purchases of property and equipment.</w:t>
      </w:r>
    </w:p>
    <w:p w14:paraId="3685B5E0" w14:textId="77777777" w:rsidR="00E54F30" w:rsidRDefault="00E54F30" w:rsidP="004F0831">
      <w:pPr>
        <w:ind w:firstLine="720"/>
        <w:rPr>
          <w:sz w:val="20"/>
          <w:szCs w:val="20"/>
        </w:rPr>
      </w:pPr>
    </w:p>
    <w:p w14:paraId="6DAF9FD3" w14:textId="385E83A0" w:rsidR="00E54F30" w:rsidRDefault="00E54F30" w:rsidP="004F0831">
      <w:pPr>
        <w:ind w:firstLine="720"/>
        <w:rPr>
          <w:sz w:val="20"/>
          <w:szCs w:val="20"/>
        </w:rPr>
      </w:pPr>
      <w:r w:rsidRPr="00E54F30">
        <w:rPr>
          <w:sz w:val="20"/>
          <w:szCs w:val="20"/>
        </w:rPr>
        <w:t>Net cash used in investing activities was $62,186 and $-0- for the three-month periods ended March 31, 2022 and 2021, respectively, and relates to purchases of laboratory equipment</w:t>
      </w:r>
      <w:r>
        <w:rPr>
          <w:sz w:val="20"/>
          <w:szCs w:val="20"/>
        </w:rPr>
        <w:t>.</w:t>
      </w:r>
    </w:p>
    <w:p w14:paraId="72FA2B5B" w14:textId="04857519" w:rsidR="008F3E8B" w:rsidRPr="00212B8B" w:rsidRDefault="008F3E8B" w:rsidP="004F0831">
      <w:pPr>
        <w:rPr>
          <w:sz w:val="20"/>
          <w:szCs w:val="20"/>
        </w:rPr>
      </w:pPr>
    </w:p>
    <w:p w14:paraId="2D473C74" w14:textId="69FAA40C" w:rsidR="000A7223" w:rsidRDefault="008F3E8B" w:rsidP="004F0831">
      <w:pPr>
        <w:ind w:firstLine="720"/>
        <w:rPr>
          <w:sz w:val="20"/>
          <w:szCs w:val="20"/>
        </w:rPr>
      </w:pPr>
      <w:r w:rsidRPr="00212B8B">
        <w:rPr>
          <w:i/>
          <w:iCs/>
          <w:sz w:val="20"/>
          <w:szCs w:val="20"/>
        </w:rPr>
        <w:t>Financing Activities</w:t>
      </w:r>
      <w:r w:rsidRPr="00212B8B">
        <w:rPr>
          <w:sz w:val="20"/>
          <w:szCs w:val="20"/>
        </w:rPr>
        <w:t xml:space="preserve"> – </w:t>
      </w:r>
      <w:r w:rsidR="000A7223" w:rsidRPr="000A7223">
        <w:rPr>
          <w:sz w:val="20"/>
          <w:szCs w:val="20"/>
        </w:rPr>
        <w:t xml:space="preserve">Net cash provided by financing activities was $12,784,212 for </w:t>
      </w:r>
      <w:r w:rsidR="000A7223">
        <w:rPr>
          <w:sz w:val="20"/>
          <w:szCs w:val="20"/>
        </w:rPr>
        <w:t xml:space="preserve">the year ended December 31, </w:t>
      </w:r>
      <w:r w:rsidR="000A7223" w:rsidRPr="000A7223">
        <w:rPr>
          <w:sz w:val="20"/>
          <w:szCs w:val="20"/>
        </w:rPr>
        <w:t>2021, consisting of (i) net proceeds of $9,408,920 from a public offering of our common stock, (ii) $3,404,156 of net proceeds from the exercise of warrants, (iii) $1,000 expended for the repurchase of outstanding convertible preferred stock, and (iv) $27,864 in principal repayments toward a note payable to the Georgia Research Alliance, Inc. (the “GRA Note”); the GRA Note was fully repaid during 2021. Additionally, during May 2021 our PPP loan of $170,200, together with $1,856 of accrued interest, was forgiven by the lender and extinguished.</w:t>
      </w:r>
      <w:r w:rsidR="000A7223">
        <w:rPr>
          <w:sz w:val="20"/>
          <w:szCs w:val="20"/>
        </w:rPr>
        <w:t xml:space="preserve">  </w:t>
      </w:r>
      <w:r w:rsidR="000A7223" w:rsidRPr="000A7223">
        <w:rPr>
          <w:sz w:val="20"/>
          <w:szCs w:val="20"/>
        </w:rPr>
        <w:t xml:space="preserve">Net cash provided by financing activities was $12,507,816 for </w:t>
      </w:r>
      <w:r w:rsidR="000A7223">
        <w:rPr>
          <w:sz w:val="20"/>
          <w:szCs w:val="20"/>
        </w:rPr>
        <w:t xml:space="preserve">the year ended December 31, </w:t>
      </w:r>
      <w:r w:rsidR="000A7223" w:rsidRPr="000A7223">
        <w:rPr>
          <w:sz w:val="20"/>
          <w:szCs w:val="20"/>
        </w:rPr>
        <w:t>2020, consisting of (i) net proceeds of $11,158,496 from a public offering of our common stock and warrants, (ii) net proceeds of $300,000 from the sale of our convertible preferred stock, (iii) $170,200 of PPP loan proceeds, (iv) $888,500 of net proceeds from issuance of a note payable, (v) $2,500 in proceeds from warrant exercises, and (vi) $11,880 in principal repayments toward the GRA Note.</w:t>
      </w:r>
    </w:p>
    <w:p w14:paraId="77AF4E38" w14:textId="77777777" w:rsidR="000A7223" w:rsidRPr="000A7223" w:rsidRDefault="000A7223" w:rsidP="004F0831">
      <w:pPr>
        <w:ind w:firstLine="720"/>
        <w:rPr>
          <w:sz w:val="20"/>
          <w:szCs w:val="20"/>
        </w:rPr>
      </w:pPr>
    </w:p>
    <w:p w14:paraId="47222444" w14:textId="77777777" w:rsidR="000A7223" w:rsidRPr="000A7223" w:rsidRDefault="000A7223" w:rsidP="004F0831">
      <w:pPr>
        <w:ind w:firstLine="720"/>
        <w:rPr>
          <w:sz w:val="20"/>
          <w:szCs w:val="20"/>
        </w:rPr>
      </w:pPr>
      <w:bookmarkStart w:id="36" w:name="_Hlk98343180"/>
      <w:r w:rsidRPr="000A7223">
        <w:rPr>
          <w:sz w:val="20"/>
          <w:szCs w:val="20"/>
        </w:rPr>
        <w:lastRenderedPageBreak/>
        <w:t>Net cash provided by financing activities was $9,229,272 for the three-month period ended March 31, 2022, consisting of net proceeds from a private placement of our common stock and warrants.</w:t>
      </w:r>
      <w:bookmarkEnd w:id="36"/>
      <w:r w:rsidRPr="000A7223">
        <w:rPr>
          <w:sz w:val="20"/>
          <w:szCs w:val="20"/>
        </w:rPr>
        <w:t xml:space="preserve"> Net cash provided by financing activities was $12,580,013 for the three-month period ended March 31, 2021, consisting of (i) net proceeds of $9,408,920 from a public offering of our common stock, (ii) $3,174,156 of net proceeds from the exercise of warrants, and (iii) $3,063 in principal repayments toward a note payable to the Georgia Research Alliance, Inc. (the “GRA Note”); the GRA Note has now been fully repaid.</w:t>
      </w:r>
    </w:p>
    <w:p w14:paraId="770ABECC" w14:textId="02EA9997" w:rsidR="00C627C4" w:rsidRPr="00212B8B" w:rsidRDefault="00C627C4" w:rsidP="004F0831">
      <w:pPr>
        <w:rPr>
          <w:sz w:val="20"/>
          <w:szCs w:val="20"/>
        </w:rPr>
      </w:pPr>
    </w:p>
    <w:p w14:paraId="72469995" w14:textId="77777777" w:rsidR="008F3E8B" w:rsidRPr="00212B8B" w:rsidRDefault="008F3E8B" w:rsidP="004F0831">
      <w:pPr>
        <w:rPr>
          <w:sz w:val="20"/>
          <w:szCs w:val="20"/>
        </w:rPr>
      </w:pPr>
      <w:r w:rsidRPr="00212B8B">
        <w:rPr>
          <w:b/>
          <w:bCs/>
          <w:sz w:val="20"/>
          <w:szCs w:val="20"/>
        </w:rPr>
        <w:t>Funding Requirements and Sources of Capital</w:t>
      </w:r>
    </w:p>
    <w:p w14:paraId="197EE48A" w14:textId="77777777" w:rsidR="008F3E8B" w:rsidRPr="00212B8B" w:rsidRDefault="008F3E8B" w:rsidP="004F0831">
      <w:pPr>
        <w:ind w:firstLine="720"/>
        <w:rPr>
          <w:sz w:val="20"/>
          <w:szCs w:val="20"/>
        </w:rPr>
      </w:pPr>
      <w:r w:rsidRPr="00212B8B">
        <w:rPr>
          <w:sz w:val="20"/>
          <w:szCs w:val="20"/>
        </w:rPr>
        <w:t> </w:t>
      </w:r>
    </w:p>
    <w:p w14:paraId="1DA32367" w14:textId="77777777" w:rsidR="00296C99" w:rsidRPr="00296C99" w:rsidRDefault="00296C99" w:rsidP="004F0831">
      <w:pPr>
        <w:ind w:firstLine="720"/>
        <w:rPr>
          <w:sz w:val="20"/>
          <w:szCs w:val="20"/>
        </w:rPr>
      </w:pPr>
      <w:r w:rsidRPr="00296C99">
        <w:rPr>
          <w:sz w:val="20"/>
          <w:szCs w:val="20"/>
        </w:rPr>
        <w:t xml:space="preserve">Our primary uses of capital are for personnel costs, costs of conducting clinical trials, manufacturing costs for materials used in clinical trials, third-party research services, laboratory and related supplies, technology license fees, legal and other regulatory expenses, and general overhead costs. We expect these costs will continue to be the primary operating capital requirements for the near future. </w:t>
      </w:r>
    </w:p>
    <w:p w14:paraId="1691E56F" w14:textId="77777777" w:rsidR="00296C99" w:rsidRPr="00296C99" w:rsidRDefault="00296C99" w:rsidP="004F0831">
      <w:pPr>
        <w:ind w:firstLine="720"/>
        <w:rPr>
          <w:sz w:val="20"/>
          <w:szCs w:val="20"/>
        </w:rPr>
      </w:pPr>
    </w:p>
    <w:p w14:paraId="761BA3F2" w14:textId="77777777" w:rsidR="00296C99" w:rsidRPr="00296C99" w:rsidRDefault="00296C99" w:rsidP="004F0831">
      <w:pPr>
        <w:ind w:firstLine="720"/>
        <w:rPr>
          <w:sz w:val="20"/>
          <w:szCs w:val="20"/>
        </w:rPr>
      </w:pPr>
      <w:r w:rsidRPr="00296C99">
        <w:rPr>
          <w:sz w:val="20"/>
          <w:szCs w:val="20"/>
        </w:rPr>
        <w:t xml:space="preserve">We expect our research and development costs to increase as we continue development of our various programs and as we move toward later stages of development, especially with regard to clinical trials. </w:t>
      </w:r>
      <w:r w:rsidRPr="00296C99">
        <w:rPr>
          <w:bCs/>
          <w:sz w:val="20"/>
          <w:szCs w:val="20"/>
        </w:rPr>
        <w:t xml:space="preserve">We have entered into license agreements with City of Hope, PNP Therapeutics, Inc., University of Alabama at Birmingham, Southern Research Institute, Emory University, and with </w:t>
      </w:r>
      <w:r w:rsidRPr="00296C99">
        <w:rPr>
          <w:sz w:val="20"/>
          <w:szCs w:val="20"/>
        </w:rPr>
        <w:t xml:space="preserve">the U.S. Department of Health and Human Services (HHS), as represented by National Institute of Allergy and Infectious Diseases (NIAID), an institute of the National Institutes of Health (NIH), for various technologies and patent rights associated with our product development activities. These agreements may contain provisions for upfront payments, milestone fees </w:t>
      </w:r>
      <w:r w:rsidRPr="00296C99">
        <w:rPr>
          <w:bCs/>
          <w:sz w:val="20"/>
          <w:szCs w:val="20"/>
        </w:rPr>
        <w:t xml:space="preserve">due upon the achievement of selected development and regulatory events, minimum annual royalties or other fees, </w:t>
      </w:r>
      <w:r w:rsidRPr="00296C99">
        <w:rPr>
          <w:sz w:val="20"/>
          <w:szCs w:val="20"/>
        </w:rPr>
        <w:t>and royalties based on future net sales. Aggregate unrecorded future minimum payments under these agreements (excluding milestone and royalty payments due upon contingent future events) are approximately $149,000 in 2022, $128,000 in 2023, $128,000 in 2024, $28,000 in 2025 and $28,000 in 2026.</w:t>
      </w:r>
    </w:p>
    <w:p w14:paraId="1D6D65D7" w14:textId="77777777" w:rsidR="00296C99" w:rsidRPr="00296C99" w:rsidRDefault="00296C99" w:rsidP="004F0831">
      <w:pPr>
        <w:ind w:firstLine="720"/>
        <w:rPr>
          <w:sz w:val="20"/>
          <w:szCs w:val="20"/>
        </w:rPr>
      </w:pPr>
    </w:p>
    <w:p w14:paraId="08E8A461" w14:textId="77777777" w:rsidR="00296C99" w:rsidRPr="00296C99" w:rsidRDefault="00296C99" w:rsidP="004F0831">
      <w:pPr>
        <w:ind w:firstLine="720"/>
        <w:rPr>
          <w:sz w:val="20"/>
          <w:szCs w:val="20"/>
        </w:rPr>
      </w:pPr>
      <w:r w:rsidRPr="00296C99">
        <w:rPr>
          <w:sz w:val="20"/>
          <w:szCs w:val="20"/>
        </w:rPr>
        <w:t xml:space="preserve">Our research and development expenditures during 2022 and beyond will increase significantly as a result of the </w:t>
      </w:r>
      <w:proofErr w:type="spellStart"/>
      <w:r w:rsidRPr="00296C99">
        <w:rPr>
          <w:sz w:val="20"/>
          <w:szCs w:val="20"/>
        </w:rPr>
        <w:t>Gedeptin</w:t>
      </w:r>
      <w:proofErr w:type="spellEnd"/>
      <w:r w:rsidRPr="00296C99">
        <w:rPr>
          <w:sz w:val="20"/>
          <w:szCs w:val="20"/>
        </w:rPr>
        <w:t xml:space="preserve"> and GEO-CM04S1 clinical programs. We do not provide forward-looking estimates of costs and time to complete our research programs due to the many uncertainties associated with biotechnology research and development. Due to these uncertainties, our future expenditures are likely to be highly volatile in future periods depending on the outcomes of the trials and studies. As we obtain data from pre-clinical studies and clinical trials, we may elect to discontinue or delay certain development programs to focus our resources on more promising product candidates. Completion of preclinical studies and human clinical trials may take several years or more, but the length of time can vary substantially depending upon several factors. The duration and the cost of future clinical trials may vary significantly over the life of the project because of differences arising during development of the human clinical trial protocols, including the length of time required to enroll suitable patient subjects, the number of patients that ultimately participate in the clinical trial, the duration of patient follow-up, and the number of clinical sites included in the clinical trials.</w:t>
      </w:r>
    </w:p>
    <w:p w14:paraId="5FF6C459" w14:textId="77777777" w:rsidR="00296C99" w:rsidRPr="00296C99" w:rsidRDefault="00296C99" w:rsidP="004F0831">
      <w:pPr>
        <w:ind w:firstLine="720"/>
        <w:rPr>
          <w:sz w:val="20"/>
          <w:szCs w:val="20"/>
        </w:rPr>
      </w:pPr>
    </w:p>
    <w:p w14:paraId="18D7837E" w14:textId="77777777" w:rsidR="00296C99" w:rsidRPr="00296C99" w:rsidRDefault="00296C99" w:rsidP="004F0831">
      <w:pPr>
        <w:ind w:firstLine="720"/>
        <w:rPr>
          <w:bCs/>
          <w:sz w:val="20"/>
          <w:szCs w:val="20"/>
        </w:rPr>
      </w:pPr>
      <w:proofErr w:type="spellStart"/>
      <w:r w:rsidRPr="00296C99">
        <w:rPr>
          <w:bCs/>
          <w:sz w:val="20"/>
          <w:szCs w:val="20"/>
        </w:rPr>
        <w:t>Gedeptin</w:t>
      </w:r>
      <w:proofErr w:type="spellEnd"/>
      <w:r w:rsidRPr="00296C99">
        <w:rPr>
          <w:bCs/>
          <w:sz w:val="20"/>
          <w:szCs w:val="20"/>
        </w:rPr>
        <w:t xml:space="preserve"> is currently undergoing a Phase 1/2 clinical trial (NCT03754933) for treatment of patients with advanced head and neck cancer. The initial stage of the study (10 patients) is being funded by the FDA pursuant to its Orphan Products Clinical Trials Grants Program. </w:t>
      </w:r>
      <w:r w:rsidRPr="00296C99">
        <w:rPr>
          <w:sz w:val="20"/>
          <w:szCs w:val="20"/>
        </w:rPr>
        <w:t>We may seek additional sources of capital through government and quasi-government grant programs and clinical trial support, although there can be no assurance any such funds will be obtained.</w:t>
      </w:r>
    </w:p>
    <w:p w14:paraId="1EDC479A" w14:textId="77777777" w:rsidR="00296C99" w:rsidRPr="00296C99" w:rsidRDefault="00296C99" w:rsidP="004F0831">
      <w:pPr>
        <w:ind w:firstLine="720"/>
        <w:rPr>
          <w:sz w:val="20"/>
          <w:szCs w:val="20"/>
        </w:rPr>
      </w:pPr>
    </w:p>
    <w:p w14:paraId="03B395B9" w14:textId="77777777" w:rsidR="00296C99" w:rsidRPr="00296C99" w:rsidRDefault="00296C99" w:rsidP="004F0831">
      <w:pPr>
        <w:ind w:firstLine="720"/>
        <w:rPr>
          <w:sz w:val="20"/>
          <w:szCs w:val="20"/>
        </w:rPr>
      </w:pPr>
      <w:r w:rsidRPr="00296C99">
        <w:rPr>
          <w:sz w:val="20"/>
          <w:szCs w:val="20"/>
        </w:rPr>
        <w:t>We expect that our general and administrative costs may increase during the remainder of 2022 and beyond in support of expanded research and development activities and other general corporate activities.</w:t>
      </w:r>
    </w:p>
    <w:p w14:paraId="1B838538" w14:textId="15D30220" w:rsidR="00296C99" w:rsidRDefault="00296C99" w:rsidP="004F0831">
      <w:pPr>
        <w:ind w:firstLine="720"/>
        <w:rPr>
          <w:sz w:val="20"/>
          <w:szCs w:val="20"/>
        </w:rPr>
      </w:pPr>
    </w:p>
    <w:p w14:paraId="18516666" w14:textId="66598A88" w:rsidR="00FB0945" w:rsidRDefault="00296C99" w:rsidP="004F0831">
      <w:pPr>
        <w:ind w:firstLine="720"/>
        <w:rPr>
          <w:bCs/>
          <w:sz w:val="20"/>
          <w:szCs w:val="20"/>
        </w:rPr>
      </w:pPr>
      <w:r w:rsidRPr="007C1EE1">
        <w:rPr>
          <w:bCs/>
          <w:sz w:val="20"/>
          <w:szCs w:val="20"/>
        </w:rPr>
        <w:t xml:space="preserve">On May 25, 2022, we entered into a Securities Purchase Agreement (the “PIPE Securities Purchase Agreement”) with </w:t>
      </w:r>
      <w:r w:rsidR="0002579B">
        <w:rPr>
          <w:bCs/>
          <w:sz w:val="20"/>
          <w:szCs w:val="20"/>
        </w:rPr>
        <w:t xml:space="preserve">Armistice </w:t>
      </w:r>
      <w:r w:rsidRPr="007C1EE1">
        <w:rPr>
          <w:bCs/>
          <w:sz w:val="20"/>
          <w:szCs w:val="20"/>
        </w:rPr>
        <w:t xml:space="preserve">providing for the issuance and sale to </w:t>
      </w:r>
      <w:r w:rsidR="0002579B">
        <w:rPr>
          <w:bCs/>
          <w:sz w:val="20"/>
          <w:szCs w:val="20"/>
        </w:rPr>
        <w:t xml:space="preserve">Armistice </w:t>
      </w:r>
      <w:r w:rsidRPr="007C1EE1">
        <w:rPr>
          <w:bCs/>
          <w:sz w:val="20"/>
          <w:szCs w:val="20"/>
        </w:rPr>
        <w:t xml:space="preserve">in a private placement offering of 9,090,910 shares of our common stock </w:t>
      </w:r>
      <w:r>
        <w:rPr>
          <w:bCs/>
          <w:sz w:val="20"/>
          <w:szCs w:val="20"/>
        </w:rPr>
        <w:t>issuable upon exercise of a p</w:t>
      </w:r>
      <w:r w:rsidRPr="007C1EE1">
        <w:rPr>
          <w:bCs/>
          <w:sz w:val="20"/>
          <w:szCs w:val="20"/>
        </w:rPr>
        <w:t>re-</w:t>
      </w:r>
      <w:r>
        <w:rPr>
          <w:bCs/>
          <w:sz w:val="20"/>
          <w:szCs w:val="20"/>
        </w:rPr>
        <w:t>f</w:t>
      </w:r>
      <w:r w:rsidRPr="007C1EE1">
        <w:rPr>
          <w:bCs/>
          <w:sz w:val="20"/>
          <w:szCs w:val="20"/>
        </w:rPr>
        <w:t xml:space="preserve">unded </w:t>
      </w:r>
      <w:r>
        <w:rPr>
          <w:bCs/>
          <w:sz w:val="20"/>
          <w:szCs w:val="20"/>
        </w:rPr>
        <w:t>w</w:t>
      </w:r>
      <w:r w:rsidRPr="007C1EE1">
        <w:rPr>
          <w:bCs/>
          <w:sz w:val="20"/>
          <w:szCs w:val="20"/>
        </w:rPr>
        <w:t>arrant and a preferred investment option to purchase up to 9,090,910 shares of common stock</w:t>
      </w:r>
      <w:r>
        <w:rPr>
          <w:bCs/>
          <w:sz w:val="20"/>
          <w:szCs w:val="20"/>
        </w:rPr>
        <w:t xml:space="preserve">. </w:t>
      </w:r>
      <w:r w:rsidRPr="007C1EE1">
        <w:rPr>
          <w:bCs/>
          <w:sz w:val="20"/>
          <w:szCs w:val="20"/>
        </w:rPr>
        <w:t xml:space="preserve">Concurrently with the entrance into the PIPE Securities Purchase Agreement, we entered into another Securities Purchase Agreement (the “RD Securities Purchase Agreement”) with </w:t>
      </w:r>
      <w:r w:rsidR="0002579B">
        <w:rPr>
          <w:bCs/>
          <w:sz w:val="20"/>
          <w:szCs w:val="20"/>
        </w:rPr>
        <w:t xml:space="preserve">Armistice </w:t>
      </w:r>
      <w:r w:rsidRPr="007C1EE1">
        <w:rPr>
          <w:bCs/>
          <w:sz w:val="20"/>
          <w:szCs w:val="20"/>
        </w:rPr>
        <w:t xml:space="preserve">providing for the issuance and sale to </w:t>
      </w:r>
      <w:r w:rsidR="0002579B">
        <w:rPr>
          <w:bCs/>
          <w:sz w:val="20"/>
          <w:szCs w:val="20"/>
        </w:rPr>
        <w:t xml:space="preserve">Armistice </w:t>
      </w:r>
      <w:r w:rsidRPr="007C1EE1">
        <w:rPr>
          <w:bCs/>
          <w:sz w:val="20"/>
          <w:szCs w:val="20"/>
        </w:rPr>
        <w:t>in a registered direct offering of 1,050,000 shares of our common stock</w:t>
      </w:r>
      <w:r>
        <w:rPr>
          <w:bCs/>
          <w:sz w:val="20"/>
          <w:szCs w:val="20"/>
        </w:rPr>
        <w:t xml:space="preserve">, </w:t>
      </w:r>
      <w:r w:rsidRPr="007C1EE1">
        <w:rPr>
          <w:bCs/>
          <w:sz w:val="20"/>
          <w:szCs w:val="20"/>
        </w:rPr>
        <w:t>a pre-funded warrant to purchase up to 1,980,304 shares of our common stock and a preferred investment option to purchase up to 3,030,304 shares of common stock</w:t>
      </w:r>
      <w:r>
        <w:rPr>
          <w:bCs/>
          <w:sz w:val="20"/>
          <w:szCs w:val="20"/>
        </w:rPr>
        <w:t>.  A</w:t>
      </w:r>
      <w:r w:rsidRPr="007C1EE1">
        <w:rPr>
          <w:bCs/>
          <w:sz w:val="20"/>
          <w:szCs w:val="20"/>
        </w:rPr>
        <w:t xml:space="preserve">ggregate gross </w:t>
      </w:r>
      <w:r w:rsidRPr="007C1EE1">
        <w:rPr>
          <w:bCs/>
          <w:sz w:val="20"/>
          <w:szCs w:val="20"/>
        </w:rPr>
        <w:lastRenderedPageBreak/>
        <w:t xml:space="preserve">proceeds from the private placement and registered direct offerings to the Company </w:t>
      </w:r>
      <w:r>
        <w:rPr>
          <w:bCs/>
          <w:sz w:val="20"/>
          <w:szCs w:val="20"/>
        </w:rPr>
        <w:t>were</w:t>
      </w:r>
      <w:r w:rsidRPr="007C1EE1">
        <w:rPr>
          <w:bCs/>
          <w:sz w:val="20"/>
          <w:szCs w:val="20"/>
        </w:rPr>
        <w:t xml:space="preserve"> approximately $20.0 million.  </w:t>
      </w:r>
    </w:p>
    <w:p w14:paraId="69464E68" w14:textId="77777777" w:rsidR="00FB0945" w:rsidRDefault="00FB0945" w:rsidP="004F0831">
      <w:pPr>
        <w:ind w:firstLine="720"/>
        <w:rPr>
          <w:bCs/>
          <w:sz w:val="20"/>
          <w:szCs w:val="20"/>
        </w:rPr>
      </w:pPr>
    </w:p>
    <w:p w14:paraId="1F9A72DD" w14:textId="5011C9E9" w:rsidR="00296C99" w:rsidRPr="00296C99" w:rsidRDefault="00296C99" w:rsidP="004F0831">
      <w:pPr>
        <w:ind w:firstLine="720"/>
        <w:rPr>
          <w:bCs/>
          <w:sz w:val="20"/>
          <w:szCs w:val="20"/>
        </w:rPr>
      </w:pPr>
      <w:r w:rsidRPr="00296C99">
        <w:rPr>
          <w:sz w:val="20"/>
          <w:szCs w:val="20"/>
        </w:rPr>
        <w:t xml:space="preserve">We believe our existing cash and cash equivalents will be sufficient to meet our anticipated cash requirements into the </w:t>
      </w:r>
      <w:r w:rsidR="00FB0945" w:rsidRPr="00FB0945">
        <w:rPr>
          <w:sz w:val="20"/>
          <w:szCs w:val="20"/>
        </w:rPr>
        <w:t>first</w:t>
      </w:r>
      <w:r w:rsidRPr="00296C99">
        <w:rPr>
          <w:sz w:val="20"/>
          <w:szCs w:val="20"/>
        </w:rPr>
        <w:t xml:space="preserve"> quarter of 202</w:t>
      </w:r>
      <w:r w:rsidR="00FB0945" w:rsidRPr="00FB0945">
        <w:rPr>
          <w:sz w:val="20"/>
          <w:szCs w:val="20"/>
        </w:rPr>
        <w:t>4</w:t>
      </w:r>
      <w:r w:rsidRPr="00296C99">
        <w:rPr>
          <w:sz w:val="20"/>
          <w:szCs w:val="20"/>
        </w:rPr>
        <w:t>. However, our forecast of the period of time through which our financial resources will be adequate to support our operations is a forward-looking statement that involves risks and uncertainties and is based on assumptions that may prove to be wrong; actual results could vary materially. We may need to obtain additional funds sooner than planned or in greater amounts than we currently anticipate. The actual amount of funds we will need to operate is subject to many factors, some of which are beyond our control. These factors include the progress of our research activities; the number and scope of our research programs; the progress and success of our pre-clinical and clinical development activities; the progress of the development efforts of parties with whom we have entered into research and development agreements; the costs of manufacturing our product candidates, and the progress of efforts with parties with whom we may enter into commercial manufacturing agreements; our ability to maintain current research and development programs and to establish new research and development and licensing arrangements; the costs involved in prosecuting and enforcing patent claims and other intellectual property rights; the terms and timing of establishing and maintaining collaborations, licenses and other similar arrangements; the impact of any natural disasters or public health crises, such as the COVID-19 pandemic; the costs associated with any products or technologies that we may in-license or acquire; and the costs and timing of regulatory approvals.</w:t>
      </w:r>
    </w:p>
    <w:p w14:paraId="033540A3" w14:textId="77777777" w:rsidR="00296C99" w:rsidRPr="00296C99" w:rsidRDefault="00296C99" w:rsidP="004F0831">
      <w:pPr>
        <w:ind w:firstLine="720"/>
        <w:rPr>
          <w:sz w:val="20"/>
          <w:szCs w:val="20"/>
        </w:rPr>
      </w:pPr>
    </w:p>
    <w:p w14:paraId="2CFD511B" w14:textId="77777777" w:rsidR="00296C99" w:rsidRPr="00296C99" w:rsidRDefault="00296C99" w:rsidP="004F0831">
      <w:pPr>
        <w:ind w:firstLine="720"/>
        <w:rPr>
          <w:sz w:val="20"/>
          <w:szCs w:val="20"/>
        </w:rPr>
      </w:pPr>
      <w:r w:rsidRPr="00296C99">
        <w:rPr>
          <w:sz w:val="20"/>
          <w:szCs w:val="20"/>
        </w:rPr>
        <w:t xml:space="preserve">We will need to continue to raise additional capital to support our future operating activities, including progression of our development programs, preparation for commercialization, and other operating costs. Financing strategies we may pursue include, but are not limited to, the public or private sale of equity, debt financings or funds from other capital sources, such as government funding, collaborations, strategic alliances or licensing arrangements with third parties.  There can be no assurances additional capital will be available to secure additional financing, or if available, that it will be sufficient to meet our needs on favorable terms. If we are unable to raise additional capital in sufficient amounts or on terms acceptable to us, we may have to significantly delay, scale back or discontinue the development of one or more of our product candidates. </w:t>
      </w:r>
    </w:p>
    <w:p w14:paraId="4E9B57E8" w14:textId="2217B146" w:rsidR="008F3E8B" w:rsidRPr="00212B8B" w:rsidRDefault="008F3E8B" w:rsidP="004F0831">
      <w:pPr>
        <w:rPr>
          <w:sz w:val="20"/>
          <w:szCs w:val="20"/>
        </w:rPr>
      </w:pPr>
      <w:r w:rsidRPr="00212B8B">
        <w:rPr>
          <w:sz w:val="20"/>
          <w:szCs w:val="20"/>
        </w:rPr>
        <w:t> </w:t>
      </w:r>
    </w:p>
    <w:p w14:paraId="388848C8" w14:textId="77777777" w:rsidR="008F3E8B" w:rsidRPr="00212B8B" w:rsidRDefault="008F3E8B" w:rsidP="004F0831">
      <w:pPr>
        <w:rPr>
          <w:sz w:val="20"/>
          <w:szCs w:val="20"/>
        </w:rPr>
      </w:pPr>
      <w:r w:rsidRPr="00212B8B">
        <w:rPr>
          <w:b/>
          <w:bCs/>
          <w:sz w:val="20"/>
          <w:szCs w:val="20"/>
        </w:rPr>
        <w:t>Off-Balance Sheet Arrangements</w:t>
      </w:r>
    </w:p>
    <w:p w14:paraId="5F5CF0E7" w14:textId="77777777" w:rsidR="008F3E8B" w:rsidRPr="00212B8B" w:rsidRDefault="008F3E8B" w:rsidP="004F0831">
      <w:pPr>
        <w:ind w:left="144"/>
        <w:rPr>
          <w:sz w:val="20"/>
          <w:szCs w:val="20"/>
        </w:rPr>
      </w:pPr>
      <w:r w:rsidRPr="00212B8B">
        <w:rPr>
          <w:sz w:val="20"/>
          <w:szCs w:val="20"/>
        </w:rPr>
        <w:t> </w:t>
      </w:r>
    </w:p>
    <w:p w14:paraId="0B92BC5E" w14:textId="77777777" w:rsidR="008F3E8B" w:rsidRPr="00212B8B" w:rsidRDefault="008F3E8B" w:rsidP="004F0831">
      <w:pPr>
        <w:ind w:firstLine="720"/>
        <w:rPr>
          <w:sz w:val="20"/>
          <w:szCs w:val="20"/>
        </w:rPr>
      </w:pPr>
      <w:r w:rsidRPr="00212B8B">
        <w:rPr>
          <w:sz w:val="20"/>
          <w:szCs w:val="20"/>
        </w:rPr>
        <w:t>We have no off-balance sheet arrangements that are likely or reasonably likely to have a material effect on our financial condition or results of operations.</w:t>
      </w:r>
    </w:p>
    <w:p w14:paraId="17510B96" w14:textId="77777777" w:rsidR="006D77A9" w:rsidRPr="00212B8B" w:rsidRDefault="006D77A9" w:rsidP="004F0831">
      <w:pPr>
        <w:ind w:left="144"/>
        <w:rPr>
          <w:sz w:val="20"/>
          <w:szCs w:val="20"/>
        </w:rPr>
      </w:pPr>
    </w:p>
    <w:p w14:paraId="1B363E21" w14:textId="77777777" w:rsidR="006D77A9" w:rsidRPr="00212B8B" w:rsidRDefault="006D77A9" w:rsidP="004F0831">
      <w:pPr>
        <w:rPr>
          <w:b/>
          <w:sz w:val="20"/>
          <w:szCs w:val="20"/>
        </w:rPr>
      </w:pPr>
      <w:r w:rsidRPr="00212B8B">
        <w:rPr>
          <w:b/>
          <w:sz w:val="20"/>
          <w:szCs w:val="20"/>
        </w:rPr>
        <w:t>Quantitative and Qualitative Disclosures about Market Risk</w:t>
      </w:r>
    </w:p>
    <w:p w14:paraId="0AFA3A27" w14:textId="77777777" w:rsidR="006D77A9" w:rsidRPr="00212B8B" w:rsidRDefault="006D77A9" w:rsidP="004F0831">
      <w:pPr>
        <w:ind w:left="144"/>
        <w:rPr>
          <w:b/>
          <w:sz w:val="20"/>
          <w:szCs w:val="20"/>
        </w:rPr>
      </w:pPr>
    </w:p>
    <w:p w14:paraId="3C95AC8E" w14:textId="77777777" w:rsidR="006D77A9" w:rsidRDefault="006D77A9" w:rsidP="004F0831">
      <w:pPr>
        <w:ind w:firstLine="720"/>
        <w:rPr>
          <w:sz w:val="20"/>
          <w:szCs w:val="20"/>
        </w:rPr>
      </w:pPr>
      <w:r w:rsidRPr="00212B8B">
        <w:rPr>
          <w:sz w:val="20"/>
          <w:szCs w:val="20"/>
        </w:rPr>
        <w:t>Our exposure to market risk is limited primarily to interest income sensitivity, which is affected by changes in the general level of United States interest rates, particularly because a significant portion of our investments are in institutional money market funds. The primary objective of our investment activities is to preserve principal while at the same time maximizing the income received without significantly increasing risk. Due to the nature of our short-term investments, we believe that we are not subject to any material market risk exposure. We do not have any derivative financial instruments or foreign currency instruments.</w:t>
      </w:r>
    </w:p>
    <w:p w14:paraId="55099AE0" w14:textId="77777777" w:rsidR="003E5A31" w:rsidRPr="00212B8B" w:rsidRDefault="003E5A31" w:rsidP="004F0831">
      <w:pPr>
        <w:ind w:firstLine="720"/>
        <w:rPr>
          <w:sz w:val="20"/>
          <w:szCs w:val="20"/>
        </w:rPr>
      </w:pPr>
    </w:p>
    <w:p w14:paraId="6C8774AA" w14:textId="77777777" w:rsidR="006D77A9" w:rsidRPr="00212B8B" w:rsidRDefault="006D77A9" w:rsidP="004F0831">
      <w:pPr>
        <w:rPr>
          <w:sz w:val="20"/>
          <w:szCs w:val="20"/>
        </w:rPr>
      </w:pPr>
      <w:r w:rsidRPr="00212B8B">
        <w:rPr>
          <w:b/>
          <w:bCs/>
          <w:sz w:val="20"/>
          <w:szCs w:val="20"/>
        </w:rPr>
        <w:t>Critical Accounting Policies and Estimates</w:t>
      </w:r>
    </w:p>
    <w:p w14:paraId="2393902D" w14:textId="77777777" w:rsidR="006D77A9" w:rsidRPr="00212B8B" w:rsidRDefault="006D77A9" w:rsidP="004F0831">
      <w:pPr>
        <w:ind w:left="144"/>
        <w:rPr>
          <w:sz w:val="20"/>
          <w:szCs w:val="20"/>
        </w:rPr>
      </w:pPr>
      <w:r w:rsidRPr="00212B8B">
        <w:rPr>
          <w:sz w:val="20"/>
          <w:szCs w:val="20"/>
        </w:rPr>
        <w:t> </w:t>
      </w:r>
    </w:p>
    <w:p w14:paraId="6F0ECFE8" w14:textId="77777777" w:rsidR="006D77A9" w:rsidRPr="00212B8B" w:rsidRDefault="006D77A9" w:rsidP="004F0831">
      <w:pPr>
        <w:ind w:firstLine="720"/>
        <w:rPr>
          <w:sz w:val="20"/>
          <w:szCs w:val="20"/>
        </w:rPr>
      </w:pPr>
      <w:r w:rsidRPr="00212B8B">
        <w:rPr>
          <w:sz w:val="20"/>
          <w:szCs w:val="20"/>
        </w:rPr>
        <w:t>This discussion and analysis of our financial condition and results of operations is based on our consolidated financial statements, which have been prepared in accordance with accounting principles generally accepted in the United States. The preparation of these financial statements requires management to make estimates and judgments that affect the reported amounts of assets, liabilities, revenues and expenses and related disclosure of contingent assets and liabilities. On an ongoing basis, management evaluates its estimates and adjusts them as necessary. We base our estimates on historical experience and on various other assumptions that are believed to be reasonable under the circumstances, the results of which form the basis for making judgments about the carrying values of assets and liabilities that are not readily apparent from other sources. Actual results may differ materially from these estimates under different assumptions or conditions.</w:t>
      </w:r>
    </w:p>
    <w:p w14:paraId="264AF503" w14:textId="77777777" w:rsidR="006D77A9" w:rsidRPr="00212B8B" w:rsidRDefault="006D77A9" w:rsidP="004F0831">
      <w:pPr>
        <w:ind w:firstLine="720"/>
        <w:rPr>
          <w:sz w:val="20"/>
          <w:szCs w:val="20"/>
        </w:rPr>
      </w:pPr>
      <w:r w:rsidRPr="00212B8B">
        <w:rPr>
          <w:sz w:val="20"/>
          <w:szCs w:val="20"/>
        </w:rPr>
        <w:t> </w:t>
      </w:r>
    </w:p>
    <w:p w14:paraId="4EE7489A" w14:textId="77777777" w:rsidR="00FB0945" w:rsidRPr="00FB0945" w:rsidRDefault="00FB0945" w:rsidP="004F0831">
      <w:pPr>
        <w:ind w:right="144" w:firstLine="720"/>
        <w:rPr>
          <w:sz w:val="20"/>
          <w:szCs w:val="20"/>
        </w:rPr>
      </w:pPr>
      <w:r w:rsidRPr="00FB0945">
        <w:rPr>
          <w:sz w:val="20"/>
          <w:szCs w:val="20"/>
        </w:rPr>
        <w:lastRenderedPageBreak/>
        <w:t>Our significant accounting policies are summarized in Note 2 to our consolidated financial statements for the year ended December 31, 2021, which are included in this Form 10-K.  We believe the following critical accounting policies affect our more significant judgments and estimates used in the preparation of our consolidated financial statements:</w:t>
      </w:r>
    </w:p>
    <w:p w14:paraId="19D92513" w14:textId="77777777" w:rsidR="00FB0945" w:rsidRPr="00FB0945" w:rsidRDefault="00FB0945" w:rsidP="004F0831">
      <w:pPr>
        <w:ind w:right="144"/>
        <w:rPr>
          <w:i/>
          <w:sz w:val="20"/>
          <w:szCs w:val="20"/>
        </w:rPr>
      </w:pPr>
    </w:p>
    <w:p w14:paraId="3A6FF74F" w14:textId="77777777" w:rsidR="00FB0945" w:rsidRPr="00FB0945" w:rsidRDefault="00FB0945" w:rsidP="004F0831">
      <w:pPr>
        <w:ind w:right="144"/>
        <w:rPr>
          <w:i/>
          <w:sz w:val="20"/>
          <w:szCs w:val="20"/>
        </w:rPr>
      </w:pPr>
      <w:r w:rsidRPr="00FB0945">
        <w:rPr>
          <w:i/>
          <w:sz w:val="20"/>
          <w:szCs w:val="20"/>
        </w:rPr>
        <w:t>Revenue Recognition</w:t>
      </w:r>
    </w:p>
    <w:p w14:paraId="746F6E62" w14:textId="689B1E8F" w:rsidR="00FB0945" w:rsidRPr="00FB0945" w:rsidRDefault="00FB0945" w:rsidP="004F0831">
      <w:pPr>
        <w:ind w:right="144"/>
        <w:rPr>
          <w:sz w:val="20"/>
          <w:szCs w:val="20"/>
        </w:rPr>
      </w:pPr>
    </w:p>
    <w:p w14:paraId="71EA99E3" w14:textId="77777777" w:rsidR="00FB0945" w:rsidRPr="00FB0945" w:rsidRDefault="00FB0945" w:rsidP="004F0831">
      <w:pPr>
        <w:ind w:right="144" w:firstLine="720"/>
        <w:rPr>
          <w:sz w:val="20"/>
          <w:szCs w:val="20"/>
        </w:rPr>
      </w:pPr>
      <w:r w:rsidRPr="00FB0945">
        <w:rPr>
          <w:sz w:val="20"/>
          <w:szCs w:val="20"/>
        </w:rPr>
        <w:t xml:space="preserve">We recognize revenue in accordance with FASB Accounting Standards Update 2014-09, </w:t>
      </w:r>
      <w:r w:rsidRPr="00FB0945">
        <w:rPr>
          <w:i/>
          <w:sz w:val="20"/>
          <w:szCs w:val="20"/>
        </w:rPr>
        <w:t>Revenue from Contracts with Customers</w:t>
      </w:r>
      <w:r w:rsidRPr="00FB0945">
        <w:rPr>
          <w:sz w:val="20"/>
          <w:szCs w:val="20"/>
        </w:rPr>
        <w:t xml:space="preserve"> (ASU 2014-09), which created a new Topic, Accounting Standards Codification Topic 606. The standard is principle-based and provides a five-step model to determine when and how revenue is recognized. The core principle is that an entity should recognize revenue when it transfers promised goods or services to customers in an amount that reflects the consideration to which the entity expects to be entitled in exchange for those goods or services.</w:t>
      </w:r>
    </w:p>
    <w:p w14:paraId="501E9612" w14:textId="77777777" w:rsidR="00FB0945" w:rsidRPr="00FB0945" w:rsidRDefault="00FB0945" w:rsidP="004F0831">
      <w:pPr>
        <w:ind w:right="144"/>
        <w:rPr>
          <w:sz w:val="20"/>
          <w:szCs w:val="20"/>
        </w:rPr>
      </w:pPr>
    </w:p>
    <w:p w14:paraId="40700D13" w14:textId="77777777" w:rsidR="00FB0945" w:rsidRPr="00FB0945" w:rsidRDefault="00FB0945" w:rsidP="004F0831">
      <w:pPr>
        <w:ind w:right="144" w:firstLine="720"/>
        <w:rPr>
          <w:sz w:val="20"/>
          <w:szCs w:val="20"/>
        </w:rPr>
      </w:pPr>
      <w:r w:rsidRPr="00FB0945">
        <w:rPr>
          <w:i/>
          <w:iCs/>
          <w:sz w:val="20"/>
          <w:szCs w:val="20"/>
        </w:rPr>
        <w:t>Grant revenue</w:t>
      </w:r>
      <w:r w:rsidRPr="00FB0945">
        <w:rPr>
          <w:sz w:val="20"/>
          <w:szCs w:val="20"/>
        </w:rPr>
        <w:t xml:space="preserve"> – We receive payments from government entities under non-refundable grants in support of our vaccine development programs. We record revenue associated with these grants when the reimbursable costs are incurred and we have complied with all conditions necessary to receive the grant funds.</w:t>
      </w:r>
    </w:p>
    <w:p w14:paraId="25B27842" w14:textId="77777777" w:rsidR="00FB0945" w:rsidRPr="00FB0945" w:rsidRDefault="00FB0945" w:rsidP="004F0831">
      <w:pPr>
        <w:ind w:right="144"/>
        <w:rPr>
          <w:sz w:val="20"/>
          <w:szCs w:val="20"/>
        </w:rPr>
      </w:pPr>
    </w:p>
    <w:p w14:paraId="4ABC3419" w14:textId="77777777" w:rsidR="00FB0945" w:rsidRPr="00FB0945" w:rsidRDefault="00FB0945" w:rsidP="004F0831">
      <w:pPr>
        <w:ind w:right="144" w:firstLine="720"/>
        <w:rPr>
          <w:sz w:val="20"/>
          <w:szCs w:val="20"/>
        </w:rPr>
      </w:pPr>
      <w:r w:rsidRPr="00FB0945">
        <w:rPr>
          <w:i/>
          <w:iCs/>
          <w:sz w:val="20"/>
          <w:szCs w:val="20"/>
        </w:rPr>
        <w:t>Research collaborations</w:t>
      </w:r>
      <w:r w:rsidRPr="00FB0945">
        <w:rPr>
          <w:sz w:val="20"/>
          <w:szCs w:val="20"/>
        </w:rPr>
        <w:t xml:space="preserve"> – From time to time, we may enter into collaborative research and development agreements for specific vaccine development approaches and/or disease indications whereby we receive third-party funding for preclinical research under certain of these arrangements. Each agreement is evaluated in accordance with the process defined by ASU 2014-09 and revenue is recognized accordingly.</w:t>
      </w:r>
    </w:p>
    <w:p w14:paraId="31277ECC" w14:textId="77777777" w:rsidR="00FB0945" w:rsidRPr="00FB0945" w:rsidRDefault="00FB0945" w:rsidP="004F0831">
      <w:pPr>
        <w:ind w:right="144"/>
        <w:rPr>
          <w:sz w:val="20"/>
          <w:szCs w:val="20"/>
        </w:rPr>
      </w:pPr>
    </w:p>
    <w:p w14:paraId="5338182C" w14:textId="77777777" w:rsidR="00FB0945" w:rsidRPr="00FB0945" w:rsidRDefault="00FB0945" w:rsidP="004F0831">
      <w:pPr>
        <w:ind w:right="144"/>
        <w:rPr>
          <w:i/>
          <w:sz w:val="20"/>
          <w:szCs w:val="20"/>
        </w:rPr>
      </w:pPr>
      <w:r w:rsidRPr="00FB0945">
        <w:rPr>
          <w:i/>
          <w:sz w:val="20"/>
          <w:szCs w:val="20"/>
        </w:rPr>
        <w:t>Stock-Based Compensation</w:t>
      </w:r>
    </w:p>
    <w:p w14:paraId="2A043570" w14:textId="77777777" w:rsidR="00FB0945" w:rsidRPr="00FB0945" w:rsidRDefault="00FB0945" w:rsidP="004F0831">
      <w:pPr>
        <w:ind w:right="144"/>
        <w:rPr>
          <w:sz w:val="20"/>
          <w:szCs w:val="20"/>
        </w:rPr>
      </w:pPr>
    </w:p>
    <w:p w14:paraId="7E82E146" w14:textId="77777777" w:rsidR="00FB0945" w:rsidRPr="00FB0945" w:rsidRDefault="00FB0945" w:rsidP="004F0831">
      <w:pPr>
        <w:ind w:right="144" w:firstLine="720"/>
        <w:rPr>
          <w:sz w:val="20"/>
          <w:szCs w:val="20"/>
        </w:rPr>
      </w:pPr>
      <w:r w:rsidRPr="00FB0945">
        <w:rPr>
          <w:sz w:val="20"/>
          <w:szCs w:val="20"/>
        </w:rPr>
        <w:t xml:space="preserve">We account for stock-based transactions in which the Company receives services from employees, directors or others in exchange for equity instruments based on the fair value of the award at the grant date. Stock-based compensation cost for awards of common stock is estimated based on the price of the underlying common stock on the date of issuance. Stock-based compensation cost for stock options or warrants is estimated at the grant date based on each instrument’s fair value as calculated by using the Black-Scholes option pricing model. We recognize stock-based compensation cost as expense ratably on a straight-line basis over the requisite service period for the award.  See Note 7 to our financial statements for additional stock-based compensation information. </w:t>
      </w:r>
    </w:p>
    <w:p w14:paraId="358D4E36" w14:textId="77777777" w:rsidR="00212B8B" w:rsidRDefault="00212B8B" w:rsidP="00212B8B">
      <w:pPr>
        <w:ind w:right="144"/>
        <w:jc w:val="both"/>
        <w:rPr>
          <w:sz w:val="20"/>
          <w:szCs w:val="20"/>
        </w:rPr>
      </w:pPr>
    </w:p>
    <w:p w14:paraId="08FE4284" w14:textId="77777777" w:rsidR="00212B8B" w:rsidRDefault="00212B8B" w:rsidP="00212B8B">
      <w:pPr>
        <w:ind w:right="144"/>
        <w:jc w:val="both"/>
        <w:rPr>
          <w:sz w:val="20"/>
          <w:szCs w:val="20"/>
        </w:rPr>
      </w:pPr>
    </w:p>
    <w:p w14:paraId="1D4A6DB7" w14:textId="77777777" w:rsidR="00212B8B" w:rsidRDefault="00212B8B" w:rsidP="00212B8B">
      <w:pPr>
        <w:ind w:right="144"/>
        <w:jc w:val="both"/>
        <w:rPr>
          <w:sz w:val="20"/>
          <w:szCs w:val="20"/>
        </w:rPr>
        <w:sectPr w:rsidR="00212B8B" w:rsidSect="00AE0555">
          <w:pgSz w:w="12240" w:h="15840"/>
          <w:pgMar w:top="1440" w:right="1440" w:bottom="1440" w:left="1440" w:header="720" w:footer="720" w:gutter="0"/>
          <w:cols w:space="720"/>
          <w:docGrid w:linePitch="326"/>
        </w:sectPr>
      </w:pPr>
    </w:p>
    <w:p w14:paraId="4B5FBBF4" w14:textId="77777777" w:rsidR="00212B8B" w:rsidRPr="00212B8B" w:rsidRDefault="00212B8B" w:rsidP="00212B8B">
      <w:pPr>
        <w:ind w:right="144"/>
        <w:jc w:val="center"/>
        <w:rPr>
          <w:b/>
          <w:sz w:val="20"/>
          <w:szCs w:val="20"/>
        </w:rPr>
      </w:pPr>
      <w:r w:rsidRPr="00212B8B">
        <w:rPr>
          <w:b/>
          <w:sz w:val="20"/>
          <w:szCs w:val="20"/>
        </w:rPr>
        <w:lastRenderedPageBreak/>
        <w:t>MANAGEMENT</w:t>
      </w:r>
    </w:p>
    <w:p w14:paraId="32BA5B81" w14:textId="7E648E6D" w:rsidR="00212B8B" w:rsidRDefault="00212B8B" w:rsidP="00212B8B">
      <w:pPr>
        <w:ind w:right="144"/>
        <w:jc w:val="center"/>
        <w:rPr>
          <w:sz w:val="20"/>
          <w:szCs w:val="20"/>
        </w:rPr>
      </w:pPr>
    </w:p>
    <w:p w14:paraId="325531DD" w14:textId="77777777" w:rsidR="00212B8B" w:rsidRDefault="00212B8B" w:rsidP="003E5A31">
      <w:pPr>
        <w:ind w:firstLine="720"/>
        <w:rPr>
          <w:sz w:val="20"/>
          <w:szCs w:val="20"/>
        </w:rPr>
      </w:pPr>
      <w:r>
        <w:rPr>
          <w:sz w:val="20"/>
          <w:szCs w:val="20"/>
        </w:rPr>
        <w:t>The following table sets forth certain information with respect to our directors and executive officers as of the date hereof:</w:t>
      </w:r>
    </w:p>
    <w:p w14:paraId="0966C880" w14:textId="77777777" w:rsidR="00212B8B" w:rsidRDefault="00212B8B" w:rsidP="003E5A31">
      <w:pPr>
        <w:ind w:firstLine="720"/>
        <w:rPr>
          <w:sz w:val="20"/>
          <w:szCs w:val="20"/>
        </w:rPr>
      </w:pPr>
    </w:p>
    <w:tbl>
      <w:tblPr>
        <w:tblW w:w="5000" w:type="pct"/>
        <w:tblCellSpacing w:w="0" w:type="dxa"/>
        <w:tblInd w:w="144" w:type="dxa"/>
        <w:tblCellMar>
          <w:left w:w="0" w:type="dxa"/>
          <w:right w:w="0" w:type="dxa"/>
        </w:tblCellMar>
        <w:tblLook w:val="04A0" w:firstRow="1" w:lastRow="0" w:firstColumn="1" w:lastColumn="0" w:noHBand="0" w:noVBand="1"/>
      </w:tblPr>
      <w:tblGrid>
        <w:gridCol w:w="2930"/>
        <w:gridCol w:w="636"/>
        <w:gridCol w:w="5794"/>
      </w:tblGrid>
      <w:tr w:rsidR="00212B8B" w:rsidRPr="00212B8B" w14:paraId="04D0F96E" w14:textId="77777777" w:rsidTr="00212B8B">
        <w:trPr>
          <w:cantSplit/>
          <w:tblCellSpacing w:w="0" w:type="dxa"/>
        </w:trPr>
        <w:tc>
          <w:tcPr>
            <w:tcW w:w="1565" w:type="pct"/>
            <w:tcBorders>
              <w:bottom w:val="single" w:sz="6" w:space="0" w:color="000000"/>
            </w:tcBorders>
            <w:shd w:val="clear" w:color="auto" w:fill="auto"/>
            <w:tcMar>
              <w:top w:w="0" w:type="dxa"/>
              <w:left w:w="0" w:type="dxa"/>
              <w:bottom w:w="8" w:type="dxa"/>
              <w:right w:w="0" w:type="dxa"/>
            </w:tcMar>
            <w:hideMark/>
          </w:tcPr>
          <w:p w14:paraId="4726887A" w14:textId="77777777" w:rsidR="00212B8B" w:rsidRPr="00212B8B" w:rsidRDefault="00212B8B" w:rsidP="003E5A31">
            <w:pPr>
              <w:rPr>
                <w:color w:val="000000"/>
                <w:sz w:val="20"/>
                <w:szCs w:val="20"/>
              </w:rPr>
            </w:pPr>
            <w:r w:rsidRPr="00212B8B">
              <w:rPr>
                <w:b/>
                <w:bCs/>
                <w:color w:val="000000"/>
                <w:sz w:val="20"/>
                <w:szCs w:val="20"/>
              </w:rPr>
              <w:t>Name</w:t>
            </w:r>
          </w:p>
        </w:tc>
        <w:tc>
          <w:tcPr>
            <w:tcW w:w="340" w:type="pct"/>
            <w:tcBorders>
              <w:bottom w:val="single" w:sz="6" w:space="0" w:color="000000"/>
            </w:tcBorders>
            <w:shd w:val="clear" w:color="auto" w:fill="auto"/>
            <w:tcMar>
              <w:top w:w="0" w:type="dxa"/>
              <w:left w:w="0" w:type="dxa"/>
              <w:bottom w:w="8" w:type="dxa"/>
              <w:right w:w="0" w:type="dxa"/>
            </w:tcMar>
            <w:hideMark/>
          </w:tcPr>
          <w:p w14:paraId="2C4E9015" w14:textId="77777777" w:rsidR="00212B8B" w:rsidRPr="00212B8B" w:rsidRDefault="00212B8B" w:rsidP="003E5A31">
            <w:pPr>
              <w:jc w:val="both"/>
              <w:rPr>
                <w:color w:val="000000"/>
                <w:sz w:val="20"/>
                <w:szCs w:val="20"/>
              </w:rPr>
            </w:pPr>
            <w:r w:rsidRPr="00212B8B">
              <w:rPr>
                <w:b/>
                <w:bCs/>
                <w:color w:val="000000"/>
                <w:sz w:val="20"/>
                <w:szCs w:val="20"/>
              </w:rPr>
              <w:t>Age</w:t>
            </w:r>
          </w:p>
        </w:tc>
        <w:tc>
          <w:tcPr>
            <w:tcW w:w="3425" w:type="pct"/>
            <w:tcBorders>
              <w:bottom w:val="single" w:sz="6" w:space="0" w:color="000000"/>
            </w:tcBorders>
            <w:shd w:val="clear" w:color="auto" w:fill="auto"/>
            <w:tcMar>
              <w:top w:w="0" w:type="dxa"/>
              <w:left w:w="0" w:type="dxa"/>
              <w:bottom w:w="8" w:type="dxa"/>
              <w:right w:w="0" w:type="dxa"/>
            </w:tcMar>
            <w:hideMark/>
          </w:tcPr>
          <w:p w14:paraId="5CFA2E59" w14:textId="77777777" w:rsidR="00212B8B" w:rsidRPr="00212B8B" w:rsidRDefault="00212B8B" w:rsidP="003E5A31">
            <w:pPr>
              <w:rPr>
                <w:color w:val="000000"/>
                <w:sz w:val="20"/>
                <w:szCs w:val="20"/>
              </w:rPr>
            </w:pPr>
            <w:r w:rsidRPr="00212B8B">
              <w:rPr>
                <w:b/>
                <w:bCs/>
                <w:color w:val="000000"/>
                <w:sz w:val="20"/>
                <w:szCs w:val="20"/>
              </w:rPr>
              <w:t>Current Position</w:t>
            </w:r>
          </w:p>
        </w:tc>
      </w:tr>
      <w:tr w:rsidR="00212B8B" w:rsidRPr="00212B8B" w14:paraId="3E742274" w14:textId="77777777" w:rsidTr="00212B8B">
        <w:trPr>
          <w:cantSplit/>
          <w:tblCellSpacing w:w="0" w:type="dxa"/>
        </w:trPr>
        <w:tc>
          <w:tcPr>
            <w:tcW w:w="1565" w:type="pct"/>
            <w:shd w:val="clear" w:color="auto" w:fill="auto"/>
            <w:tcMar>
              <w:top w:w="0" w:type="dxa"/>
              <w:left w:w="0" w:type="dxa"/>
              <w:bottom w:w="0" w:type="dxa"/>
              <w:right w:w="0" w:type="dxa"/>
            </w:tcMar>
            <w:hideMark/>
          </w:tcPr>
          <w:p w14:paraId="5FFDB66B" w14:textId="77777777" w:rsidR="00212B8B" w:rsidRPr="00212B8B" w:rsidRDefault="00212B8B" w:rsidP="003E5A31">
            <w:pPr>
              <w:rPr>
                <w:color w:val="000000"/>
                <w:sz w:val="20"/>
                <w:szCs w:val="20"/>
              </w:rPr>
            </w:pPr>
            <w:r w:rsidRPr="00212B8B">
              <w:rPr>
                <w:color w:val="000000"/>
                <w:sz w:val="20"/>
                <w:szCs w:val="20"/>
              </w:rPr>
              <w:t>David A. Dodd</w:t>
            </w:r>
          </w:p>
        </w:tc>
        <w:tc>
          <w:tcPr>
            <w:tcW w:w="340" w:type="pct"/>
            <w:shd w:val="clear" w:color="auto" w:fill="auto"/>
            <w:tcMar>
              <w:top w:w="0" w:type="dxa"/>
              <w:left w:w="0" w:type="dxa"/>
              <w:bottom w:w="0" w:type="dxa"/>
              <w:right w:w="0" w:type="dxa"/>
            </w:tcMar>
            <w:hideMark/>
          </w:tcPr>
          <w:p w14:paraId="234C0F53" w14:textId="642A6F38" w:rsidR="00212B8B" w:rsidRPr="00212B8B" w:rsidRDefault="00212B8B" w:rsidP="003E5A31">
            <w:pPr>
              <w:jc w:val="both"/>
              <w:rPr>
                <w:color w:val="000000"/>
                <w:sz w:val="20"/>
                <w:szCs w:val="20"/>
              </w:rPr>
            </w:pPr>
            <w:r w:rsidRPr="00212B8B">
              <w:rPr>
                <w:color w:val="000000"/>
                <w:sz w:val="20"/>
                <w:szCs w:val="20"/>
              </w:rPr>
              <w:t>7</w:t>
            </w:r>
            <w:r w:rsidR="00187EC4">
              <w:rPr>
                <w:color w:val="000000"/>
                <w:sz w:val="20"/>
                <w:szCs w:val="20"/>
              </w:rPr>
              <w:t>2</w:t>
            </w:r>
          </w:p>
        </w:tc>
        <w:tc>
          <w:tcPr>
            <w:tcW w:w="3425" w:type="pct"/>
            <w:shd w:val="clear" w:color="auto" w:fill="auto"/>
            <w:tcMar>
              <w:top w:w="0" w:type="dxa"/>
              <w:left w:w="0" w:type="dxa"/>
              <w:bottom w:w="0" w:type="dxa"/>
              <w:right w:w="0" w:type="dxa"/>
            </w:tcMar>
            <w:hideMark/>
          </w:tcPr>
          <w:p w14:paraId="37F49E92" w14:textId="77777777" w:rsidR="00212B8B" w:rsidRPr="00212B8B" w:rsidRDefault="00212B8B" w:rsidP="003E5A31">
            <w:pPr>
              <w:rPr>
                <w:color w:val="000000"/>
                <w:sz w:val="20"/>
                <w:szCs w:val="20"/>
              </w:rPr>
            </w:pPr>
            <w:r w:rsidRPr="00212B8B">
              <w:rPr>
                <w:color w:val="000000"/>
                <w:sz w:val="20"/>
                <w:szCs w:val="20"/>
              </w:rPr>
              <w:t>Chairman of the Board of Directors, President and Chief Executive Officer</w:t>
            </w:r>
          </w:p>
        </w:tc>
      </w:tr>
      <w:tr w:rsidR="00212B8B" w:rsidRPr="00212B8B" w14:paraId="062F5824" w14:textId="77777777" w:rsidTr="00212B8B">
        <w:trPr>
          <w:cantSplit/>
          <w:tblCellSpacing w:w="0" w:type="dxa"/>
        </w:trPr>
        <w:tc>
          <w:tcPr>
            <w:tcW w:w="1565" w:type="pct"/>
            <w:shd w:val="clear" w:color="auto" w:fill="auto"/>
            <w:tcMar>
              <w:top w:w="0" w:type="dxa"/>
              <w:left w:w="0" w:type="dxa"/>
              <w:bottom w:w="0" w:type="dxa"/>
              <w:right w:w="0" w:type="dxa"/>
            </w:tcMar>
            <w:hideMark/>
          </w:tcPr>
          <w:p w14:paraId="085A86B3" w14:textId="77777777" w:rsidR="00212B8B" w:rsidRPr="00212B8B" w:rsidRDefault="00212B8B" w:rsidP="003E5A31">
            <w:pPr>
              <w:rPr>
                <w:color w:val="000000"/>
                <w:sz w:val="20"/>
                <w:szCs w:val="20"/>
              </w:rPr>
            </w:pPr>
            <w:r w:rsidRPr="00212B8B">
              <w:rPr>
                <w:color w:val="000000"/>
                <w:sz w:val="20"/>
                <w:szCs w:val="20"/>
              </w:rPr>
              <w:t>Mark W. Reynolds, CPA</w:t>
            </w:r>
          </w:p>
        </w:tc>
        <w:tc>
          <w:tcPr>
            <w:tcW w:w="340" w:type="pct"/>
            <w:shd w:val="clear" w:color="auto" w:fill="auto"/>
            <w:tcMar>
              <w:top w:w="0" w:type="dxa"/>
              <w:left w:w="0" w:type="dxa"/>
              <w:bottom w:w="0" w:type="dxa"/>
              <w:right w:w="0" w:type="dxa"/>
            </w:tcMar>
            <w:hideMark/>
          </w:tcPr>
          <w:p w14:paraId="13EE2A3E" w14:textId="030FAAA8" w:rsidR="00212B8B" w:rsidRPr="00212B8B" w:rsidRDefault="00187EC4" w:rsidP="003E5A31">
            <w:pPr>
              <w:jc w:val="both"/>
              <w:rPr>
                <w:color w:val="000000"/>
                <w:sz w:val="20"/>
                <w:szCs w:val="20"/>
              </w:rPr>
            </w:pPr>
            <w:r>
              <w:rPr>
                <w:color w:val="000000"/>
                <w:sz w:val="20"/>
                <w:szCs w:val="20"/>
              </w:rPr>
              <w:t>60</w:t>
            </w:r>
          </w:p>
        </w:tc>
        <w:tc>
          <w:tcPr>
            <w:tcW w:w="3425" w:type="pct"/>
            <w:shd w:val="clear" w:color="auto" w:fill="auto"/>
            <w:tcMar>
              <w:top w:w="0" w:type="dxa"/>
              <w:left w:w="0" w:type="dxa"/>
              <w:bottom w:w="0" w:type="dxa"/>
              <w:right w:w="0" w:type="dxa"/>
            </w:tcMar>
            <w:hideMark/>
          </w:tcPr>
          <w:p w14:paraId="32D73C41" w14:textId="77777777" w:rsidR="00212B8B" w:rsidRPr="00212B8B" w:rsidRDefault="00212B8B" w:rsidP="003E5A31">
            <w:pPr>
              <w:rPr>
                <w:color w:val="000000"/>
                <w:sz w:val="20"/>
                <w:szCs w:val="20"/>
              </w:rPr>
            </w:pPr>
            <w:r w:rsidRPr="00212B8B">
              <w:rPr>
                <w:color w:val="000000"/>
                <w:sz w:val="20"/>
                <w:szCs w:val="20"/>
              </w:rPr>
              <w:t>Chief Financial Officer and Corporate Secretary</w:t>
            </w:r>
          </w:p>
        </w:tc>
      </w:tr>
      <w:tr w:rsidR="00212B8B" w:rsidRPr="00212B8B" w14:paraId="5DA923AE" w14:textId="77777777" w:rsidTr="00212B8B">
        <w:trPr>
          <w:cantSplit/>
          <w:tblCellSpacing w:w="0" w:type="dxa"/>
        </w:trPr>
        <w:tc>
          <w:tcPr>
            <w:tcW w:w="1565" w:type="pct"/>
            <w:shd w:val="clear" w:color="auto" w:fill="auto"/>
            <w:tcMar>
              <w:top w:w="0" w:type="dxa"/>
              <w:left w:w="0" w:type="dxa"/>
              <w:bottom w:w="0" w:type="dxa"/>
              <w:right w:w="0" w:type="dxa"/>
            </w:tcMar>
            <w:hideMark/>
          </w:tcPr>
          <w:p w14:paraId="61551E57" w14:textId="77777777" w:rsidR="00212B8B" w:rsidRPr="00212B8B" w:rsidRDefault="00212B8B" w:rsidP="003E5A31">
            <w:pPr>
              <w:rPr>
                <w:color w:val="000000"/>
                <w:sz w:val="20"/>
                <w:szCs w:val="20"/>
              </w:rPr>
            </w:pPr>
            <w:r w:rsidRPr="00212B8B">
              <w:rPr>
                <w:color w:val="000000"/>
                <w:sz w:val="20"/>
                <w:szCs w:val="20"/>
              </w:rPr>
              <w:t>Mark J. Newman, Ph.D.</w:t>
            </w:r>
          </w:p>
        </w:tc>
        <w:tc>
          <w:tcPr>
            <w:tcW w:w="340" w:type="pct"/>
            <w:shd w:val="clear" w:color="auto" w:fill="auto"/>
            <w:tcMar>
              <w:top w:w="0" w:type="dxa"/>
              <w:left w:w="0" w:type="dxa"/>
              <w:bottom w:w="0" w:type="dxa"/>
              <w:right w:w="0" w:type="dxa"/>
            </w:tcMar>
            <w:hideMark/>
          </w:tcPr>
          <w:p w14:paraId="1979D177" w14:textId="4B63E9C1" w:rsidR="00212B8B" w:rsidRPr="00212B8B" w:rsidRDefault="00212B8B" w:rsidP="003E5A31">
            <w:pPr>
              <w:jc w:val="both"/>
              <w:rPr>
                <w:color w:val="000000"/>
                <w:sz w:val="20"/>
                <w:szCs w:val="20"/>
              </w:rPr>
            </w:pPr>
            <w:r w:rsidRPr="00212B8B">
              <w:rPr>
                <w:color w:val="000000"/>
                <w:sz w:val="20"/>
                <w:szCs w:val="20"/>
              </w:rPr>
              <w:t>6</w:t>
            </w:r>
            <w:r w:rsidR="00E9276D">
              <w:rPr>
                <w:color w:val="000000"/>
                <w:sz w:val="20"/>
                <w:szCs w:val="20"/>
              </w:rPr>
              <w:t>7</w:t>
            </w:r>
          </w:p>
        </w:tc>
        <w:tc>
          <w:tcPr>
            <w:tcW w:w="3425" w:type="pct"/>
            <w:shd w:val="clear" w:color="auto" w:fill="auto"/>
            <w:tcMar>
              <w:top w:w="0" w:type="dxa"/>
              <w:left w:w="0" w:type="dxa"/>
              <w:bottom w:w="0" w:type="dxa"/>
              <w:right w:w="0" w:type="dxa"/>
            </w:tcMar>
            <w:hideMark/>
          </w:tcPr>
          <w:p w14:paraId="71657E3F" w14:textId="77777777" w:rsidR="00212B8B" w:rsidRPr="00212B8B" w:rsidRDefault="00212B8B" w:rsidP="003E5A31">
            <w:pPr>
              <w:rPr>
                <w:color w:val="000000"/>
                <w:sz w:val="20"/>
                <w:szCs w:val="20"/>
              </w:rPr>
            </w:pPr>
            <w:r w:rsidRPr="00212B8B">
              <w:rPr>
                <w:color w:val="000000"/>
                <w:sz w:val="20"/>
                <w:szCs w:val="20"/>
              </w:rPr>
              <w:t>Chief Scientific Officer</w:t>
            </w:r>
          </w:p>
        </w:tc>
      </w:tr>
      <w:tr w:rsidR="00296B15" w:rsidRPr="00212B8B" w14:paraId="5E2E6842" w14:textId="77777777" w:rsidTr="00212B8B">
        <w:trPr>
          <w:cantSplit/>
          <w:tblCellSpacing w:w="0" w:type="dxa"/>
        </w:trPr>
        <w:tc>
          <w:tcPr>
            <w:tcW w:w="1565" w:type="pct"/>
            <w:shd w:val="clear" w:color="auto" w:fill="auto"/>
            <w:tcMar>
              <w:top w:w="0" w:type="dxa"/>
              <w:left w:w="0" w:type="dxa"/>
              <w:bottom w:w="0" w:type="dxa"/>
              <w:right w:w="0" w:type="dxa"/>
            </w:tcMar>
          </w:tcPr>
          <w:p w14:paraId="69AA9174" w14:textId="2AB1BDDA" w:rsidR="00296B15" w:rsidRPr="00212B8B" w:rsidRDefault="00296B15" w:rsidP="003E5A31">
            <w:pPr>
              <w:rPr>
                <w:color w:val="000000"/>
                <w:sz w:val="20"/>
                <w:szCs w:val="20"/>
              </w:rPr>
            </w:pPr>
            <w:r>
              <w:rPr>
                <w:color w:val="000000"/>
                <w:sz w:val="20"/>
                <w:szCs w:val="20"/>
              </w:rPr>
              <w:t>Kelly T. McKee, M.D.</w:t>
            </w:r>
          </w:p>
        </w:tc>
        <w:tc>
          <w:tcPr>
            <w:tcW w:w="340" w:type="pct"/>
            <w:shd w:val="clear" w:color="auto" w:fill="auto"/>
            <w:tcMar>
              <w:top w:w="0" w:type="dxa"/>
              <w:left w:w="0" w:type="dxa"/>
              <w:bottom w:w="0" w:type="dxa"/>
              <w:right w:w="0" w:type="dxa"/>
            </w:tcMar>
          </w:tcPr>
          <w:p w14:paraId="4F9B08F9" w14:textId="7674F6EF" w:rsidR="00296B15" w:rsidRPr="00212B8B" w:rsidRDefault="00296B15" w:rsidP="003E5A31">
            <w:pPr>
              <w:jc w:val="both"/>
              <w:rPr>
                <w:color w:val="000000"/>
                <w:sz w:val="20"/>
                <w:szCs w:val="20"/>
              </w:rPr>
            </w:pPr>
            <w:r>
              <w:rPr>
                <w:color w:val="000000"/>
                <w:sz w:val="20"/>
                <w:szCs w:val="20"/>
              </w:rPr>
              <w:t>7</w:t>
            </w:r>
            <w:r w:rsidR="00E9276D">
              <w:rPr>
                <w:color w:val="000000"/>
                <w:sz w:val="20"/>
                <w:szCs w:val="20"/>
              </w:rPr>
              <w:t>2</w:t>
            </w:r>
          </w:p>
        </w:tc>
        <w:tc>
          <w:tcPr>
            <w:tcW w:w="3425" w:type="pct"/>
            <w:shd w:val="clear" w:color="auto" w:fill="auto"/>
            <w:tcMar>
              <w:top w:w="0" w:type="dxa"/>
              <w:left w:w="0" w:type="dxa"/>
              <w:bottom w:w="0" w:type="dxa"/>
              <w:right w:w="0" w:type="dxa"/>
            </w:tcMar>
          </w:tcPr>
          <w:p w14:paraId="09B41FA3" w14:textId="51353994" w:rsidR="00296B15" w:rsidRPr="00212B8B" w:rsidRDefault="00296B15" w:rsidP="003E5A31">
            <w:pPr>
              <w:rPr>
                <w:color w:val="000000"/>
                <w:sz w:val="20"/>
                <w:szCs w:val="20"/>
              </w:rPr>
            </w:pPr>
            <w:r>
              <w:rPr>
                <w:color w:val="000000"/>
                <w:sz w:val="20"/>
                <w:szCs w:val="20"/>
              </w:rPr>
              <w:t>Chief Medical Officer</w:t>
            </w:r>
          </w:p>
        </w:tc>
      </w:tr>
      <w:tr w:rsidR="00212B8B" w:rsidRPr="00212B8B" w14:paraId="0E4AA4E9" w14:textId="77777777" w:rsidTr="00212B8B">
        <w:trPr>
          <w:cantSplit/>
          <w:tblCellSpacing w:w="0" w:type="dxa"/>
        </w:trPr>
        <w:tc>
          <w:tcPr>
            <w:tcW w:w="1565" w:type="pct"/>
            <w:shd w:val="clear" w:color="auto" w:fill="auto"/>
            <w:tcMar>
              <w:top w:w="0" w:type="dxa"/>
              <w:left w:w="0" w:type="dxa"/>
              <w:bottom w:w="0" w:type="dxa"/>
              <w:right w:w="0" w:type="dxa"/>
            </w:tcMar>
            <w:hideMark/>
          </w:tcPr>
          <w:p w14:paraId="3CCAC086" w14:textId="576CAE23" w:rsidR="00212B8B" w:rsidRPr="00212B8B" w:rsidRDefault="00212B8B" w:rsidP="003E5A31">
            <w:pPr>
              <w:rPr>
                <w:color w:val="000000"/>
                <w:sz w:val="20"/>
                <w:szCs w:val="20"/>
              </w:rPr>
            </w:pPr>
            <w:r w:rsidRPr="00212B8B">
              <w:rPr>
                <w:color w:val="000000"/>
                <w:sz w:val="20"/>
                <w:szCs w:val="20"/>
              </w:rPr>
              <w:t>Robert T. McNally Ph.D.</w:t>
            </w:r>
            <w:r w:rsidR="00296B15">
              <w:rPr>
                <w:color w:val="000000"/>
                <w:sz w:val="20"/>
                <w:szCs w:val="20"/>
              </w:rPr>
              <w:t>(1)(2)</w:t>
            </w:r>
          </w:p>
        </w:tc>
        <w:tc>
          <w:tcPr>
            <w:tcW w:w="340" w:type="pct"/>
            <w:shd w:val="clear" w:color="auto" w:fill="auto"/>
            <w:tcMar>
              <w:top w:w="0" w:type="dxa"/>
              <w:left w:w="0" w:type="dxa"/>
              <w:bottom w:w="0" w:type="dxa"/>
              <w:right w:w="0" w:type="dxa"/>
            </w:tcMar>
            <w:hideMark/>
          </w:tcPr>
          <w:p w14:paraId="4948A740" w14:textId="1127BE1B" w:rsidR="00212B8B" w:rsidRPr="00212B8B" w:rsidRDefault="00212B8B" w:rsidP="003E5A31">
            <w:pPr>
              <w:jc w:val="both"/>
              <w:rPr>
                <w:color w:val="000000"/>
                <w:sz w:val="20"/>
                <w:szCs w:val="20"/>
              </w:rPr>
            </w:pPr>
            <w:r w:rsidRPr="00212B8B">
              <w:rPr>
                <w:color w:val="000000"/>
                <w:sz w:val="20"/>
                <w:szCs w:val="20"/>
              </w:rPr>
              <w:t>7</w:t>
            </w:r>
            <w:r w:rsidR="00900B07">
              <w:rPr>
                <w:color w:val="000000"/>
                <w:sz w:val="20"/>
                <w:szCs w:val="20"/>
              </w:rPr>
              <w:t>4</w:t>
            </w:r>
          </w:p>
        </w:tc>
        <w:tc>
          <w:tcPr>
            <w:tcW w:w="3425" w:type="pct"/>
            <w:shd w:val="clear" w:color="auto" w:fill="auto"/>
            <w:tcMar>
              <w:top w:w="0" w:type="dxa"/>
              <w:left w:w="0" w:type="dxa"/>
              <w:bottom w:w="0" w:type="dxa"/>
              <w:right w:w="0" w:type="dxa"/>
            </w:tcMar>
            <w:hideMark/>
          </w:tcPr>
          <w:p w14:paraId="03452289" w14:textId="5F2D40DF" w:rsidR="00212B8B" w:rsidRPr="00212B8B" w:rsidRDefault="00675CD7" w:rsidP="003E5A31">
            <w:pPr>
              <w:rPr>
                <w:color w:val="000000"/>
                <w:sz w:val="20"/>
                <w:szCs w:val="20"/>
              </w:rPr>
            </w:pPr>
            <w:r>
              <w:rPr>
                <w:color w:val="000000"/>
                <w:sz w:val="20"/>
                <w:szCs w:val="20"/>
              </w:rPr>
              <w:t xml:space="preserve">Independent </w:t>
            </w:r>
            <w:r w:rsidR="00212B8B" w:rsidRPr="00212B8B">
              <w:rPr>
                <w:color w:val="000000"/>
                <w:sz w:val="20"/>
                <w:szCs w:val="20"/>
              </w:rPr>
              <w:t>Director</w:t>
            </w:r>
          </w:p>
        </w:tc>
      </w:tr>
      <w:tr w:rsidR="00212B8B" w:rsidRPr="00212B8B" w14:paraId="246550B0" w14:textId="77777777" w:rsidTr="00212B8B">
        <w:trPr>
          <w:cantSplit/>
          <w:tblCellSpacing w:w="0" w:type="dxa"/>
        </w:trPr>
        <w:tc>
          <w:tcPr>
            <w:tcW w:w="1565" w:type="pct"/>
            <w:shd w:val="clear" w:color="auto" w:fill="auto"/>
            <w:tcMar>
              <w:top w:w="0" w:type="dxa"/>
              <w:left w:w="0" w:type="dxa"/>
              <w:bottom w:w="0" w:type="dxa"/>
              <w:right w:w="0" w:type="dxa"/>
            </w:tcMar>
            <w:hideMark/>
          </w:tcPr>
          <w:p w14:paraId="60A52888" w14:textId="77777777" w:rsidR="00212B8B" w:rsidRPr="00212B8B" w:rsidRDefault="00212B8B" w:rsidP="003E5A31">
            <w:pPr>
              <w:rPr>
                <w:color w:val="000000"/>
                <w:sz w:val="20"/>
                <w:szCs w:val="20"/>
              </w:rPr>
            </w:pPr>
            <w:r w:rsidRPr="00212B8B">
              <w:rPr>
                <w:color w:val="000000"/>
                <w:sz w:val="20"/>
                <w:szCs w:val="20"/>
              </w:rPr>
              <w:t>Randal D. Chase, Ph.D. (1)(2)(3)</w:t>
            </w:r>
          </w:p>
        </w:tc>
        <w:tc>
          <w:tcPr>
            <w:tcW w:w="340" w:type="pct"/>
            <w:shd w:val="clear" w:color="auto" w:fill="auto"/>
            <w:tcMar>
              <w:top w:w="0" w:type="dxa"/>
              <w:left w:w="0" w:type="dxa"/>
              <w:bottom w:w="0" w:type="dxa"/>
              <w:right w:w="0" w:type="dxa"/>
            </w:tcMar>
            <w:hideMark/>
          </w:tcPr>
          <w:p w14:paraId="3B10C87E" w14:textId="134A7C87" w:rsidR="00212B8B" w:rsidRPr="00212B8B" w:rsidRDefault="00212B8B" w:rsidP="003E5A31">
            <w:pPr>
              <w:jc w:val="both"/>
              <w:rPr>
                <w:color w:val="000000"/>
                <w:sz w:val="20"/>
                <w:szCs w:val="20"/>
              </w:rPr>
            </w:pPr>
            <w:r w:rsidRPr="00212B8B">
              <w:rPr>
                <w:color w:val="000000"/>
                <w:sz w:val="20"/>
                <w:szCs w:val="20"/>
              </w:rPr>
              <w:t>7</w:t>
            </w:r>
            <w:r w:rsidR="00187EC4">
              <w:rPr>
                <w:color w:val="000000"/>
                <w:sz w:val="20"/>
                <w:szCs w:val="20"/>
              </w:rPr>
              <w:t>2</w:t>
            </w:r>
          </w:p>
        </w:tc>
        <w:tc>
          <w:tcPr>
            <w:tcW w:w="3425" w:type="pct"/>
            <w:shd w:val="clear" w:color="auto" w:fill="auto"/>
            <w:tcMar>
              <w:top w:w="0" w:type="dxa"/>
              <w:left w:w="0" w:type="dxa"/>
              <w:bottom w:w="0" w:type="dxa"/>
              <w:right w:w="0" w:type="dxa"/>
            </w:tcMar>
            <w:hideMark/>
          </w:tcPr>
          <w:p w14:paraId="0DE85082" w14:textId="77777777" w:rsidR="00212B8B" w:rsidRPr="00212B8B" w:rsidRDefault="00212B8B" w:rsidP="003E5A31">
            <w:pPr>
              <w:rPr>
                <w:color w:val="000000"/>
                <w:sz w:val="20"/>
                <w:szCs w:val="20"/>
              </w:rPr>
            </w:pPr>
            <w:r w:rsidRPr="00212B8B">
              <w:rPr>
                <w:color w:val="000000"/>
                <w:sz w:val="20"/>
                <w:szCs w:val="20"/>
              </w:rPr>
              <w:t>Independent Director</w:t>
            </w:r>
          </w:p>
        </w:tc>
      </w:tr>
      <w:tr w:rsidR="00212B8B" w:rsidRPr="00212B8B" w14:paraId="5A80D435" w14:textId="77777777" w:rsidTr="00212B8B">
        <w:trPr>
          <w:cantSplit/>
          <w:tblCellSpacing w:w="0" w:type="dxa"/>
        </w:trPr>
        <w:tc>
          <w:tcPr>
            <w:tcW w:w="1565" w:type="pct"/>
            <w:shd w:val="clear" w:color="auto" w:fill="auto"/>
            <w:tcMar>
              <w:top w:w="0" w:type="dxa"/>
              <w:left w:w="0" w:type="dxa"/>
              <w:bottom w:w="0" w:type="dxa"/>
              <w:right w:w="0" w:type="dxa"/>
            </w:tcMar>
            <w:hideMark/>
          </w:tcPr>
          <w:p w14:paraId="5DD53206" w14:textId="35881B2B" w:rsidR="00212B8B" w:rsidRPr="00212B8B" w:rsidRDefault="00212B8B" w:rsidP="003E5A31">
            <w:pPr>
              <w:rPr>
                <w:color w:val="000000"/>
                <w:sz w:val="20"/>
                <w:szCs w:val="20"/>
              </w:rPr>
            </w:pPr>
            <w:r w:rsidRPr="00212B8B">
              <w:rPr>
                <w:color w:val="000000"/>
                <w:sz w:val="20"/>
                <w:szCs w:val="20"/>
              </w:rPr>
              <w:t>Dean G. Kollintzas (2)(3)</w:t>
            </w:r>
          </w:p>
        </w:tc>
        <w:tc>
          <w:tcPr>
            <w:tcW w:w="340" w:type="pct"/>
            <w:shd w:val="clear" w:color="auto" w:fill="auto"/>
            <w:tcMar>
              <w:top w:w="0" w:type="dxa"/>
              <w:left w:w="0" w:type="dxa"/>
              <w:bottom w:w="0" w:type="dxa"/>
              <w:right w:w="0" w:type="dxa"/>
            </w:tcMar>
            <w:hideMark/>
          </w:tcPr>
          <w:p w14:paraId="56ECF1F6" w14:textId="7C74A509" w:rsidR="00212B8B" w:rsidRPr="00212B8B" w:rsidRDefault="00212B8B" w:rsidP="003E5A31">
            <w:pPr>
              <w:jc w:val="both"/>
              <w:rPr>
                <w:color w:val="000000"/>
                <w:sz w:val="20"/>
                <w:szCs w:val="20"/>
              </w:rPr>
            </w:pPr>
            <w:r w:rsidRPr="00212B8B">
              <w:rPr>
                <w:color w:val="000000"/>
                <w:sz w:val="20"/>
                <w:szCs w:val="20"/>
              </w:rPr>
              <w:t>4</w:t>
            </w:r>
            <w:r w:rsidR="00900B07">
              <w:rPr>
                <w:color w:val="000000"/>
                <w:sz w:val="20"/>
                <w:szCs w:val="20"/>
              </w:rPr>
              <w:t>9</w:t>
            </w:r>
          </w:p>
        </w:tc>
        <w:tc>
          <w:tcPr>
            <w:tcW w:w="3425" w:type="pct"/>
            <w:shd w:val="clear" w:color="auto" w:fill="auto"/>
            <w:tcMar>
              <w:top w:w="0" w:type="dxa"/>
              <w:left w:w="0" w:type="dxa"/>
              <w:bottom w:w="0" w:type="dxa"/>
              <w:right w:w="0" w:type="dxa"/>
            </w:tcMar>
            <w:hideMark/>
          </w:tcPr>
          <w:p w14:paraId="5B0B45C7" w14:textId="77777777" w:rsidR="00212B8B" w:rsidRPr="00212B8B" w:rsidRDefault="00212B8B" w:rsidP="003E5A31">
            <w:pPr>
              <w:rPr>
                <w:color w:val="000000"/>
                <w:sz w:val="20"/>
                <w:szCs w:val="20"/>
              </w:rPr>
            </w:pPr>
            <w:r w:rsidRPr="00212B8B">
              <w:rPr>
                <w:color w:val="000000"/>
                <w:sz w:val="20"/>
                <w:szCs w:val="20"/>
              </w:rPr>
              <w:t>Independent Director</w:t>
            </w:r>
          </w:p>
        </w:tc>
      </w:tr>
      <w:tr w:rsidR="00212B8B" w14:paraId="2E4A831C" w14:textId="77777777" w:rsidTr="00212B8B">
        <w:trPr>
          <w:cantSplit/>
          <w:tblCellSpacing w:w="0" w:type="dxa"/>
        </w:trPr>
        <w:tc>
          <w:tcPr>
            <w:tcW w:w="1565" w:type="pct"/>
            <w:shd w:val="clear" w:color="auto" w:fill="auto"/>
            <w:tcMar>
              <w:top w:w="0" w:type="dxa"/>
              <w:left w:w="0" w:type="dxa"/>
              <w:bottom w:w="0" w:type="dxa"/>
              <w:right w:w="0" w:type="dxa"/>
            </w:tcMar>
            <w:hideMark/>
          </w:tcPr>
          <w:p w14:paraId="1B59EB32" w14:textId="1D2B56DF" w:rsidR="00212B8B" w:rsidRPr="00212B8B" w:rsidRDefault="00212B8B" w:rsidP="003E5A31">
            <w:pPr>
              <w:rPr>
                <w:color w:val="000000"/>
                <w:sz w:val="20"/>
                <w:szCs w:val="20"/>
              </w:rPr>
            </w:pPr>
            <w:r w:rsidRPr="00212B8B">
              <w:rPr>
                <w:color w:val="000000"/>
                <w:sz w:val="20"/>
                <w:szCs w:val="20"/>
              </w:rPr>
              <w:t>John N. Spencer, Jr. (1)(3)</w:t>
            </w:r>
          </w:p>
        </w:tc>
        <w:tc>
          <w:tcPr>
            <w:tcW w:w="340" w:type="pct"/>
            <w:shd w:val="clear" w:color="auto" w:fill="auto"/>
            <w:tcMar>
              <w:top w:w="0" w:type="dxa"/>
              <w:left w:w="0" w:type="dxa"/>
              <w:bottom w:w="0" w:type="dxa"/>
              <w:right w:w="0" w:type="dxa"/>
            </w:tcMar>
            <w:hideMark/>
          </w:tcPr>
          <w:p w14:paraId="63A08CE4" w14:textId="7C90BE76" w:rsidR="00212B8B" w:rsidRPr="00212B8B" w:rsidRDefault="00212B8B" w:rsidP="003E5A31">
            <w:pPr>
              <w:jc w:val="both"/>
              <w:rPr>
                <w:color w:val="000000"/>
                <w:sz w:val="20"/>
                <w:szCs w:val="20"/>
              </w:rPr>
            </w:pPr>
            <w:r w:rsidRPr="00212B8B">
              <w:rPr>
                <w:color w:val="000000"/>
                <w:sz w:val="20"/>
                <w:szCs w:val="20"/>
              </w:rPr>
              <w:t>8</w:t>
            </w:r>
            <w:r w:rsidR="00187EC4">
              <w:rPr>
                <w:color w:val="000000"/>
                <w:sz w:val="20"/>
                <w:szCs w:val="20"/>
              </w:rPr>
              <w:t>1</w:t>
            </w:r>
          </w:p>
        </w:tc>
        <w:tc>
          <w:tcPr>
            <w:tcW w:w="3425" w:type="pct"/>
            <w:shd w:val="clear" w:color="auto" w:fill="auto"/>
            <w:tcMar>
              <w:top w:w="0" w:type="dxa"/>
              <w:left w:w="0" w:type="dxa"/>
              <w:bottom w:w="0" w:type="dxa"/>
              <w:right w:w="0" w:type="dxa"/>
            </w:tcMar>
            <w:hideMark/>
          </w:tcPr>
          <w:p w14:paraId="2149FBB8" w14:textId="77777777" w:rsidR="00212B8B" w:rsidRDefault="00212B8B" w:rsidP="003E5A31">
            <w:pPr>
              <w:rPr>
                <w:color w:val="000000"/>
                <w:sz w:val="20"/>
                <w:szCs w:val="20"/>
              </w:rPr>
            </w:pPr>
            <w:r w:rsidRPr="00212B8B">
              <w:rPr>
                <w:color w:val="000000"/>
                <w:sz w:val="20"/>
                <w:szCs w:val="20"/>
              </w:rPr>
              <w:t>Independent Director</w:t>
            </w:r>
          </w:p>
        </w:tc>
      </w:tr>
    </w:tbl>
    <w:p w14:paraId="7B9484A9" w14:textId="77777777" w:rsidR="00212B8B" w:rsidRDefault="00212B8B" w:rsidP="003E5A31">
      <w:pPr>
        <w:ind w:left="144"/>
        <w:jc w:val="both"/>
        <w:rPr>
          <w:sz w:val="20"/>
          <w:szCs w:val="20"/>
        </w:rPr>
      </w:pPr>
      <w:r>
        <w:rPr>
          <w:sz w:val="20"/>
          <w:szCs w:val="20"/>
        </w:rPr>
        <w:t>______________________</w:t>
      </w:r>
    </w:p>
    <w:tbl>
      <w:tblPr>
        <w:tblW w:w="5000" w:type="pct"/>
        <w:tblCellSpacing w:w="0" w:type="dxa"/>
        <w:tblInd w:w="144" w:type="dxa"/>
        <w:tblCellMar>
          <w:left w:w="0" w:type="dxa"/>
          <w:right w:w="0" w:type="dxa"/>
        </w:tblCellMar>
        <w:tblLook w:val="04A0" w:firstRow="1" w:lastRow="0" w:firstColumn="1" w:lastColumn="0" w:noHBand="0" w:noVBand="1"/>
      </w:tblPr>
      <w:tblGrid>
        <w:gridCol w:w="360"/>
        <w:gridCol w:w="9000"/>
      </w:tblGrid>
      <w:tr w:rsidR="00212B8B" w14:paraId="272FC069" w14:textId="77777777" w:rsidTr="003E5A31">
        <w:trPr>
          <w:cantSplit/>
          <w:tblCellSpacing w:w="0" w:type="dxa"/>
        </w:trPr>
        <w:tc>
          <w:tcPr>
            <w:tcW w:w="360" w:type="dxa"/>
            <w:tcMar>
              <w:top w:w="0" w:type="dxa"/>
              <w:left w:w="0" w:type="dxa"/>
              <w:bottom w:w="0" w:type="dxa"/>
              <w:right w:w="0" w:type="dxa"/>
            </w:tcMar>
            <w:hideMark/>
          </w:tcPr>
          <w:p w14:paraId="0BB25024" w14:textId="77777777" w:rsidR="00212B8B" w:rsidRDefault="00212B8B" w:rsidP="003E5A31">
            <w:pPr>
              <w:rPr>
                <w:color w:val="000000"/>
                <w:sz w:val="20"/>
                <w:szCs w:val="20"/>
              </w:rPr>
            </w:pPr>
            <w:r>
              <w:rPr>
                <w:color w:val="000000"/>
                <w:sz w:val="20"/>
                <w:szCs w:val="20"/>
              </w:rPr>
              <w:t>(1)</w:t>
            </w:r>
          </w:p>
        </w:tc>
        <w:tc>
          <w:tcPr>
            <w:tcW w:w="0" w:type="auto"/>
            <w:tcMar>
              <w:top w:w="0" w:type="dxa"/>
              <w:left w:w="0" w:type="dxa"/>
              <w:bottom w:w="0" w:type="dxa"/>
              <w:right w:w="0" w:type="dxa"/>
            </w:tcMar>
            <w:hideMark/>
          </w:tcPr>
          <w:p w14:paraId="52B93B96" w14:textId="77777777" w:rsidR="00212B8B" w:rsidRDefault="00212B8B" w:rsidP="003E5A31">
            <w:pPr>
              <w:rPr>
                <w:color w:val="000000"/>
                <w:sz w:val="20"/>
                <w:szCs w:val="20"/>
              </w:rPr>
            </w:pPr>
            <w:r>
              <w:rPr>
                <w:color w:val="000000"/>
                <w:sz w:val="20"/>
                <w:szCs w:val="20"/>
              </w:rPr>
              <w:t>Member of the Compensation Committee of the Board of Directors.</w:t>
            </w:r>
          </w:p>
        </w:tc>
      </w:tr>
      <w:tr w:rsidR="00212B8B" w14:paraId="608EEA84" w14:textId="77777777" w:rsidTr="003E5A31">
        <w:trPr>
          <w:cantSplit/>
          <w:tblCellSpacing w:w="0" w:type="dxa"/>
        </w:trPr>
        <w:tc>
          <w:tcPr>
            <w:tcW w:w="360" w:type="dxa"/>
            <w:tcMar>
              <w:top w:w="0" w:type="dxa"/>
              <w:left w:w="0" w:type="dxa"/>
              <w:bottom w:w="0" w:type="dxa"/>
              <w:right w:w="0" w:type="dxa"/>
            </w:tcMar>
            <w:hideMark/>
          </w:tcPr>
          <w:p w14:paraId="763B89E0" w14:textId="77777777" w:rsidR="00212B8B" w:rsidRDefault="00212B8B" w:rsidP="003E5A31">
            <w:pPr>
              <w:rPr>
                <w:color w:val="000000"/>
                <w:sz w:val="20"/>
                <w:szCs w:val="20"/>
              </w:rPr>
            </w:pPr>
            <w:r>
              <w:rPr>
                <w:color w:val="000000"/>
                <w:sz w:val="20"/>
                <w:szCs w:val="20"/>
              </w:rPr>
              <w:t>(2)</w:t>
            </w:r>
          </w:p>
        </w:tc>
        <w:tc>
          <w:tcPr>
            <w:tcW w:w="0" w:type="auto"/>
            <w:tcMar>
              <w:top w:w="0" w:type="dxa"/>
              <w:left w:w="0" w:type="dxa"/>
              <w:bottom w:w="0" w:type="dxa"/>
              <w:right w:w="0" w:type="dxa"/>
            </w:tcMar>
            <w:hideMark/>
          </w:tcPr>
          <w:p w14:paraId="65253C80" w14:textId="77777777" w:rsidR="00212B8B" w:rsidRDefault="00212B8B" w:rsidP="003E5A31">
            <w:pPr>
              <w:rPr>
                <w:color w:val="000000"/>
                <w:sz w:val="20"/>
                <w:szCs w:val="20"/>
              </w:rPr>
            </w:pPr>
            <w:r>
              <w:rPr>
                <w:color w:val="000000"/>
                <w:sz w:val="20"/>
                <w:szCs w:val="20"/>
              </w:rPr>
              <w:t>Member of the Nominating and Governance Committee of the Board of Directors.</w:t>
            </w:r>
          </w:p>
        </w:tc>
      </w:tr>
      <w:tr w:rsidR="00212B8B" w14:paraId="45E5C9DB" w14:textId="77777777" w:rsidTr="003E5A31">
        <w:trPr>
          <w:cantSplit/>
          <w:tblCellSpacing w:w="0" w:type="dxa"/>
        </w:trPr>
        <w:tc>
          <w:tcPr>
            <w:tcW w:w="360" w:type="dxa"/>
            <w:tcMar>
              <w:top w:w="0" w:type="dxa"/>
              <w:left w:w="0" w:type="dxa"/>
              <w:bottom w:w="0" w:type="dxa"/>
              <w:right w:w="0" w:type="dxa"/>
            </w:tcMar>
            <w:hideMark/>
          </w:tcPr>
          <w:p w14:paraId="3A10EFD2" w14:textId="77777777" w:rsidR="00212B8B" w:rsidRDefault="00212B8B" w:rsidP="003E5A31">
            <w:pPr>
              <w:rPr>
                <w:color w:val="000000"/>
                <w:sz w:val="20"/>
                <w:szCs w:val="20"/>
              </w:rPr>
            </w:pPr>
            <w:r>
              <w:rPr>
                <w:color w:val="000000"/>
                <w:sz w:val="20"/>
                <w:szCs w:val="20"/>
              </w:rPr>
              <w:t>(3)</w:t>
            </w:r>
          </w:p>
        </w:tc>
        <w:tc>
          <w:tcPr>
            <w:tcW w:w="0" w:type="auto"/>
            <w:tcMar>
              <w:top w:w="0" w:type="dxa"/>
              <w:left w:w="0" w:type="dxa"/>
              <w:bottom w:w="0" w:type="dxa"/>
              <w:right w:w="0" w:type="dxa"/>
            </w:tcMar>
            <w:hideMark/>
          </w:tcPr>
          <w:p w14:paraId="36CD1552" w14:textId="77777777" w:rsidR="00212B8B" w:rsidRDefault="00212B8B" w:rsidP="003E5A31">
            <w:pPr>
              <w:rPr>
                <w:color w:val="000000"/>
                <w:sz w:val="20"/>
                <w:szCs w:val="20"/>
              </w:rPr>
            </w:pPr>
            <w:r>
              <w:rPr>
                <w:color w:val="000000"/>
                <w:sz w:val="20"/>
                <w:szCs w:val="20"/>
              </w:rPr>
              <w:t>Member of the Audit Committee of the Board of Directors.</w:t>
            </w:r>
          </w:p>
          <w:p w14:paraId="74B7AFF2" w14:textId="77777777" w:rsidR="00212B8B" w:rsidRDefault="00212B8B" w:rsidP="003E5A31">
            <w:pPr>
              <w:rPr>
                <w:color w:val="000000"/>
                <w:sz w:val="20"/>
                <w:szCs w:val="20"/>
              </w:rPr>
            </w:pPr>
          </w:p>
        </w:tc>
      </w:tr>
    </w:tbl>
    <w:p w14:paraId="3760F1F8" w14:textId="77777777" w:rsidR="00675CD7" w:rsidRPr="00675CD7" w:rsidRDefault="00675CD7" w:rsidP="00675CD7">
      <w:pPr>
        <w:autoSpaceDE w:val="0"/>
        <w:autoSpaceDN w:val="0"/>
        <w:adjustRightInd w:val="0"/>
        <w:rPr>
          <w:sz w:val="20"/>
          <w:szCs w:val="20"/>
        </w:rPr>
      </w:pPr>
      <w:bookmarkStart w:id="37" w:name="_Hlk506390477"/>
      <w:r w:rsidRPr="00675CD7">
        <w:rPr>
          <w:b/>
          <w:bCs/>
          <w:i/>
          <w:iCs/>
          <w:sz w:val="20"/>
          <w:szCs w:val="20"/>
        </w:rPr>
        <w:t>David A. Dodd</w:t>
      </w:r>
      <w:r w:rsidRPr="00675CD7">
        <w:rPr>
          <w:sz w:val="20"/>
          <w:szCs w:val="20"/>
        </w:rPr>
        <w:t xml:space="preserve">. Mr. Dodd joined the Board of Directors in March 2010, becoming Chairman of our Board of Directors on January 1, 2011. Effective September 5, 2018, Mr. Dodd became our President and Chief Executive Officer, following Dr. McNally’s retirement. His executive management experience in the pharmaceutical and biotechnology industries spans more than 40 years. From September 2017 to April 2018, he served as Chief Executive Officer, and as a member of the Board of Directors of </w:t>
      </w:r>
      <w:proofErr w:type="spellStart"/>
      <w:r w:rsidRPr="00675CD7">
        <w:rPr>
          <w:sz w:val="20"/>
          <w:szCs w:val="20"/>
        </w:rPr>
        <w:t>Medizone</w:t>
      </w:r>
      <w:proofErr w:type="spellEnd"/>
      <w:r w:rsidRPr="00675CD7">
        <w:rPr>
          <w:sz w:val="20"/>
          <w:szCs w:val="20"/>
        </w:rPr>
        <w:t xml:space="preserve"> International, Inc. (“</w:t>
      </w:r>
      <w:proofErr w:type="spellStart"/>
      <w:r w:rsidRPr="00675CD7">
        <w:rPr>
          <w:sz w:val="20"/>
          <w:szCs w:val="20"/>
        </w:rPr>
        <w:t>Medizone</w:t>
      </w:r>
      <w:proofErr w:type="spellEnd"/>
      <w:r w:rsidRPr="00675CD7">
        <w:rPr>
          <w:sz w:val="20"/>
          <w:szCs w:val="20"/>
        </w:rPr>
        <w:t xml:space="preserve">”), a developer and manufacturer of disinfectant systems. On April 20, 2018, </w:t>
      </w:r>
      <w:proofErr w:type="spellStart"/>
      <w:r w:rsidRPr="00675CD7">
        <w:rPr>
          <w:sz w:val="20"/>
          <w:szCs w:val="20"/>
        </w:rPr>
        <w:t>Medizone</w:t>
      </w:r>
      <w:proofErr w:type="spellEnd"/>
      <w:r w:rsidRPr="00675CD7">
        <w:rPr>
          <w:sz w:val="20"/>
          <w:szCs w:val="20"/>
        </w:rPr>
        <w:t xml:space="preserve"> announced that certain of its creditors had commenced an involuntary bankruptcy proceeding under Chapter 11 of the United States Bankruptcy Code against </w:t>
      </w:r>
      <w:proofErr w:type="spellStart"/>
      <w:r w:rsidRPr="00675CD7">
        <w:rPr>
          <w:sz w:val="20"/>
          <w:szCs w:val="20"/>
        </w:rPr>
        <w:t>Medizone</w:t>
      </w:r>
      <w:proofErr w:type="spellEnd"/>
      <w:r w:rsidRPr="00675CD7">
        <w:rPr>
          <w:sz w:val="20"/>
          <w:szCs w:val="20"/>
        </w:rPr>
        <w:t xml:space="preserve">. The creditors included </w:t>
      </w:r>
      <w:proofErr w:type="spellStart"/>
      <w:r w:rsidRPr="00675CD7">
        <w:rPr>
          <w:sz w:val="20"/>
          <w:szCs w:val="20"/>
        </w:rPr>
        <w:t>Medizone’s</w:t>
      </w:r>
      <w:proofErr w:type="spellEnd"/>
      <w:r w:rsidRPr="00675CD7">
        <w:rPr>
          <w:sz w:val="20"/>
          <w:szCs w:val="20"/>
        </w:rPr>
        <w:t xml:space="preserve"> former Chairman and Chief Executive Officer and its former Director of Operations. From April 2013 to July 2017, Mr. Dodd served as President and Chief Executive Officer, and as a member of the Board of Directors, of </w:t>
      </w:r>
      <w:proofErr w:type="spellStart"/>
      <w:r w:rsidRPr="00675CD7">
        <w:rPr>
          <w:sz w:val="20"/>
          <w:szCs w:val="20"/>
        </w:rPr>
        <w:t>Aeterna</w:t>
      </w:r>
      <w:proofErr w:type="spellEnd"/>
      <w:r w:rsidRPr="00675CD7">
        <w:rPr>
          <w:sz w:val="20"/>
          <w:szCs w:val="20"/>
        </w:rPr>
        <w:t xml:space="preserve"> </w:t>
      </w:r>
      <w:proofErr w:type="spellStart"/>
      <w:r w:rsidRPr="00675CD7">
        <w:rPr>
          <w:sz w:val="20"/>
          <w:szCs w:val="20"/>
        </w:rPr>
        <w:t>Zentaris</w:t>
      </w:r>
      <w:proofErr w:type="spellEnd"/>
      <w:r w:rsidRPr="00675CD7">
        <w:rPr>
          <w:sz w:val="20"/>
          <w:szCs w:val="20"/>
        </w:rPr>
        <w:t xml:space="preserve"> Inc., a drug development company. He was Chairman of the Board of Directors of </w:t>
      </w:r>
      <w:proofErr w:type="spellStart"/>
      <w:r w:rsidRPr="00675CD7">
        <w:rPr>
          <w:sz w:val="20"/>
          <w:szCs w:val="20"/>
        </w:rPr>
        <w:t>Aeterna</w:t>
      </w:r>
      <w:proofErr w:type="spellEnd"/>
      <w:r w:rsidRPr="00675CD7">
        <w:rPr>
          <w:sz w:val="20"/>
          <w:szCs w:val="20"/>
        </w:rPr>
        <w:t xml:space="preserve"> </w:t>
      </w:r>
      <w:proofErr w:type="spellStart"/>
      <w:r w:rsidRPr="00675CD7">
        <w:rPr>
          <w:sz w:val="20"/>
          <w:szCs w:val="20"/>
        </w:rPr>
        <w:t>Zentaris</w:t>
      </w:r>
      <w:proofErr w:type="spellEnd"/>
      <w:r w:rsidRPr="00675CD7">
        <w:rPr>
          <w:sz w:val="20"/>
          <w:szCs w:val="20"/>
        </w:rPr>
        <w:t xml:space="preserve">, Inc. from May 2014 to May 2016, and continued to serve as a member of its Board of Directors until May 2018. From December 2007 to June 2009, Mr. Dodd was President, Chief Executive officer and Chairman of </w:t>
      </w:r>
      <w:proofErr w:type="spellStart"/>
      <w:r w:rsidRPr="00675CD7">
        <w:rPr>
          <w:sz w:val="20"/>
          <w:szCs w:val="20"/>
        </w:rPr>
        <w:t>BioReliance</w:t>
      </w:r>
      <w:proofErr w:type="spellEnd"/>
      <w:r w:rsidRPr="00675CD7">
        <w:rPr>
          <w:sz w:val="20"/>
          <w:szCs w:val="20"/>
        </w:rPr>
        <w:t xml:space="preserve"> Corporation, a leading provider of biological safety and related testing services. From October 2006 to April 2009, he served as non-executive Chairman of Stem Cell Sciences Plc., where he oversaw the development and implementation of a strategic growth plan, implementation of an experienced executive team, and the sale of the company to Stem Cells, Inc. in April 2009. Before that, Mr. Dodd served as President, Chief Executive Officer and Director of </w:t>
      </w:r>
      <w:proofErr w:type="spellStart"/>
      <w:r w:rsidRPr="00675CD7">
        <w:rPr>
          <w:sz w:val="20"/>
          <w:szCs w:val="20"/>
        </w:rPr>
        <w:t>Serologicals</w:t>
      </w:r>
      <w:proofErr w:type="spellEnd"/>
      <w:r w:rsidRPr="00675CD7">
        <w:rPr>
          <w:sz w:val="20"/>
          <w:szCs w:val="20"/>
        </w:rPr>
        <w:t xml:space="preserve"> Corporation before it was sold to Millipore Corporation in July 2006 for $1.5 billion. For the five years prior, Mr. Dodd served as President and Chief Executive Officer of Solvay Pharmaceuticals, Inc. and Chairman of its subsidiary </w:t>
      </w:r>
      <w:proofErr w:type="spellStart"/>
      <w:r w:rsidRPr="00675CD7">
        <w:rPr>
          <w:sz w:val="20"/>
          <w:szCs w:val="20"/>
        </w:rPr>
        <w:t>Unimed</w:t>
      </w:r>
      <w:proofErr w:type="spellEnd"/>
      <w:r w:rsidRPr="00675CD7">
        <w:rPr>
          <w:sz w:val="20"/>
          <w:szCs w:val="20"/>
        </w:rPr>
        <w:t xml:space="preserve"> Pharmaceuticals, Inc. He is also the Chief Executive Officer of </w:t>
      </w:r>
      <w:proofErr w:type="spellStart"/>
      <w:r w:rsidRPr="00675CD7">
        <w:rPr>
          <w:sz w:val="20"/>
          <w:szCs w:val="20"/>
        </w:rPr>
        <w:t>RiversEdge</w:t>
      </w:r>
      <w:proofErr w:type="spellEnd"/>
      <w:r w:rsidRPr="00675CD7">
        <w:rPr>
          <w:sz w:val="20"/>
          <w:szCs w:val="20"/>
        </w:rPr>
        <w:t xml:space="preserve"> </w:t>
      </w:r>
      <w:proofErr w:type="spellStart"/>
      <w:r w:rsidRPr="00675CD7">
        <w:rPr>
          <w:sz w:val="20"/>
          <w:szCs w:val="20"/>
        </w:rPr>
        <w:t>BioVentures</w:t>
      </w:r>
      <w:proofErr w:type="spellEnd"/>
      <w:r w:rsidRPr="00675CD7">
        <w:rPr>
          <w:sz w:val="20"/>
          <w:szCs w:val="20"/>
        </w:rPr>
        <w:t>, an investment and advisory firm focused on the life sciences and pharmaceuticals industries, which he founded in 2009. Mr. Dodd holds Bachelor of Science and Master of Science degrees from Georgia State University and completed the Harvard Business School Advanced Management Program. The Board of Directors has concluded that Mr. Dodd should serve on the Board of Directors due to his experience in the pharmaceutical industry and his involvement as an officer and director of the Company, as well as his background in general management, business transformation, corporate partnering, and mergers and acquisitions.</w:t>
      </w:r>
    </w:p>
    <w:bookmarkEnd w:id="37"/>
    <w:p w14:paraId="3DD42286" w14:textId="77777777" w:rsidR="00212B8B" w:rsidRDefault="00212B8B" w:rsidP="003E5A31">
      <w:pPr>
        <w:ind w:firstLine="720"/>
        <w:jc w:val="both"/>
        <w:rPr>
          <w:sz w:val="20"/>
          <w:szCs w:val="20"/>
        </w:rPr>
      </w:pPr>
    </w:p>
    <w:p w14:paraId="40461FFF" w14:textId="77777777" w:rsidR="00675CD7" w:rsidRPr="00675CD7" w:rsidRDefault="00675CD7" w:rsidP="00675CD7">
      <w:pPr>
        <w:autoSpaceDE w:val="0"/>
        <w:autoSpaceDN w:val="0"/>
        <w:adjustRightInd w:val="0"/>
        <w:rPr>
          <w:sz w:val="20"/>
          <w:szCs w:val="20"/>
        </w:rPr>
      </w:pPr>
      <w:r w:rsidRPr="00675CD7">
        <w:rPr>
          <w:b/>
          <w:bCs/>
          <w:i/>
          <w:iCs/>
          <w:sz w:val="20"/>
          <w:szCs w:val="20"/>
        </w:rPr>
        <w:t>Mark W. Reynolds, CPA.</w:t>
      </w:r>
      <w:r w:rsidRPr="00675CD7">
        <w:rPr>
          <w:sz w:val="20"/>
          <w:szCs w:val="20"/>
        </w:rPr>
        <w:t xml:space="preserve"> Mr. Reynolds joined the Company in October 2006 as Chief Financial Officer and Corporate Secretary. From 2004 to 2008, Mr. Reynolds served as Chief Financial Officer for </w:t>
      </w:r>
      <w:proofErr w:type="spellStart"/>
      <w:r w:rsidRPr="00675CD7">
        <w:rPr>
          <w:sz w:val="20"/>
          <w:szCs w:val="20"/>
        </w:rPr>
        <w:t>HealthWatchSystems</w:t>
      </w:r>
      <w:proofErr w:type="spellEnd"/>
      <w:r w:rsidRPr="00675CD7">
        <w:rPr>
          <w:sz w:val="20"/>
          <w:szCs w:val="20"/>
        </w:rPr>
        <w:t xml:space="preserve">, Inc. a privately-held company in the consumer healthcare industry. From 2004 to 2006, he served as Chief Financial Officer for Duska Therapeutics, Inc., a publicly-held biotechnology company. From 1988 to 2002, Mr. Reynolds worked for </w:t>
      </w:r>
      <w:proofErr w:type="spellStart"/>
      <w:r w:rsidRPr="00675CD7">
        <w:rPr>
          <w:sz w:val="20"/>
          <w:szCs w:val="20"/>
        </w:rPr>
        <w:t>CytRx</w:t>
      </w:r>
      <w:proofErr w:type="spellEnd"/>
      <w:r w:rsidRPr="00675CD7">
        <w:rPr>
          <w:sz w:val="20"/>
          <w:szCs w:val="20"/>
        </w:rPr>
        <w:t xml:space="preserve"> Corporation, a publicly-held biopharmaceutical company, where he first served as Controller and then as Chief Financial Officer. Mr. Reynolds began his career as an auditor with Arthur Andersen &amp; Co. from 1985 to 1988. He is a certified public accountant and holds a Master of Accountancy degree from the University of Georgia.</w:t>
      </w:r>
    </w:p>
    <w:p w14:paraId="5EA9B848" w14:textId="77777777" w:rsidR="00212B8B" w:rsidRDefault="00212B8B" w:rsidP="003E5A31">
      <w:pPr>
        <w:ind w:firstLine="720"/>
        <w:jc w:val="both"/>
        <w:rPr>
          <w:sz w:val="20"/>
          <w:szCs w:val="20"/>
        </w:rPr>
      </w:pPr>
    </w:p>
    <w:p w14:paraId="00D9EE8B" w14:textId="77777777" w:rsidR="00675CD7" w:rsidRPr="00675CD7" w:rsidRDefault="00675CD7" w:rsidP="00675CD7">
      <w:pPr>
        <w:autoSpaceDE w:val="0"/>
        <w:autoSpaceDN w:val="0"/>
        <w:adjustRightInd w:val="0"/>
        <w:rPr>
          <w:sz w:val="20"/>
          <w:szCs w:val="20"/>
        </w:rPr>
      </w:pPr>
      <w:r w:rsidRPr="00675CD7">
        <w:rPr>
          <w:b/>
          <w:bCs/>
          <w:i/>
          <w:iCs/>
          <w:sz w:val="20"/>
          <w:szCs w:val="20"/>
        </w:rPr>
        <w:lastRenderedPageBreak/>
        <w:t>Mark J. Newman,</w:t>
      </w:r>
      <w:r w:rsidRPr="00675CD7">
        <w:rPr>
          <w:sz w:val="20"/>
          <w:szCs w:val="20"/>
        </w:rPr>
        <w:t xml:space="preserve"> </w:t>
      </w:r>
      <w:r w:rsidRPr="00675CD7">
        <w:rPr>
          <w:b/>
          <w:bCs/>
          <w:i/>
          <w:iCs/>
          <w:sz w:val="20"/>
          <w:szCs w:val="20"/>
        </w:rPr>
        <w:t>Ph.D</w:t>
      </w:r>
      <w:r w:rsidRPr="00675CD7">
        <w:rPr>
          <w:sz w:val="20"/>
          <w:szCs w:val="20"/>
        </w:rPr>
        <w:t xml:space="preserve">. Dr. Newman became employed as our Chief Scientific Officer on August 25, 2020. Dr. Newman, who previously served the Company as vice president of research and development from 2010 to 2013, worked for the Company on a part-time basis until March 2022, at which time he became a full-time employee. Prior, he served senior management positions at PaxVax, </w:t>
      </w:r>
      <w:proofErr w:type="spellStart"/>
      <w:r w:rsidRPr="00675CD7">
        <w:rPr>
          <w:sz w:val="20"/>
          <w:szCs w:val="20"/>
        </w:rPr>
        <w:t>Pharmexa</w:t>
      </w:r>
      <w:proofErr w:type="spellEnd"/>
      <w:r w:rsidRPr="00675CD7">
        <w:rPr>
          <w:sz w:val="20"/>
          <w:szCs w:val="20"/>
        </w:rPr>
        <w:t xml:space="preserve"> A/S, </w:t>
      </w:r>
      <w:proofErr w:type="spellStart"/>
      <w:r w:rsidRPr="00675CD7">
        <w:rPr>
          <w:sz w:val="20"/>
          <w:szCs w:val="20"/>
        </w:rPr>
        <w:t>Epimmune</w:t>
      </w:r>
      <w:proofErr w:type="spellEnd"/>
      <w:r w:rsidRPr="00675CD7">
        <w:rPr>
          <w:sz w:val="20"/>
          <w:szCs w:val="20"/>
        </w:rPr>
        <w:t xml:space="preserve">, </w:t>
      </w:r>
      <w:proofErr w:type="spellStart"/>
      <w:r w:rsidRPr="00675CD7">
        <w:rPr>
          <w:sz w:val="20"/>
          <w:szCs w:val="20"/>
        </w:rPr>
        <w:t>Vaxcel</w:t>
      </w:r>
      <w:proofErr w:type="spellEnd"/>
      <w:r w:rsidRPr="00675CD7">
        <w:rPr>
          <w:sz w:val="20"/>
          <w:szCs w:val="20"/>
        </w:rPr>
        <w:t xml:space="preserve">, Apollon, and Cambridge Biotech. During his 30-year career he shepherded the development of experimental vaccine and adjuvant products through preclinical research and into Phase 1 &amp; 2 clinical testing. He is widely published in peer review publications and holds 10 U.S. patents. He holds a dual </w:t>
      </w:r>
      <w:proofErr w:type="spellStart"/>
      <w:r w:rsidRPr="00675CD7">
        <w:rPr>
          <w:sz w:val="20"/>
          <w:szCs w:val="20"/>
        </w:rPr>
        <w:t>B.Sc</w:t>
      </w:r>
      <w:proofErr w:type="spellEnd"/>
      <w:r w:rsidRPr="00675CD7">
        <w:rPr>
          <w:sz w:val="20"/>
          <w:szCs w:val="20"/>
        </w:rPr>
        <w:t>/M.Sc. degree in Agriculture and Pre-Veterinary Medicine from the Ohio State University and a his Ph.D. in Immunology at the John Curtin School for Medical Research, The Australian National University, Canberra.</w:t>
      </w:r>
    </w:p>
    <w:p w14:paraId="601714A6" w14:textId="292D2DE2" w:rsidR="00212B8B" w:rsidRDefault="00212B8B" w:rsidP="003E5A31">
      <w:pPr>
        <w:ind w:firstLine="720"/>
        <w:jc w:val="both"/>
        <w:rPr>
          <w:sz w:val="20"/>
          <w:szCs w:val="20"/>
        </w:rPr>
      </w:pPr>
    </w:p>
    <w:p w14:paraId="033667DD" w14:textId="77777777" w:rsidR="00675CD7" w:rsidRPr="00675CD7" w:rsidRDefault="00675CD7" w:rsidP="00675CD7">
      <w:pPr>
        <w:autoSpaceDE w:val="0"/>
        <w:autoSpaceDN w:val="0"/>
        <w:adjustRightInd w:val="0"/>
        <w:rPr>
          <w:sz w:val="20"/>
          <w:szCs w:val="20"/>
        </w:rPr>
      </w:pPr>
      <w:r w:rsidRPr="00675CD7">
        <w:rPr>
          <w:b/>
          <w:i/>
          <w:sz w:val="20"/>
          <w:szCs w:val="20"/>
        </w:rPr>
        <w:t>Kelly T. McKee, M.D</w:t>
      </w:r>
      <w:r w:rsidRPr="00675CD7">
        <w:rPr>
          <w:sz w:val="20"/>
          <w:szCs w:val="20"/>
        </w:rPr>
        <w:t>.  Dr. McKee was appointed as our Chief Medical Officer effective January 6, 2022 and serves in that role on a part-time basis pursuant to a consulting agreement. Dr. McKee has over 30 years of experience in research and development, with specific expertise in vaccines, emerging diseases, biodefense, and respiratory viral infections. His progressive clinical research experience began in 1981 at Fort Detrick, Frederick, MD., United States, where he held a variety of leadership positions in virology, immunology, preventive medicine, and clinical research and development with the U.S. Army, retiring as a Colonel in 2001.</w:t>
      </w:r>
      <w:r w:rsidRPr="00675CD7">
        <w:rPr>
          <w:bCs/>
          <w:sz w:val="20"/>
          <w:szCs w:val="20"/>
        </w:rPr>
        <w:t xml:space="preserve"> Dr. McKee subsequently served as State Epidemiologist in North Carolina, and as Senior Director of Clinical Research at </w:t>
      </w:r>
      <w:proofErr w:type="spellStart"/>
      <w:r w:rsidRPr="00675CD7">
        <w:rPr>
          <w:bCs/>
          <w:sz w:val="20"/>
          <w:szCs w:val="20"/>
        </w:rPr>
        <w:t>DynPort</w:t>
      </w:r>
      <w:proofErr w:type="spellEnd"/>
      <w:r w:rsidRPr="00675CD7">
        <w:rPr>
          <w:bCs/>
          <w:sz w:val="20"/>
          <w:szCs w:val="20"/>
        </w:rPr>
        <w:t xml:space="preserve"> Vaccine Company. He then held multiple leadership roles, including Vice President and Managing Director of Public Health and Government Services, and Vice President for Vaccines and Public Health </w:t>
      </w:r>
      <w:r w:rsidRPr="00675CD7">
        <w:rPr>
          <w:sz w:val="20"/>
          <w:szCs w:val="20"/>
        </w:rPr>
        <w:t>in the Infectious Diseases and Vaccines Center of Excellence, at Quintiles/QuintilesIMS (now IQVIA) for more than 10 years. Since 2017 he has</w:t>
      </w:r>
      <w:r w:rsidRPr="00675CD7">
        <w:rPr>
          <w:bCs/>
          <w:sz w:val="20"/>
          <w:szCs w:val="20"/>
        </w:rPr>
        <w:t xml:space="preserve"> provided contract clinical development and medical advisory services to biopharmaceutical industry in infectious diseases and related areas. Dr. McKee earned an M.D. from the University of Virginia School of Medicine, and a Master of Public Health  from Johns Hopkins University School of Hygiene and Public Health in Baltimore, MD. He has authored or co-authored more than 100 peer-reviewed publications and book chapters.</w:t>
      </w:r>
    </w:p>
    <w:p w14:paraId="2FC6F345" w14:textId="77777777" w:rsidR="00296B15" w:rsidRDefault="00296B15" w:rsidP="003E5A31">
      <w:pPr>
        <w:ind w:firstLine="720"/>
        <w:jc w:val="both"/>
        <w:rPr>
          <w:sz w:val="20"/>
          <w:szCs w:val="20"/>
        </w:rPr>
      </w:pPr>
    </w:p>
    <w:p w14:paraId="515B7D36" w14:textId="77777777" w:rsidR="00675CD7" w:rsidRPr="00675CD7" w:rsidRDefault="00675CD7" w:rsidP="00675CD7">
      <w:pPr>
        <w:autoSpaceDE w:val="0"/>
        <w:autoSpaceDN w:val="0"/>
        <w:adjustRightInd w:val="0"/>
        <w:rPr>
          <w:sz w:val="20"/>
          <w:szCs w:val="20"/>
        </w:rPr>
      </w:pPr>
      <w:r w:rsidRPr="00675CD7">
        <w:rPr>
          <w:b/>
          <w:bCs/>
          <w:i/>
          <w:iCs/>
          <w:sz w:val="20"/>
          <w:szCs w:val="20"/>
        </w:rPr>
        <w:t>Robert T. McNally,</w:t>
      </w:r>
      <w:r w:rsidRPr="00675CD7">
        <w:rPr>
          <w:sz w:val="20"/>
          <w:szCs w:val="20"/>
        </w:rPr>
        <w:t xml:space="preserve"> </w:t>
      </w:r>
      <w:r w:rsidRPr="00675CD7">
        <w:rPr>
          <w:b/>
          <w:bCs/>
          <w:i/>
          <w:iCs/>
          <w:sz w:val="20"/>
          <w:szCs w:val="20"/>
        </w:rPr>
        <w:t>Ph.D</w:t>
      </w:r>
      <w:r w:rsidRPr="00675CD7">
        <w:rPr>
          <w:sz w:val="20"/>
          <w:szCs w:val="20"/>
        </w:rPr>
        <w:t xml:space="preserve">. Dr. McNally joined the Board of Directors in December 2006 and was appointed as our President and Chief Executive Officer effective April 1, 2008, a position he held until his retirement in September 2018. From 2000 to March 2008, Dr. McNally served as Chief Executive Officer of Cell Dynamics LLC, a cGMP laboratory services company. Previously, Dr. McNally was a co-founder and Senior Vice President of Clinical Research for </w:t>
      </w:r>
      <w:proofErr w:type="spellStart"/>
      <w:r w:rsidRPr="00675CD7">
        <w:rPr>
          <w:sz w:val="20"/>
          <w:szCs w:val="20"/>
        </w:rPr>
        <w:t>CryoLife</w:t>
      </w:r>
      <w:proofErr w:type="spellEnd"/>
      <w:r w:rsidRPr="00675CD7">
        <w:rPr>
          <w:sz w:val="20"/>
          <w:szCs w:val="20"/>
        </w:rPr>
        <w:t xml:space="preserve">, Inc., a pioneering company in transplantable human tissues. He has over 35 years of experience in academic and corporate clinical investigations, management, research, business, quality and regulatory affairs. Dr. McNally is a Fellow of the American Institute for Medical and Biological Engineering, served on the advisory boards of the Petit Institute for Bioengineering and Dupree College of Management at the Georgia Institute of Technology, and is a former Chairman of Georgia Bio, a state trade association. Dr. McNally holds a Bachelor of Science in engineering from Villanova University and his Ph.D. in biomedical engineering from the University of Pennsylvania. The Board of Directors has concluded that Dr. McNally should serve on its Board of Directors by virtue of his prior business and scientific experience, including his experience as Chief Executive Officer of Cell Dynamics, LLC and as Senior Vice President of Clinical Research for </w:t>
      </w:r>
      <w:proofErr w:type="spellStart"/>
      <w:r w:rsidRPr="00675CD7">
        <w:rPr>
          <w:sz w:val="20"/>
          <w:szCs w:val="20"/>
        </w:rPr>
        <w:t>CryoLife</w:t>
      </w:r>
      <w:proofErr w:type="spellEnd"/>
      <w:r w:rsidRPr="00675CD7">
        <w:rPr>
          <w:sz w:val="20"/>
          <w:szCs w:val="20"/>
        </w:rPr>
        <w:t>, Inc., and due to his involvement with the Company as its former President and Chief Executive Officer.</w:t>
      </w:r>
    </w:p>
    <w:p w14:paraId="7A6AD5EB" w14:textId="77777777" w:rsidR="00212B8B" w:rsidRDefault="00212B8B" w:rsidP="003E5A31">
      <w:pPr>
        <w:ind w:firstLine="720"/>
        <w:jc w:val="both"/>
        <w:rPr>
          <w:sz w:val="20"/>
          <w:szCs w:val="20"/>
        </w:rPr>
      </w:pPr>
    </w:p>
    <w:p w14:paraId="439E78F0" w14:textId="77777777" w:rsidR="00675CD7" w:rsidRPr="00675CD7" w:rsidRDefault="00675CD7" w:rsidP="00675CD7">
      <w:pPr>
        <w:autoSpaceDE w:val="0"/>
        <w:autoSpaceDN w:val="0"/>
        <w:adjustRightInd w:val="0"/>
        <w:rPr>
          <w:sz w:val="20"/>
          <w:szCs w:val="20"/>
        </w:rPr>
      </w:pPr>
      <w:r w:rsidRPr="00675CD7">
        <w:rPr>
          <w:b/>
          <w:bCs/>
          <w:i/>
          <w:iCs/>
          <w:sz w:val="20"/>
          <w:szCs w:val="20"/>
        </w:rPr>
        <w:t>Randal D. Chase, Ph.D.</w:t>
      </w:r>
      <w:r w:rsidRPr="00675CD7">
        <w:rPr>
          <w:sz w:val="20"/>
          <w:szCs w:val="20"/>
        </w:rPr>
        <w:t xml:space="preserve"> Dr. Chase joined the Board of Directors in March 2015. Dr. Chase is an experienced pharmaceutical and biotechnology executive who currently serves as a business advisor and consultant to companies in the life science sector. He also serves as a director for </w:t>
      </w:r>
      <w:proofErr w:type="spellStart"/>
      <w:r w:rsidRPr="00675CD7">
        <w:rPr>
          <w:sz w:val="20"/>
          <w:szCs w:val="20"/>
        </w:rPr>
        <w:t>Mirexus</w:t>
      </w:r>
      <w:proofErr w:type="spellEnd"/>
      <w:r w:rsidRPr="00675CD7">
        <w:rPr>
          <w:sz w:val="20"/>
          <w:szCs w:val="20"/>
        </w:rPr>
        <w:t xml:space="preserve"> Biotechnologies, Inc., a biomaterials company, and as Chairman of the Board for </w:t>
      </w:r>
      <w:proofErr w:type="spellStart"/>
      <w:r w:rsidRPr="00675CD7">
        <w:rPr>
          <w:sz w:val="20"/>
          <w:szCs w:val="20"/>
        </w:rPr>
        <w:t>Glysantis</w:t>
      </w:r>
      <w:proofErr w:type="spellEnd"/>
      <w:r w:rsidRPr="00675CD7">
        <w:rPr>
          <w:sz w:val="20"/>
          <w:szCs w:val="20"/>
        </w:rPr>
        <w:t xml:space="preserve">, Inc. a biotechnology company. From February 2017 to April 2018, Dr. Chase was President and Chief Executive Officer of Advanced Proteome Therapeutics Corporation, a publicly-held biopharmaceutical company; he served as a member of that company’s board of directors from 2015 to April 2018. He served as Chairman of the Board for Medicago, Inc. until its sale to Mitsubishi Tanabe Pharma Corporation in 2013. From 2006 to 2011, he served as President and Chief Executive Officer of </w:t>
      </w:r>
      <w:proofErr w:type="spellStart"/>
      <w:r w:rsidRPr="00675CD7">
        <w:rPr>
          <w:sz w:val="20"/>
          <w:szCs w:val="20"/>
        </w:rPr>
        <w:t>Immunovaccine</w:t>
      </w:r>
      <w:proofErr w:type="spellEnd"/>
      <w:r w:rsidRPr="00675CD7">
        <w:rPr>
          <w:sz w:val="20"/>
          <w:szCs w:val="20"/>
        </w:rPr>
        <w:t xml:space="preserve">, Inc., a clinical-stage biotechnology company developing vaccines against cancer and infectious diseases. Dr. Chase is also a former president of Shire Biologics, North American Vaccine, Pasteur </w:t>
      </w:r>
      <w:proofErr w:type="spellStart"/>
      <w:r w:rsidRPr="00675CD7">
        <w:rPr>
          <w:sz w:val="20"/>
          <w:szCs w:val="20"/>
        </w:rPr>
        <w:t>Merieux</w:t>
      </w:r>
      <w:proofErr w:type="spellEnd"/>
      <w:r w:rsidRPr="00675CD7">
        <w:rPr>
          <w:sz w:val="20"/>
          <w:szCs w:val="20"/>
        </w:rPr>
        <w:t xml:space="preserve"> Connaught, and Quadra Logic Technologies, Inc. His early career was at Bristol Myers and Glaxo Pharmaceuticals. Dr. Chase holds a Bachelor of Sciences degree in biochemistry from Bishop’s University and a Ph.D. in biochemistry from the University of British Columbia. Dr. Chase completed a post-doctoral fellowship at the McArdle Cancer Institute of the University of Wisconsin. He also attended the Senior Executive Program of the London Business School in the United Kingdom. The Board of Directors has concluded that Dr. Chase should serve on the Board of Directors due to his extensive leadership experience in the pharmaceutical industry, and the vaccine industry in particular.</w:t>
      </w:r>
    </w:p>
    <w:p w14:paraId="0C210F15" w14:textId="77777777" w:rsidR="00212B8B" w:rsidRDefault="00212B8B" w:rsidP="003E5A31">
      <w:pPr>
        <w:ind w:firstLine="720"/>
        <w:jc w:val="both"/>
        <w:rPr>
          <w:sz w:val="20"/>
          <w:szCs w:val="20"/>
        </w:rPr>
      </w:pPr>
    </w:p>
    <w:p w14:paraId="0EC09528" w14:textId="77777777" w:rsidR="00675CD7" w:rsidRPr="00675CD7" w:rsidRDefault="00675CD7" w:rsidP="00675CD7">
      <w:pPr>
        <w:autoSpaceDE w:val="0"/>
        <w:autoSpaceDN w:val="0"/>
        <w:adjustRightInd w:val="0"/>
        <w:rPr>
          <w:sz w:val="20"/>
          <w:szCs w:val="20"/>
        </w:rPr>
      </w:pPr>
      <w:r w:rsidRPr="00675CD7">
        <w:rPr>
          <w:b/>
          <w:bCs/>
          <w:i/>
          <w:iCs/>
          <w:sz w:val="20"/>
          <w:szCs w:val="20"/>
        </w:rPr>
        <w:t>Dean G. Kollintzas.</w:t>
      </w:r>
      <w:r w:rsidRPr="00675CD7">
        <w:rPr>
          <w:sz w:val="20"/>
          <w:szCs w:val="20"/>
        </w:rPr>
        <w:t xml:space="preserve"> Mr. Kollintzas joined the Board of Directors in September 2006. Since 2001 Mr. Kollintzas has been an intellectual property attorney specializing in biotechnology and pharmaceutical licensing, FDA regulation, and corporate/international transactions. He is a member of the Wisconsin and American Bar Associations. Since 2004, Mr. Kollintzas has been in private practice. In 2014, he founded </w:t>
      </w:r>
      <w:proofErr w:type="spellStart"/>
      <w:r w:rsidRPr="00675CD7">
        <w:rPr>
          <w:sz w:val="20"/>
          <w:szCs w:val="20"/>
        </w:rPr>
        <w:t>Procare</w:t>
      </w:r>
      <w:proofErr w:type="spellEnd"/>
      <w:r w:rsidRPr="00675CD7">
        <w:rPr>
          <w:sz w:val="20"/>
          <w:szCs w:val="20"/>
        </w:rPr>
        <w:t xml:space="preserve"> Clinical, LLC, a clinical trial management company headquartered in Naperville, IL. Mr. Kollintzas holds a microbiology degree from the University of Illinois and a J.D. from the University of New Hampshire School of Law. The Board of Directors has concluded that Mr. Kollintzas should serve on the Board of Directors due to his experience with intellectual property matters, biotechnology and pharmaceutical licensing, and FDA regulation.</w:t>
      </w:r>
    </w:p>
    <w:p w14:paraId="6BAB5B79" w14:textId="77777777" w:rsidR="00212B8B" w:rsidRDefault="00212B8B" w:rsidP="003E5A31">
      <w:pPr>
        <w:ind w:firstLine="720"/>
        <w:jc w:val="both"/>
        <w:rPr>
          <w:sz w:val="20"/>
          <w:szCs w:val="20"/>
        </w:rPr>
      </w:pPr>
    </w:p>
    <w:p w14:paraId="4BDDF771" w14:textId="77777777" w:rsidR="00675CD7" w:rsidRPr="00675CD7" w:rsidRDefault="00675CD7" w:rsidP="00675CD7">
      <w:pPr>
        <w:autoSpaceDE w:val="0"/>
        <w:autoSpaceDN w:val="0"/>
        <w:adjustRightInd w:val="0"/>
        <w:rPr>
          <w:sz w:val="20"/>
          <w:szCs w:val="20"/>
        </w:rPr>
      </w:pPr>
      <w:r w:rsidRPr="00675CD7">
        <w:rPr>
          <w:b/>
          <w:bCs/>
          <w:i/>
          <w:iCs/>
          <w:sz w:val="20"/>
          <w:szCs w:val="20"/>
        </w:rPr>
        <w:t>John N. (Jack) Spencer,</w:t>
      </w:r>
      <w:r w:rsidRPr="00675CD7">
        <w:rPr>
          <w:sz w:val="20"/>
          <w:szCs w:val="20"/>
        </w:rPr>
        <w:t xml:space="preserve"> </w:t>
      </w:r>
      <w:r w:rsidRPr="00675CD7">
        <w:rPr>
          <w:b/>
          <w:bCs/>
          <w:i/>
          <w:iCs/>
          <w:sz w:val="20"/>
          <w:szCs w:val="20"/>
        </w:rPr>
        <w:t xml:space="preserve">Jr., CPA. </w:t>
      </w:r>
      <w:r w:rsidRPr="00675CD7">
        <w:rPr>
          <w:sz w:val="20"/>
          <w:szCs w:val="20"/>
        </w:rPr>
        <w:t>Mr. Spencer joined the Board of Directors in September 2006. Mr. Spencer is a certified public accountant and was a partner of Ernst &amp; Young LLP where he spent more than 38 years until he retired in 2000. Mr. Spencer holds a Bachelor of Science degree from Syracuse University, and  M.B.A.  from Babson College. He also attended the Harvard Business School Advanced Management Program. The Board of Directors has concluded that Mr. Spencer should serve on the Board of Directors by virtue of his experience at Ernst &amp; Young LLP where he was the partner in charge of that firm’s life sciences practice for the southeastern United States, and his clients included a large number of publicly-owned and privately-held medical technology companies.</w:t>
      </w:r>
    </w:p>
    <w:p w14:paraId="058F3EFD" w14:textId="77777777" w:rsidR="00212B8B" w:rsidRDefault="00212B8B" w:rsidP="003E5A31">
      <w:pPr>
        <w:ind w:firstLine="720"/>
        <w:jc w:val="both"/>
        <w:rPr>
          <w:sz w:val="20"/>
          <w:szCs w:val="20"/>
        </w:rPr>
      </w:pPr>
    </w:p>
    <w:p w14:paraId="63702EFF" w14:textId="77777777" w:rsidR="00212B8B" w:rsidRDefault="00212B8B" w:rsidP="003E5A31">
      <w:pPr>
        <w:jc w:val="both"/>
        <w:rPr>
          <w:sz w:val="20"/>
          <w:szCs w:val="20"/>
        </w:rPr>
      </w:pPr>
      <w:r>
        <w:rPr>
          <w:b/>
          <w:bCs/>
          <w:sz w:val="20"/>
          <w:szCs w:val="20"/>
        </w:rPr>
        <w:t>Family Relationships</w:t>
      </w:r>
    </w:p>
    <w:p w14:paraId="61C7EA97" w14:textId="77777777" w:rsidR="00212B8B" w:rsidRDefault="00212B8B" w:rsidP="003E5A31">
      <w:pPr>
        <w:ind w:firstLine="720"/>
        <w:jc w:val="both"/>
        <w:rPr>
          <w:sz w:val="20"/>
          <w:szCs w:val="20"/>
        </w:rPr>
      </w:pPr>
    </w:p>
    <w:p w14:paraId="4D7F89A8" w14:textId="77777777" w:rsidR="00212B8B" w:rsidRDefault="00212B8B" w:rsidP="003E5A31">
      <w:pPr>
        <w:ind w:firstLine="720"/>
        <w:jc w:val="both"/>
        <w:rPr>
          <w:sz w:val="20"/>
          <w:szCs w:val="20"/>
        </w:rPr>
      </w:pPr>
      <w:r>
        <w:rPr>
          <w:sz w:val="20"/>
          <w:szCs w:val="20"/>
        </w:rPr>
        <w:t>There are no family relationships among any of our directors or executive officers.</w:t>
      </w:r>
    </w:p>
    <w:p w14:paraId="30D0D3F7" w14:textId="77777777" w:rsidR="00212B8B" w:rsidRDefault="00212B8B" w:rsidP="003E5A31">
      <w:pPr>
        <w:jc w:val="both"/>
        <w:rPr>
          <w:b/>
          <w:bCs/>
          <w:sz w:val="20"/>
          <w:szCs w:val="20"/>
        </w:rPr>
      </w:pPr>
    </w:p>
    <w:p w14:paraId="56606DB7" w14:textId="77777777" w:rsidR="00212B8B" w:rsidRDefault="00212B8B" w:rsidP="003E5A31">
      <w:pPr>
        <w:jc w:val="both"/>
        <w:rPr>
          <w:sz w:val="20"/>
          <w:szCs w:val="20"/>
        </w:rPr>
      </w:pPr>
      <w:r>
        <w:rPr>
          <w:b/>
          <w:bCs/>
          <w:sz w:val="20"/>
          <w:szCs w:val="20"/>
        </w:rPr>
        <w:t>Director Independence</w:t>
      </w:r>
    </w:p>
    <w:p w14:paraId="4C5DEE28" w14:textId="77777777" w:rsidR="00212B8B" w:rsidRDefault="00212B8B" w:rsidP="003E5A31">
      <w:pPr>
        <w:ind w:firstLine="720"/>
        <w:jc w:val="both"/>
        <w:rPr>
          <w:sz w:val="20"/>
          <w:szCs w:val="20"/>
        </w:rPr>
      </w:pPr>
    </w:p>
    <w:p w14:paraId="4A8644DB" w14:textId="7BB92738" w:rsidR="00212B8B" w:rsidRDefault="00212B8B" w:rsidP="003E5A31">
      <w:pPr>
        <w:ind w:firstLine="720"/>
        <w:jc w:val="both"/>
        <w:rPr>
          <w:sz w:val="20"/>
          <w:szCs w:val="20"/>
        </w:rPr>
      </w:pPr>
      <w:r>
        <w:rPr>
          <w:sz w:val="20"/>
          <w:szCs w:val="20"/>
        </w:rPr>
        <w:t>The Board of Directors has determined that Messrs. Chase, Kollintzas,</w:t>
      </w:r>
      <w:r w:rsidR="00675CD7">
        <w:rPr>
          <w:sz w:val="20"/>
          <w:szCs w:val="20"/>
        </w:rPr>
        <w:t xml:space="preserve"> McNally</w:t>
      </w:r>
      <w:r>
        <w:rPr>
          <w:sz w:val="20"/>
          <w:szCs w:val="20"/>
        </w:rPr>
        <w:t xml:space="preserve"> and Spencer are the members of our Board of Directors who are “independent,” as that term is defined by Section 301(3)(B) of the Sarbanes-Oxley Act of 2002. The Board of Directors has also determined that these individuals meet the definition of “independent director” set forth in Rule 5605(a)(2) of the Nasdaq Listing Rules and that Mr. Spencer is the qualified “financial expert” on the Audit Committee. As independent directors, Messrs. Chase, Kollintzas</w:t>
      </w:r>
      <w:r w:rsidR="00675CD7">
        <w:rPr>
          <w:sz w:val="20"/>
          <w:szCs w:val="20"/>
        </w:rPr>
        <w:t>, McNally</w:t>
      </w:r>
      <w:r>
        <w:rPr>
          <w:sz w:val="20"/>
          <w:szCs w:val="20"/>
        </w:rPr>
        <w:t xml:space="preserve"> and Spencer serve as the members of our Audit Committee, our Compensation Committee, and our Nominating and Governance Committee.</w:t>
      </w:r>
    </w:p>
    <w:p w14:paraId="1C0C549C" w14:textId="77777777" w:rsidR="00212B8B" w:rsidRDefault="00212B8B" w:rsidP="003E5A31">
      <w:pPr>
        <w:rPr>
          <w:sz w:val="20"/>
          <w:szCs w:val="20"/>
        </w:rPr>
      </w:pPr>
    </w:p>
    <w:p w14:paraId="2016B05A" w14:textId="77777777" w:rsidR="00212B8B" w:rsidRDefault="00212B8B" w:rsidP="003E5A31">
      <w:pPr>
        <w:rPr>
          <w:sz w:val="20"/>
          <w:szCs w:val="20"/>
        </w:rPr>
      </w:pPr>
    </w:p>
    <w:p w14:paraId="217831B5" w14:textId="77777777" w:rsidR="00212B8B" w:rsidRDefault="00212B8B" w:rsidP="00212B8B">
      <w:pPr>
        <w:ind w:right="144"/>
        <w:rPr>
          <w:sz w:val="20"/>
          <w:szCs w:val="20"/>
        </w:rPr>
        <w:sectPr w:rsidR="00212B8B" w:rsidSect="00AE0555">
          <w:pgSz w:w="12240" w:h="15840"/>
          <w:pgMar w:top="1440" w:right="1440" w:bottom="1440" w:left="1440" w:header="720" w:footer="720" w:gutter="0"/>
          <w:cols w:space="720"/>
          <w:docGrid w:linePitch="326"/>
        </w:sectPr>
      </w:pPr>
    </w:p>
    <w:p w14:paraId="1B17AB66" w14:textId="77777777" w:rsidR="003E5A31" w:rsidRDefault="003E5A31" w:rsidP="003E5A31">
      <w:pPr>
        <w:ind w:left="144" w:right="144"/>
        <w:jc w:val="center"/>
        <w:rPr>
          <w:b/>
          <w:bCs/>
          <w:sz w:val="20"/>
          <w:szCs w:val="20"/>
        </w:rPr>
      </w:pPr>
      <w:r>
        <w:rPr>
          <w:b/>
          <w:bCs/>
          <w:sz w:val="20"/>
          <w:szCs w:val="20"/>
        </w:rPr>
        <w:lastRenderedPageBreak/>
        <w:t>EXECUTIVE COMPENSATION</w:t>
      </w:r>
    </w:p>
    <w:p w14:paraId="761715D5" w14:textId="77777777" w:rsidR="003E5A31" w:rsidRDefault="003E5A31" w:rsidP="003E5A31">
      <w:pPr>
        <w:ind w:left="144" w:right="144"/>
        <w:jc w:val="center"/>
        <w:rPr>
          <w:sz w:val="20"/>
          <w:szCs w:val="20"/>
        </w:rPr>
      </w:pPr>
    </w:p>
    <w:p w14:paraId="6EAD8BE8" w14:textId="77777777" w:rsidR="00FC1AFF" w:rsidRPr="00FC1AFF" w:rsidRDefault="00FC1AFF" w:rsidP="00FC1AFF">
      <w:pPr>
        <w:keepNext/>
        <w:spacing w:after="120"/>
        <w:rPr>
          <w:sz w:val="20"/>
          <w:szCs w:val="20"/>
        </w:rPr>
      </w:pPr>
      <w:r w:rsidRPr="00FC1AFF">
        <w:rPr>
          <w:b/>
          <w:sz w:val="20"/>
          <w:szCs w:val="20"/>
        </w:rPr>
        <w:t xml:space="preserve">Summary </w:t>
      </w:r>
      <w:r w:rsidRPr="00FC1AFF">
        <w:rPr>
          <w:b/>
          <w:bCs/>
          <w:color w:val="000000"/>
          <w:sz w:val="20"/>
          <w:szCs w:val="20"/>
        </w:rPr>
        <w:t>Compensation</w:t>
      </w:r>
      <w:r w:rsidRPr="00FC1AFF">
        <w:rPr>
          <w:b/>
          <w:sz w:val="20"/>
          <w:szCs w:val="20"/>
        </w:rPr>
        <w:t xml:space="preserve"> Table</w:t>
      </w:r>
    </w:p>
    <w:p w14:paraId="12DD231E" w14:textId="77777777" w:rsidR="00FC1AFF" w:rsidRPr="00FC1AFF" w:rsidRDefault="00FC1AFF" w:rsidP="00FC1AFF">
      <w:pPr>
        <w:keepNext/>
        <w:keepLines/>
        <w:autoSpaceDE w:val="0"/>
        <w:autoSpaceDN w:val="0"/>
        <w:adjustRightInd w:val="0"/>
        <w:ind w:firstLine="720"/>
        <w:jc w:val="both"/>
        <w:rPr>
          <w:sz w:val="20"/>
          <w:szCs w:val="20"/>
        </w:rPr>
      </w:pPr>
      <w:r w:rsidRPr="00FC1AFF">
        <w:rPr>
          <w:sz w:val="20"/>
          <w:szCs w:val="20"/>
        </w:rPr>
        <w:t>The following table sets forth all compensation awarded or earned for employment services during 2021 and 2020 by (i) each person who served as our chief executive officer during 2021, and (ii) our two other most highly compensated executive officers (collectively referred to as the “Named Executive Officers”).</w:t>
      </w:r>
    </w:p>
    <w:p w14:paraId="4898F5AA" w14:textId="77777777" w:rsidR="00FC1AFF" w:rsidRPr="00FC1AFF" w:rsidRDefault="00FC1AFF" w:rsidP="00FC1AFF">
      <w:pPr>
        <w:autoSpaceDE w:val="0"/>
        <w:autoSpaceDN w:val="0"/>
        <w:adjustRightInd w:val="0"/>
        <w:rPr>
          <w:sz w:val="20"/>
          <w:szCs w:val="20"/>
        </w:rPr>
      </w:pPr>
    </w:p>
    <w:tbl>
      <w:tblPr>
        <w:tblW w:w="4846" w:type="pct"/>
        <w:tblInd w:w="-5" w:type="dxa"/>
        <w:tblLook w:val="01E0" w:firstRow="1" w:lastRow="1" w:firstColumn="1" w:lastColumn="1" w:noHBand="0" w:noVBand="0"/>
      </w:tblPr>
      <w:tblGrid>
        <w:gridCol w:w="2256"/>
        <w:gridCol w:w="638"/>
        <w:gridCol w:w="1373"/>
        <w:gridCol w:w="1030"/>
        <w:gridCol w:w="1277"/>
        <w:gridCol w:w="1450"/>
        <w:gridCol w:w="1038"/>
      </w:tblGrid>
      <w:tr w:rsidR="00FC1AFF" w:rsidRPr="00FC1AFF" w14:paraId="70516140" w14:textId="77777777" w:rsidTr="00FC1AFF">
        <w:tc>
          <w:tcPr>
            <w:tcW w:w="1268" w:type="pct"/>
            <w:tcBorders>
              <w:top w:val="single" w:sz="4" w:space="0" w:color="auto"/>
              <w:left w:val="single" w:sz="4" w:space="0" w:color="auto"/>
              <w:bottom w:val="single" w:sz="4" w:space="0" w:color="auto"/>
              <w:right w:val="single" w:sz="4" w:space="0" w:color="auto"/>
            </w:tcBorders>
            <w:vAlign w:val="bottom"/>
            <w:hideMark/>
          </w:tcPr>
          <w:p w14:paraId="2F154457"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Name and</w:t>
            </w:r>
          </w:p>
          <w:p w14:paraId="5DEB7F51"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Principal Position</w:t>
            </w:r>
          </w:p>
        </w:tc>
        <w:tc>
          <w:tcPr>
            <w:tcW w:w="316" w:type="pct"/>
            <w:tcBorders>
              <w:top w:val="single" w:sz="4" w:space="0" w:color="auto"/>
              <w:left w:val="single" w:sz="4" w:space="0" w:color="auto"/>
              <w:bottom w:val="single" w:sz="4" w:space="0" w:color="auto"/>
              <w:right w:val="single" w:sz="4" w:space="0" w:color="auto"/>
            </w:tcBorders>
            <w:vAlign w:val="bottom"/>
            <w:hideMark/>
          </w:tcPr>
          <w:p w14:paraId="2E802BBB" w14:textId="77777777" w:rsidR="00FC1AFF" w:rsidRPr="00FC1AFF" w:rsidRDefault="00FC1AFF" w:rsidP="00FC1AFF">
            <w:pPr>
              <w:autoSpaceDE w:val="0"/>
              <w:autoSpaceDN w:val="0"/>
              <w:adjustRightInd w:val="0"/>
              <w:rPr>
                <w:b/>
                <w:color w:val="000000"/>
                <w:sz w:val="20"/>
                <w:szCs w:val="20"/>
              </w:rPr>
            </w:pPr>
            <w:r w:rsidRPr="00FC1AFF">
              <w:rPr>
                <w:b/>
                <w:color w:val="000000"/>
                <w:sz w:val="20"/>
                <w:szCs w:val="20"/>
              </w:rPr>
              <w:t>Year</w:t>
            </w:r>
          </w:p>
        </w:tc>
        <w:tc>
          <w:tcPr>
            <w:tcW w:w="780" w:type="pct"/>
            <w:tcBorders>
              <w:top w:val="single" w:sz="4" w:space="0" w:color="auto"/>
              <w:left w:val="single" w:sz="4" w:space="0" w:color="auto"/>
              <w:bottom w:val="single" w:sz="4" w:space="0" w:color="auto"/>
              <w:right w:val="single" w:sz="4" w:space="0" w:color="auto"/>
            </w:tcBorders>
            <w:vAlign w:val="bottom"/>
            <w:hideMark/>
          </w:tcPr>
          <w:p w14:paraId="061A6E98"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Salary</w:t>
            </w:r>
          </w:p>
          <w:p w14:paraId="3F115F89"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w:t>
            </w:r>
          </w:p>
        </w:tc>
        <w:tc>
          <w:tcPr>
            <w:tcW w:w="591" w:type="pct"/>
            <w:tcBorders>
              <w:top w:val="single" w:sz="4" w:space="0" w:color="auto"/>
              <w:left w:val="single" w:sz="4" w:space="0" w:color="auto"/>
              <w:bottom w:val="single" w:sz="4" w:space="0" w:color="auto"/>
              <w:right w:val="single" w:sz="4" w:space="0" w:color="auto"/>
            </w:tcBorders>
            <w:vAlign w:val="bottom"/>
            <w:hideMark/>
          </w:tcPr>
          <w:p w14:paraId="188AEBF4"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Bonus</w:t>
            </w:r>
          </w:p>
          <w:p w14:paraId="248AB9AC"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w:t>
            </w:r>
          </w:p>
        </w:tc>
        <w:tc>
          <w:tcPr>
            <w:tcW w:w="727" w:type="pct"/>
            <w:tcBorders>
              <w:top w:val="single" w:sz="4" w:space="0" w:color="auto"/>
              <w:left w:val="single" w:sz="4" w:space="0" w:color="auto"/>
              <w:bottom w:val="single" w:sz="4" w:space="0" w:color="auto"/>
              <w:right w:val="single" w:sz="4" w:space="0" w:color="auto"/>
            </w:tcBorders>
            <w:vAlign w:val="bottom"/>
            <w:hideMark/>
          </w:tcPr>
          <w:p w14:paraId="7901C0A4"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Option</w:t>
            </w:r>
          </w:p>
          <w:p w14:paraId="53484684"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Awards (1)</w:t>
            </w:r>
          </w:p>
          <w:p w14:paraId="16C6285F"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w:t>
            </w:r>
          </w:p>
        </w:tc>
        <w:tc>
          <w:tcPr>
            <w:tcW w:w="728" w:type="pct"/>
            <w:tcBorders>
              <w:top w:val="single" w:sz="4" w:space="0" w:color="auto"/>
              <w:left w:val="single" w:sz="4" w:space="0" w:color="auto"/>
              <w:bottom w:val="single" w:sz="4" w:space="0" w:color="auto"/>
              <w:right w:val="single" w:sz="4" w:space="0" w:color="auto"/>
            </w:tcBorders>
            <w:vAlign w:val="bottom"/>
            <w:hideMark/>
          </w:tcPr>
          <w:p w14:paraId="4B078600"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All Other</w:t>
            </w:r>
          </w:p>
          <w:p w14:paraId="7AAC7E65"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Compensation ($)</w:t>
            </w:r>
          </w:p>
        </w:tc>
        <w:tc>
          <w:tcPr>
            <w:tcW w:w="590" w:type="pct"/>
            <w:tcBorders>
              <w:top w:val="single" w:sz="4" w:space="0" w:color="auto"/>
              <w:left w:val="single" w:sz="4" w:space="0" w:color="auto"/>
              <w:bottom w:val="single" w:sz="4" w:space="0" w:color="auto"/>
              <w:right w:val="single" w:sz="4" w:space="0" w:color="auto"/>
            </w:tcBorders>
            <w:vAlign w:val="bottom"/>
            <w:hideMark/>
          </w:tcPr>
          <w:p w14:paraId="4679E513"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Total</w:t>
            </w:r>
          </w:p>
          <w:p w14:paraId="4D55D175" w14:textId="77777777" w:rsidR="00FC1AFF" w:rsidRPr="00FC1AFF" w:rsidRDefault="00FC1AFF" w:rsidP="00FC1AFF">
            <w:pPr>
              <w:autoSpaceDE w:val="0"/>
              <w:autoSpaceDN w:val="0"/>
              <w:adjustRightInd w:val="0"/>
              <w:jc w:val="center"/>
              <w:rPr>
                <w:b/>
                <w:color w:val="000000"/>
                <w:sz w:val="20"/>
                <w:szCs w:val="20"/>
              </w:rPr>
            </w:pPr>
            <w:r w:rsidRPr="00FC1AFF">
              <w:rPr>
                <w:b/>
                <w:color w:val="000000"/>
                <w:sz w:val="20"/>
                <w:szCs w:val="20"/>
              </w:rPr>
              <w:t>($)</w:t>
            </w:r>
          </w:p>
        </w:tc>
      </w:tr>
      <w:tr w:rsidR="00FC1AFF" w:rsidRPr="00FC1AFF" w14:paraId="0C892728" w14:textId="77777777" w:rsidTr="00FC1AFF">
        <w:tc>
          <w:tcPr>
            <w:tcW w:w="1268" w:type="pct"/>
            <w:tcBorders>
              <w:top w:val="single" w:sz="4" w:space="0" w:color="auto"/>
              <w:left w:val="single" w:sz="4" w:space="0" w:color="auto"/>
              <w:bottom w:val="single" w:sz="4" w:space="0" w:color="auto"/>
              <w:right w:val="single" w:sz="4" w:space="0" w:color="auto"/>
            </w:tcBorders>
            <w:hideMark/>
          </w:tcPr>
          <w:p w14:paraId="7D0CB5BA" w14:textId="77777777" w:rsidR="00FC1AFF" w:rsidRPr="00FC1AFF" w:rsidRDefault="00FC1AFF" w:rsidP="00FC1AFF">
            <w:pPr>
              <w:autoSpaceDE w:val="0"/>
              <w:autoSpaceDN w:val="0"/>
              <w:adjustRightInd w:val="0"/>
              <w:rPr>
                <w:color w:val="000000"/>
                <w:sz w:val="20"/>
                <w:szCs w:val="20"/>
              </w:rPr>
            </w:pPr>
            <w:bookmarkStart w:id="38" w:name="_Hlk3554581"/>
            <w:r w:rsidRPr="00FC1AFF">
              <w:rPr>
                <w:color w:val="000000"/>
                <w:sz w:val="20"/>
                <w:szCs w:val="20"/>
              </w:rPr>
              <w:t xml:space="preserve">David A. Dodd </w:t>
            </w:r>
          </w:p>
          <w:p w14:paraId="6BA4ACE9" w14:textId="77777777" w:rsidR="00FC1AFF" w:rsidRPr="00FC1AFF" w:rsidRDefault="00FC1AFF" w:rsidP="00FC1AFF">
            <w:pPr>
              <w:autoSpaceDE w:val="0"/>
              <w:autoSpaceDN w:val="0"/>
              <w:adjustRightInd w:val="0"/>
              <w:rPr>
                <w:i/>
                <w:color w:val="000000"/>
                <w:sz w:val="20"/>
                <w:szCs w:val="20"/>
              </w:rPr>
            </w:pPr>
            <w:r w:rsidRPr="00FC1AFF">
              <w:rPr>
                <w:color w:val="000000"/>
                <w:sz w:val="20"/>
                <w:szCs w:val="20"/>
              </w:rPr>
              <w:t xml:space="preserve">  </w:t>
            </w:r>
            <w:r w:rsidRPr="00FC1AFF">
              <w:rPr>
                <w:i/>
                <w:color w:val="000000"/>
                <w:sz w:val="20"/>
                <w:szCs w:val="20"/>
              </w:rPr>
              <w:t>President and CEO</w:t>
            </w:r>
          </w:p>
        </w:tc>
        <w:tc>
          <w:tcPr>
            <w:tcW w:w="316" w:type="pct"/>
            <w:tcBorders>
              <w:top w:val="single" w:sz="4" w:space="0" w:color="auto"/>
              <w:left w:val="single" w:sz="4" w:space="0" w:color="auto"/>
              <w:bottom w:val="single" w:sz="4" w:space="0" w:color="auto"/>
              <w:right w:val="single" w:sz="4" w:space="0" w:color="auto"/>
            </w:tcBorders>
            <w:hideMark/>
          </w:tcPr>
          <w:p w14:paraId="278A48BA" w14:textId="77777777" w:rsidR="00FC1AFF" w:rsidRPr="00FC1AFF" w:rsidRDefault="00FC1AFF" w:rsidP="00FC1AFF">
            <w:pPr>
              <w:autoSpaceDE w:val="0"/>
              <w:autoSpaceDN w:val="0"/>
              <w:adjustRightInd w:val="0"/>
              <w:rPr>
                <w:color w:val="000000"/>
                <w:sz w:val="20"/>
                <w:szCs w:val="20"/>
              </w:rPr>
            </w:pPr>
            <w:r w:rsidRPr="00FC1AFF">
              <w:rPr>
                <w:color w:val="000000"/>
                <w:sz w:val="20"/>
                <w:szCs w:val="20"/>
              </w:rPr>
              <w:t>2021</w:t>
            </w:r>
          </w:p>
          <w:p w14:paraId="7F14D890" w14:textId="77777777" w:rsidR="00FC1AFF" w:rsidRPr="00FC1AFF" w:rsidRDefault="00FC1AFF" w:rsidP="00FC1AFF">
            <w:pPr>
              <w:autoSpaceDE w:val="0"/>
              <w:autoSpaceDN w:val="0"/>
              <w:adjustRightInd w:val="0"/>
              <w:rPr>
                <w:color w:val="000000"/>
                <w:sz w:val="20"/>
                <w:szCs w:val="20"/>
              </w:rPr>
            </w:pPr>
            <w:r w:rsidRPr="00FC1AFF">
              <w:rPr>
                <w:color w:val="000000"/>
                <w:sz w:val="20"/>
                <w:szCs w:val="20"/>
              </w:rPr>
              <w:t>2020</w:t>
            </w:r>
          </w:p>
        </w:tc>
        <w:tc>
          <w:tcPr>
            <w:tcW w:w="780" w:type="pct"/>
            <w:tcBorders>
              <w:top w:val="single" w:sz="4" w:space="0" w:color="auto"/>
              <w:left w:val="single" w:sz="4" w:space="0" w:color="auto"/>
              <w:bottom w:val="single" w:sz="4" w:space="0" w:color="auto"/>
              <w:right w:val="single" w:sz="4" w:space="0" w:color="auto"/>
            </w:tcBorders>
            <w:hideMark/>
          </w:tcPr>
          <w:p w14:paraId="5DC51A13" w14:textId="77777777" w:rsidR="00FC1AFF" w:rsidRPr="00FC1AFF" w:rsidRDefault="00FC1AFF" w:rsidP="00FC1AFF">
            <w:pPr>
              <w:tabs>
                <w:tab w:val="decimal" w:pos="716"/>
              </w:tabs>
              <w:autoSpaceDE w:val="0"/>
              <w:autoSpaceDN w:val="0"/>
              <w:adjustRightInd w:val="0"/>
              <w:jc w:val="center"/>
              <w:rPr>
                <w:color w:val="000000"/>
                <w:sz w:val="20"/>
                <w:szCs w:val="20"/>
              </w:rPr>
            </w:pPr>
            <w:r w:rsidRPr="00FC1AFF">
              <w:rPr>
                <w:color w:val="000000"/>
                <w:sz w:val="20"/>
                <w:szCs w:val="20"/>
              </w:rPr>
              <w:t>$250,000</w:t>
            </w:r>
          </w:p>
          <w:p w14:paraId="6D863E37" w14:textId="77777777" w:rsidR="00FC1AFF" w:rsidRPr="00FC1AFF" w:rsidRDefault="00FC1AFF" w:rsidP="00FC1AFF">
            <w:pPr>
              <w:tabs>
                <w:tab w:val="decimal" w:pos="716"/>
              </w:tabs>
              <w:autoSpaceDE w:val="0"/>
              <w:autoSpaceDN w:val="0"/>
              <w:adjustRightInd w:val="0"/>
              <w:jc w:val="center"/>
              <w:rPr>
                <w:color w:val="000000"/>
                <w:sz w:val="20"/>
                <w:szCs w:val="20"/>
              </w:rPr>
            </w:pPr>
            <w:r w:rsidRPr="00FC1AFF">
              <w:rPr>
                <w:color w:val="000000"/>
                <w:sz w:val="20"/>
                <w:szCs w:val="20"/>
              </w:rPr>
              <w:t>250,000</w:t>
            </w:r>
          </w:p>
        </w:tc>
        <w:tc>
          <w:tcPr>
            <w:tcW w:w="591" w:type="pct"/>
            <w:tcBorders>
              <w:top w:val="single" w:sz="4" w:space="0" w:color="auto"/>
              <w:left w:val="single" w:sz="4" w:space="0" w:color="auto"/>
              <w:bottom w:val="single" w:sz="4" w:space="0" w:color="auto"/>
              <w:right w:val="single" w:sz="4" w:space="0" w:color="auto"/>
            </w:tcBorders>
            <w:hideMark/>
          </w:tcPr>
          <w:p w14:paraId="520DB2B9" w14:textId="77777777" w:rsidR="00FC1AFF" w:rsidRPr="00FC1AFF" w:rsidRDefault="00FC1AFF" w:rsidP="00FC1AFF">
            <w:pPr>
              <w:tabs>
                <w:tab w:val="decimal" w:pos="616"/>
              </w:tabs>
              <w:autoSpaceDE w:val="0"/>
              <w:autoSpaceDN w:val="0"/>
              <w:adjustRightInd w:val="0"/>
              <w:rPr>
                <w:color w:val="000000"/>
                <w:sz w:val="20"/>
                <w:szCs w:val="20"/>
              </w:rPr>
            </w:pPr>
            <w:r w:rsidRPr="00FC1AFF">
              <w:rPr>
                <w:color w:val="000000"/>
                <w:sz w:val="20"/>
                <w:szCs w:val="20"/>
              </w:rPr>
              <w:t>$125,000</w:t>
            </w:r>
          </w:p>
          <w:p w14:paraId="728E4F07" w14:textId="77777777" w:rsidR="00FC1AFF" w:rsidRPr="00FC1AFF" w:rsidRDefault="00FC1AFF" w:rsidP="00FC1AFF">
            <w:pPr>
              <w:tabs>
                <w:tab w:val="decimal" w:pos="707"/>
              </w:tabs>
              <w:autoSpaceDE w:val="0"/>
              <w:autoSpaceDN w:val="0"/>
              <w:adjustRightInd w:val="0"/>
              <w:rPr>
                <w:color w:val="000000"/>
                <w:sz w:val="20"/>
                <w:szCs w:val="20"/>
              </w:rPr>
            </w:pPr>
            <w:r w:rsidRPr="00FC1AFF">
              <w:rPr>
                <w:color w:val="000000"/>
                <w:sz w:val="20"/>
                <w:szCs w:val="20"/>
              </w:rPr>
              <w:t>162,500</w:t>
            </w:r>
          </w:p>
        </w:tc>
        <w:tc>
          <w:tcPr>
            <w:tcW w:w="727" w:type="pct"/>
            <w:tcBorders>
              <w:top w:val="single" w:sz="4" w:space="0" w:color="auto"/>
              <w:left w:val="single" w:sz="4" w:space="0" w:color="auto"/>
              <w:bottom w:val="single" w:sz="4" w:space="0" w:color="auto"/>
              <w:right w:val="single" w:sz="4" w:space="0" w:color="auto"/>
            </w:tcBorders>
            <w:hideMark/>
          </w:tcPr>
          <w:p w14:paraId="587AA7FE" w14:textId="77777777" w:rsidR="00FC1AFF" w:rsidRPr="00FC1AFF" w:rsidRDefault="00FC1AFF" w:rsidP="00FC1AFF">
            <w:pPr>
              <w:tabs>
                <w:tab w:val="decimal" w:pos="642"/>
              </w:tabs>
              <w:autoSpaceDE w:val="0"/>
              <w:autoSpaceDN w:val="0"/>
              <w:adjustRightInd w:val="0"/>
              <w:jc w:val="center"/>
              <w:rPr>
                <w:color w:val="000000"/>
                <w:sz w:val="20"/>
                <w:szCs w:val="20"/>
              </w:rPr>
            </w:pPr>
            <w:r w:rsidRPr="00FC1AFF">
              <w:rPr>
                <w:color w:val="000000"/>
                <w:sz w:val="20"/>
                <w:szCs w:val="20"/>
              </w:rPr>
              <w:t>$295,610 (3)</w:t>
            </w:r>
          </w:p>
          <w:p w14:paraId="748B9D34" w14:textId="77777777" w:rsidR="00FC1AFF" w:rsidRPr="00FC1AFF" w:rsidRDefault="00FC1AFF" w:rsidP="00FC1AFF">
            <w:pPr>
              <w:tabs>
                <w:tab w:val="decimal" w:pos="642"/>
              </w:tabs>
              <w:autoSpaceDE w:val="0"/>
              <w:autoSpaceDN w:val="0"/>
              <w:adjustRightInd w:val="0"/>
              <w:jc w:val="center"/>
              <w:rPr>
                <w:color w:val="000000"/>
                <w:sz w:val="20"/>
                <w:szCs w:val="20"/>
              </w:rPr>
            </w:pPr>
            <w:r w:rsidRPr="00FC1AFF">
              <w:rPr>
                <w:color w:val="000000"/>
                <w:sz w:val="20"/>
                <w:szCs w:val="20"/>
              </w:rPr>
              <w:t>305,760 (6)</w:t>
            </w:r>
          </w:p>
        </w:tc>
        <w:tc>
          <w:tcPr>
            <w:tcW w:w="728" w:type="pct"/>
            <w:tcBorders>
              <w:top w:val="single" w:sz="4" w:space="0" w:color="auto"/>
              <w:left w:val="single" w:sz="4" w:space="0" w:color="auto"/>
              <w:bottom w:val="single" w:sz="4" w:space="0" w:color="auto"/>
              <w:right w:val="single" w:sz="4" w:space="0" w:color="auto"/>
            </w:tcBorders>
            <w:hideMark/>
          </w:tcPr>
          <w:p w14:paraId="2B1ABD3E" w14:textId="77777777" w:rsidR="00FC1AFF" w:rsidRPr="00FC1AFF" w:rsidRDefault="00FC1AFF" w:rsidP="00FC1AFF">
            <w:pPr>
              <w:tabs>
                <w:tab w:val="decimal" w:pos="768"/>
              </w:tabs>
              <w:autoSpaceDE w:val="0"/>
              <w:autoSpaceDN w:val="0"/>
              <w:adjustRightInd w:val="0"/>
              <w:ind w:left="339"/>
              <w:rPr>
                <w:color w:val="000000"/>
                <w:sz w:val="20"/>
                <w:szCs w:val="20"/>
              </w:rPr>
            </w:pPr>
            <w:r w:rsidRPr="00FC1AFF">
              <w:rPr>
                <w:color w:val="000000"/>
                <w:sz w:val="20"/>
                <w:szCs w:val="20"/>
              </w:rPr>
              <w:t>$ 6,500 (9)</w:t>
            </w:r>
          </w:p>
          <w:p w14:paraId="3BDAB5FC" w14:textId="77777777" w:rsidR="00FC1AFF" w:rsidRPr="00FC1AFF" w:rsidRDefault="00FC1AFF" w:rsidP="00FC1AFF">
            <w:pPr>
              <w:tabs>
                <w:tab w:val="decimal" w:pos="768"/>
              </w:tabs>
              <w:autoSpaceDE w:val="0"/>
              <w:autoSpaceDN w:val="0"/>
              <w:adjustRightInd w:val="0"/>
              <w:ind w:left="339"/>
              <w:jc w:val="center"/>
              <w:rPr>
                <w:color w:val="000000"/>
                <w:sz w:val="20"/>
                <w:szCs w:val="20"/>
              </w:rPr>
            </w:pPr>
            <w:r w:rsidRPr="00FC1AFF">
              <w:rPr>
                <w:color w:val="000000"/>
                <w:sz w:val="20"/>
                <w:szCs w:val="20"/>
              </w:rPr>
              <w:t>8,483 (9)</w:t>
            </w:r>
          </w:p>
        </w:tc>
        <w:tc>
          <w:tcPr>
            <w:tcW w:w="590" w:type="pct"/>
            <w:tcBorders>
              <w:top w:val="single" w:sz="4" w:space="0" w:color="auto"/>
              <w:left w:val="single" w:sz="4" w:space="0" w:color="auto"/>
              <w:bottom w:val="single" w:sz="4" w:space="0" w:color="auto"/>
              <w:right w:val="single" w:sz="4" w:space="0" w:color="auto"/>
            </w:tcBorders>
            <w:hideMark/>
          </w:tcPr>
          <w:p w14:paraId="508462CE" w14:textId="77777777" w:rsidR="00FC1AFF" w:rsidRPr="00FC1AFF" w:rsidRDefault="00FC1AFF" w:rsidP="00FC1AFF">
            <w:pPr>
              <w:tabs>
                <w:tab w:val="decimal" w:pos="821"/>
              </w:tabs>
              <w:autoSpaceDE w:val="0"/>
              <w:autoSpaceDN w:val="0"/>
              <w:adjustRightInd w:val="0"/>
              <w:jc w:val="center"/>
              <w:rPr>
                <w:color w:val="000000"/>
                <w:sz w:val="20"/>
                <w:szCs w:val="20"/>
              </w:rPr>
            </w:pPr>
            <w:r w:rsidRPr="00FC1AFF">
              <w:rPr>
                <w:color w:val="000000"/>
                <w:sz w:val="20"/>
                <w:szCs w:val="20"/>
              </w:rPr>
              <w:t>$677,110</w:t>
            </w:r>
          </w:p>
          <w:p w14:paraId="01CF6603" w14:textId="77777777" w:rsidR="00FC1AFF" w:rsidRPr="00FC1AFF" w:rsidRDefault="00FC1AFF" w:rsidP="00FC1AFF">
            <w:pPr>
              <w:tabs>
                <w:tab w:val="decimal" w:pos="821"/>
              </w:tabs>
              <w:autoSpaceDE w:val="0"/>
              <w:autoSpaceDN w:val="0"/>
              <w:adjustRightInd w:val="0"/>
              <w:jc w:val="center"/>
              <w:rPr>
                <w:color w:val="000000"/>
                <w:sz w:val="20"/>
                <w:szCs w:val="20"/>
              </w:rPr>
            </w:pPr>
            <w:r w:rsidRPr="00FC1AFF">
              <w:rPr>
                <w:color w:val="000000"/>
                <w:sz w:val="20"/>
                <w:szCs w:val="20"/>
              </w:rPr>
              <w:t>726,743</w:t>
            </w:r>
          </w:p>
        </w:tc>
      </w:tr>
      <w:bookmarkEnd w:id="38"/>
      <w:tr w:rsidR="00FC1AFF" w:rsidRPr="00FC1AFF" w14:paraId="74B017FD" w14:textId="77777777" w:rsidTr="00FC1AFF">
        <w:tc>
          <w:tcPr>
            <w:tcW w:w="1268" w:type="pct"/>
            <w:tcBorders>
              <w:top w:val="single" w:sz="4" w:space="0" w:color="auto"/>
              <w:left w:val="single" w:sz="4" w:space="0" w:color="auto"/>
              <w:bottom w:val="single" w:sz="4" w:space="0" w:color="auto"/>
              <w:right w:val="single" w:sz="4" w:space="0" w:color="auto"/>
            </w:tcBorders>
            <w:hideMark/>
          </w:tcPr>
          <w:p w14:paraId="04AFE781" w14:textId="77777777" w:rsidR="00FC1AFF" w:rsidRPr="00FC1AFF" w:rsidRDefault="00FC1AFF" w:rsidP="00FC1AFF">
            <w:pPr>
              <w:autoSpaceDE w:val="0"/>
              <w:autoSpaceDN w:val="0"/>
              <w:adjustRightInd w:val="0"/>
              <w:rPr>
                <w:color w:val="000000"/>
                <w:sz w:val="20"/>
                <w:szCs w:val="20"/>
              </w:rPr>
            </w:pPr>
            <w:r w:rsidRPr="00FC1AFF">
              <w:rPr>
                <w:color w:val="000000"/>
                <w:sz w:val="20"/>
                <w:szCs w:val="20"/>
              </w:rPr>
              <w:t>Mark W. Reynolds</w:t>
            </w:r>
          </w:p>
          <w:p w14:paraId="6B50EC49" w14:textId="77777777" w:rsidR="00FC1AFF" w:rsidRPr="00FC1AFF" w:rsidRDefault="00FC1AFF" w:rsidP="00FC1AFF">
            <w:pPr>
              <w:autoSpaceDE w:val="0"/>
              <w:autoSpaceDN w:val="0"/>
              <w:adjustRightInd w:val="0"/>
              <w:rPr>
                <w:i/>
                <w:color w:val="000000"/>
                <w:sz w:val="20"/>
                <w:szCs w:val="20"/>
              </w:rPr>
            </w:pPr>
            <w:r w:rsidRPr="00FC1AFF">
              <w:rPr>
                <w:color w:val="000000"/>
                <w:sz w:val="20"/>
                <w:szCs w:val="20"/>
              </w:rPr>
              <w:t xml:space="preserve">  </w:t>
            </w:r>
            <w:r w:rsidRPr="00FC1AFF">
              <w:rPr>
                <w:i/>
                <w:color w:val="000000"/>
                <w:sz w:val="20"/>
                <w:szCs w:val="20"/>
              </w:rPr>
              <w:t>Chief Financial Officer</w:t>
            </w:r>
          </w:p>
        </w:tc>
        <w:tc>
          <w:tcPr>
            <w:tcW w:w="316" w:type="pct"/>
            <w:tcBorders>
              <w:top w:val="single" w:sz="4" w:space="0" w:color="auto"/>
              <w:left w:val="single" w:sz="4" w:space="0" w:color="auto"/>
              <w:bottom w:val="single" w:sz="4" w:space="0" w:color="auto"/>
              <w:right w:val="single" w:sz="4" w:space="0" w:color="auto"/>
            </w:tcBorders>
            <w:hideMark/>
          </w:tcPr>
          <w:p w14:paraId="1A859274" w14:textId="77777777" w:rsidR="00FC1AFF" w:rsidRPr="00FC1AFF" w:rsidRDefault="00FC1AFF" w:rsidP="00FC1AFF">
            <w:pPr>
              <w:autoSpaceDE w:val="0"/>
              <w:autoSpaceDN w:val="0"/>
              <w:adjustRightInd w:val="0"/>
              <w:rPr>
                <w:color w:val="000000"/>
                <w:sz w:val="20"/>
                <w:szCs w:val="20"/>
              </w:rPr>
            </w:pPr>
            <w:r w:rsidRPr="00FC1AFF">
              <w:rPr>
                <w:color w:val="000000"/>
                <w:sz w:val="20"/>
                <w:szCs w:val="20"/>
              </w:rPr>
              <w:t>2021</w:t>
            </w:r>
          </w:p>
          <w:p w14:paraId="11502850" w14:textId="77777777" w:rsidR="00FC1AFF" w:rsidRPr="00FC1AFF" w:rsidRDefault="00FC1AFF" w:rsidP="00FC1AFF">
            <w:pPr>
              <w:autoSpaceDE w:val="0"/>
              <w:autoSpaceDN w:val="0"/>
              <w:adjustRightInd w:val="0"/>
              <w:rPr>
                <w:color w:val="000000"/>
                <w:sz w:val="20"/>
                <w:szCs w:val="20"/>
              </w:rPr>
            </w:pPr>
            <w:r w:rsidRPr="00FC1AFF">
              <w:rPr>
                <w:color w:val="000000"/>
                <w:sz w:val="20"/>
                <w:szCs w:val="20"/>
              </w:rPr>
              <w:t>2020</w:t>
            </w:r>
          </w:p>
        </w:tc>
        <w:tc>
          <w:tcPr>
            <w:tcW w:w="780" w:type="pct"/>
            <w:tcBorders>
              <w:top w:val="single" w:sz="4" w:space="0" w:color="auto"/>
              <w:left w:val="single" w:sz="4" w:space="0" w:color="auto"/>
              <w:bottom w:val="single" w:sz="4" w:space="0" w:color="auto"/>
              <w:right w:val="single" w:sz="4" w:space="0" w:color="auto"/>
            </w:tcBorders>
            <w:hideMark/>
          </w:tcPr>
          <w:p w14:paraId="4B273311" w14:textId="77777777" w:rsidR="00FC1AFF" w:rsidRPr="00FC1AFF" w:rsidRDefault="00FC1AFF" w:rsidP="00FC1AFF">
            <w:pPr>
              <w:tabs>
                <w:tab w:val="decimal" w:pos="716"/>
              </w:tabs>
              <w:autoSpaceDE w:val="0"/>
              <w:autoSpaceDN w:val="0"/>
              <w:adjustRightInd w:val="0"/>
              <w:jc w:val="center"/>
              <w:rPr>
                <w:color w:val="000000"/>
                <w:sz w:val="20"/>
                <w:szCs w:val="20"/>
              </w:rPr>
            </w:pPr>
            <w:r w:rsidRPr="00FC1AFF">
              <w:rPr>
                <w:color w:val="000000"/>
                <w:sz w:val="20"/>
                <w:szCs w:val="20"/>
              </w:rPr>
              <w:t>234,392</w:t>
            </w:r>
          </w:p>
          <w:p w14:paraId="39DF013F" w14:textId="77777777" w:rsidR="00FC1AFF" w:rsidRPr="00FC1AFF" w:rsidRDefault="00FC1AFF" w:rsidP="00FC1AFF">
            <w:pPr>
              <w:tabs>
                <w:tab w:val="decimal" w:pos="716"/>
              </w:tabs>
              <w:autoSpaceDE w:val="0"/>
              <w:autoSpaceDN w:val="0"/>
              <w:adjustRightInd w:val="0"/>
              <w:jc w:val="center"/>
              <w:rPr>
                <w:color w:val="000000"/>
                <w:sz w:val="20"/>
                <w:szCs w:val="20"/>
              </w:rPr>
            </w:pPr>
            <w:r w:rsidRPr="00FC1AFF">
              <w:rPr>
                <w:color w:val="000000"/>
                <w:sz w:val="20"/>
                <w:szCs w:val="20"/>
              </w:rPr>
              <w:t>234,392</w:t>
            </w:r>
          </w:p>
        </w:tc>
        <w:tc>
          <w:tcPr>
            <w:tcW w:w="591" w:type="pct"/>
            <w:tcBorders>
              <w:top w:val="single" w:sz="4" w:space="0" w:color="auto"/>
              <w:left w:val="single" w:sz="4" w:space="0" w:color="auto"/>
              <w:bottom w:val="single" w:sz="4" w:space="0" w:color="auto"/>
              <w:right w:val="single" w:sz="4" w:space="0" w:color="auto"/>
            </w:tcBorders>
            <w:hideMark/>
          </w:tcPr>
          <w:p w14:paraId="3B3FA135" w14:textId="77777777" w:rsidR="00FC1AFF" w:rsidRPr="00FC1AFF" w:rsidRDefault="00FC1AFF" w:rsidP="00FC1AFF">
            <w:pPr>
              <w:tabs>
                <w:tab w:val="decimal" w:pos="707"/>
              </w:tabs>
              <w:autoSpaceDE w:val="0"/>
              <w:autoSpaceDN w:val="0"/>
              <w:adjustRightInd w:val="0"/>
              <w:rPr>
                <w:color w:val="000000"/>
                <w:sz w:val="20"/>
                <w:szCs w:val="20"/>
              </w:rPr>
            </w:pPr>
            <w:r w:rsidRPr="00FC1AFF">
              <w:rPr>
                <w:color w:val="000000"/>
                <w:sz w:val="20"/>
                <w:szCs w:val="20"/>
              </w:rPr>
              <w:t>94,000</w:t>
            </w:r>
          </w:p>
          <w:p w14:paraId="1318477F" w14:textId="77777777" w:rsidR="00FC1AFF" w:rsidRPr="00FC1AFF" w:rsidRDefault="00FC1AFF" w:rsidP="00FC1AFF">
            <w:pPr>
              <w:tabs>
                <w:tab w:val="decimal" w:pos="707"/>
              </w:tabs>
              <w:autoSpaceDE w:val="0"/>
              <w:autoSpaceDN w:val="0"/>
              <w:adjustRightInd w:val="0"/>
              <w:rPr>
                <w:color w:val="000000"/>
                <w:sz w:val="20"/>
                <w:szCs w:val="20"/>
              </w:rPr>
            </w:pPr>
            <w:r w:rsidRPr="00FC1AFF">
              <w:rPr>
                <w:color w:val="000000"/>
                <w:sz w:val="20"/>
                <w:szCs w:val="20"/>
              </w:rPr>
              <w:t>117,196</w:t>
            </w:r>
          </w:p>
        </w:tc>
        <w:tc>
          <w:tcPr>
            <w:tcW w:w="727" w:type="pct"/>
            <w:tcBorders>
              <w:top w:val="single" w:sz="4" w:space="0" w:color="auto"/>
              <w:left w:val="single" w:sz="4" w:space="0" w:color="auto"/>
              <w:bottom w:val="single" w:sz="4" w:space="0" w:color="auto"/>
              <w:right w:val="single" w:sz="4" w:space="0" w:color="auto"/>
            </w:tcBorders>
            <w:hideMark/>
          </w:tcPr>
          <w:p w14:paraId="257B936D" w14:textId="77777777" w:rsidR="00FC1AFF" w:rsidRPr="00FC1AFF" w:rsidRDefault="00FC1AFF" w:rsidP="00FC1AFF">
            <w:pPr>
              <w:tabs>
                <w:tab w:val="decimal" w:pos="642"/>
              </w:tabs>
              <w:autoSpaceDE w:val="0"/>
              <w:autoSpaceDN w:val="0"/>
              <w:adjustRightInd w:val="0"/>
              <w:jc w:val="center"/>
              <w:rPr>
                <w:color w:val="000000"/>
                <w:sz w:val="20"/>
                <w:szCs w:val="20"/>
              </w:rPr>
            </w:pPr>
            <w:r w:rsidRPr="00FC1AFF">
              <w:rPr>
                <w:color w:val="000000"/>
                <w:sz w:val="20"/>
                <w:szCs w:val="20"/>
              </w:rPr>
              <w:t>138,334 (4)</w:t>
            </w:r>
          </w:p>
          <w:p w14:paraId="10D39098" w14:textId="77777777" w:rsidR="00FC1AFF" w:rsidRPr="00FC1AFF" w:rsidRDefault="00FC1AFF" w:rsidP="00FC1AFF">
            <w:pPr>
              <w:tabs>
                <w:tab w:val="decimal" w:pos="642"/>
              </w:tabs>
              <w:autoSpaceDE w:val="0"/>
              <w:autoSpaceDN w:val="0"/>
              <w:adjustRightInd w:val="0"/>
              <w:jc w:val="center"/>
              <w:rPr>
                <w:color w:val="000000"/>
                <w:sz w:val="20"/>
                <w:szCs w:val="20"/>
              </w:rPr>
            </w:pPr>
            <w:r w:rsidRPr="00FC1AFF">
              <w:rPr>
                <w:color w:val="000000"/>
                <w:sz w:val="20"/>
                <w:szCs w:val="20"/>
              </w:rPr>
              <w:t>143,360 (7)</w:t>
            </w:r>
          </w:p>
        </w:tc>
        <w:tc>
          <w:tcPr>
            <w:tcW w:w="728" w:type="pct"/>
            <w:tcBorders>
              <w:top w:val="single" w:sz="4" w:space="0" w:color="auto"/>
              <w:left w:val="single" w:sz="4" w:space="0" w:color="auto"/>
              <w:bottom w:val="single" w:sz="4" w:space="0" w:color="auto"/>
              <w:right w:val="single" w:sz="4" w:space="0" w:color="auto"/>
            </w:tcBorders>
            <w:hideMark/>
          </w:tcPr>
          <w:p w14:paraId="1F5EE273" w14:textId="77777777" w:rsidR="00FC1AFF" w:rsidRPr="00FC1AFF" w:rsidRDefault="00FC1AFF" w:rsidP="00FC1AFF">
            <w:pPr>
              <w:tabs>
                <w:tab w:val="decimal" w:pos="798"/>
              </w:tabs>
              <w:autoSpaceDE w:val="0"/>
              <w:autoSpaceDN w:val="0"/>
              <w:adjustRightInd w:val="0"/>
              <w:jc w:val="center"/>
              <w:rPr>
                <w:color w:val="000000"/>
                <w:sz w:val="20"/>
                <w:szCs w:val="20"/>
              </w:rPr>
            </w:pPr>
            <w:r w:rsidRPr="00FC1AFF">
              <w:rPr>
                <w:color w:val="000000"/>
                <w:sz w:val="20"/>
                <w:szCs w:val="20"/>
              </w:rPr>
              <w:t>11,600 (9)</w:t>
            </w:r>
          </w:p>
          <w:p w14:paraId="16221758" w14:textId="77777777" w:rsidR="00FC1AFF" w:rsidRPr="00FC1AFF" w:rsidRDefault="00FC1AFF" w:rsidP="00FC1AFF">
            <w:pPr>
              <w:tabs>
                <w:tab w:val="decimal" w:pos="798"/>
              </w:tabs>
              <w:autoSpaceDE w:val="0"/>
              <w:autoSpaceDN w:val="0"/>
              <w:adjustRightInd w:val="0"/>
              <w:jc w:val="center"/>
              <w:rPr>
                <w:color w:val="000000"/>
                <w:sz w:val="20"/>
                <w:szCs w:val="20"/>
              </w:rPr>
            </w:pPr>
            <w:r w:rsidRPr="00FC1AFF">
              <w:rPr>
                <w:color w:val="000000"/>
                <w:sz w:val="20"/>
                <w:szCs w:val="20"/>
              </w:rPr>
              <w:t>5,803 (9)</w:t>
            </w:r>
          </w:p>
        </w:tc>
        <w:tc>
          <w:tcPr>
            <w:tcW w:w="590" w:type="pct"/>
            <w:tcBorders>
              <w:top w:val="single" w:sz="4" w:space="0" w:color="auto"/>
              <w:left w:val="single" w:sz="4" w:space="0" w:color="auto"/>
              <w:bottom w:val="single" w:sz="4" w:space="0" w:color="auto"/>
              <w:right w:val="single" w:sz="4" w:space="0" w:color="auto"/>
            </w:tcBorders>
            <w:hideMark/>
          </w:tcPr>
          <w:p w14:paraId="34E63BF9" w14:textId="77777777" w:rsidR="00FC1AFF" w:rsidRPr="00FC1AFF" w:rsidRDefault="00FC1AFF" w:rsidP="00FC1AFF">
            <w:pPr>
              <w:tabs>
                <w:tab w:val="decimal" w:pos="821"/>
              </w:tabs>
              <w:autoSpaceDE w:val="0"/>
              <w:autoSpaceDN w:val="0"/>
              <w:adjustRightInd w:val="0"/>
              <w:jc w:val="center"/>
              <w:rPr>
                <w:color w:val="000000"/>
                <w:sz w:val="20"/>
                <w:szCs w:val="20"/>
              </w:rPr>
            </w:pPr>
            <w:r w:rsidRPr="00FC1AFF">
              <w:rPr>
                <w:color w:val="000000"/>
                <w:sz w:val="20"/>
                <w:szCs w:val="20"/>
              </w:rPr>
              <w:t>478,326</w:t>
            </w:r>
          </w:p>
          <w:p w14:paraId="7F97915A" w14:textId="77777777" w:rsidR="00FC1AFF" w:rsidRPr="00FC1AFF" w:rsidRDefault="00FC1AFF" w:rsidP="00FC1AFF">
            <w:pPr>
              <w:tabs>
                <w:tab w:val="decimal" w:pos="821"/>
              </w:tabs>
              <w:autoSpaceDE w:val="0"/>
              <w:autoSpaceDN w:val="0"/>
              <w:adjustRightInd w:val="0"/>
              <w:jc w:val="center"/>
              <w:rPr>
                <w:color w:val="000000"/>
                <w:sz w:val="20"/>
                <w:szCs w:val="20"/>
              </w:rPr>
            </w:pPr>
            <w:r w:rsidRPr="00FC1AFF">
              <w:rPr>
                <w:color w:val="000000"/>
                <w:sz w:val="20"/>
                <w:szCs w:val="20"/>
              </w:rPr>
              <w:t>500,751</w:t>
            </w:r>
          </w:p>
        </w:tc>
      </w:tr>
      <w:tr w:rsidR="00FC1AFF" w:rsidRPr="00FC1AFF" w14:paraId="51DE77E0" w14:textId="77777777" w:rsidTr="00FC1AFF">
        <w:tc>
          <w:tcPr>
            <w:tcW w:w="1268" w:type="pct"/>
            <w:tcBorders>
              <w:top w:val="single" w:sz="4" w:space="0" w:color="auto"/>
              <w:left w:val="single" w:sz="4" w:space="0" w:color="auto"/>
              <w:bottom w:val="single" w:sz="4" w:space="0" w:color="auto"/>
              <w:right w:val="single" w:sz="4" w:space="0" w:color="auto"/>
            </w:tcBorders>
          </w:tcPr>
          <w:p w14:paraId="22952D23" w14:textId="77777777" w:rsidR="00FC1AFF" w:rsidRPr="00FC1AFF" w:rsidRDefault="00FC1AFF" w:rsidP="00FC1AFF">
            <w:pPr>
              <w:autoSpaceDE w:val="0"/>
              <w:autoSpaceDN w:val="0"/>
              <w:adjustRightInd w:val="0"/>
              <w:rPr>
                <w:color w:val="000000"/>
                <w:sz w:val="20"/>
                <w:szCs w:val="20"/>
              </w:rPr>
            </w:pPr>
            <w:r w:rsidRPr="00FC1AFF">
              <w:rPr>
                <w:color w:val="000000"/>
                <w:sz w:val="20"/>
                <w:szCs w:val="20"/>
              </w:rPr>
              <w:t>Mark J. Newman, PhD (2)</w:t>
            </w:r>
          </w:p>
          <w:p w14:paraId="4FF164AA" w14:textId="77777777" w:rsidR="00FC1AFF" w:rsidRPr="00FC1AFF" w:rsidRDefault="00FC1AFF" w:rsidP="00FC1AFF">
            <w:pPr>
              <w:autoSpaceDE w:val="0"/>
              <w:autoSpaceDN w:val="0"/>
              <w:adjustRightInd w:val="0"/>
              <w:rPr>
                <w:i/>
                <w:iCs/>
                <w:color w:val="000000"/>
                <w:sz w:val="20"/>
                <w:szCs w:val="20"/>
              </w:rPr>
            </w:pPr>
            <w:r w:rsidRPr="00FC1AFF">
              <w:rPr>
                <w:color w:val="000000"/>
                <w:sz w:val="20"/>
                <w:szCs w:val="20"/>
              </w:rPr>
              <w:t xml:space="preserve">  </w:t>
            </w:r>
            <w:r w:rsidRPr="00FC1AFF">
              <w:rPr>
                <w:i/>
                <w:iCs/>
                <w:color w:val="000000"/>
                <w:sz w:val="20"/>
                <w:szCs w:val="20"/>
              </w:rPr>
              <w:t>Chief Scientific Officer</w:t>
            </w:r>
          </w:p>
        </w:tc>
        <w:tc>
          <w:tcPr>
            <w:tcW w:w="316" w:type="pct"/>
            <w:tcBorders>
              <w:top w:val="single" w:sz="4" w:space="0" w:color="auto"/>
              <w:left w:val="single" w:sz="4" w:space="0" w:color="auto"/>
              <w:bottom w:val="single" w:sz="4" w:space="0" w:color="auto"/>
              <w:right w:val="single" w:sz="4" w:space="0" w:color="auto"/>
            </w:tcBorders>
          </w:tcPr>
          <w:p w14:paraId="7AAFBC80" w14:textId="77777777" w:rsidR="00FC1AFF" w:rsidRPr="00FC1AFF" w:rsidRDefault="00FC1AFF" w:rsidP="00FC1AFF">
            <w:pPr>
              <w:autoSpaceDE w:val="0"/>
              <w:autoSpaceDN w:val="0"/>
              <w:adjustRightInd w:val="0"/>
              <w:rPr>
                <w:color w:val="000000"/>
                <w:sz w:val="20"/>
                <w:szCs w:val="20"/>
              </w:rPr>
            </w:pPr>
            <w:r w:rsidRPr="00FC1AFF">
              <w:rPr>
                <w:color w:val="000000"/>
                <w:sz w:val="20"/>
                <w:szCs w:val="20"/>
              </w:rPr>
              <w:t>2021</w:t>
            </w:r>
          </w:p>
          <w:p w14:paraId="42DF662C" w14:textId="77777777" w:rsidR="00FC1AFF" w:rsidRPr="00FC1AFF" w:rsidRDefault="00FC1AFF" w:rsidP="00FC1AFF">
            <w:pPr>
              <w:autoSpaceDE w:val="0"/>
              <w:autoSpaceDN w:val="0"/>
              <w:adjustRightInd w:val="0"/>
              <w:rPr>
                <w:color w:val="000000"/>
                <w:sz w:val="20"/>
                <w:szCs w:val="20"/>
              </w:rPr>
            </w:pPr>
            <w:r w:rsidRPr="00FC1AFF">
              <w:rPr>
                <w:color w:val="000000"/>
                <w:sz w:val="20"/>
                <w:szCs w:val="20"/>
              </w:rPr>
              <w:t>2020</w:t>
            </w:r>
          </w:p>
        </w:tc>
        <w:tc>
          <w:tcPr>
            <w:tcW w:w="780" w:type="pct"/>
            <w:tcBorders>
              <w:top w:val="single" w:sz="4" w:space="0" w:color="auto"/>
              <w:left w:val="single" w:sz="4" w:space="0" w:color="auto"/>
              <w:bottom w:val="single" w:sz="4" w:space="0" w:color="auto"/>
              <w:right w:val="single" w:sz="4" w:space="0" w:color="auto"/>
            </w:tcBorders>
          </w:tcPr>
          <w:p w14:paraId="0F5F8093" w14:textId="77777777" w:rsidR="00FC1AFF" w:rsidRPr="00FC1AFF" w:rsidRDefault="00FC1AFF" w:rsidP="00FC1AFF">
            <w:pPr>
              <w:tabs>
                <w:tab w:val="decimal" w:pos="716"/>
              </w:tabs>
              <w:autoSpaceDE w:val="0"/>
              <w:autoSpaceDN w:val="0"/>
              <w:adjustRightInd w:val="0"/>
              <w:jc w:val="center"/>
              <w:rPr>
                <w:color w:val="000000"/>
                <w:sz w:val="20"/>
                <w:szCs w:val="20"/>
              </w:rPr>
            </w:pPr>
            <w:r w:rsidRPr="00FC1AFF">
              <w:rPr>
                <w:color w:val="000000"/>
                <w:sz w:val="20"/>
                <w:szCs w:val="20"/>
              </w:rPr>
              <w:t>125,000</w:t>
            </w:r>
          </w:p>
          <w:p w14:paraId="5DD45208" w14:textId="77777777" w:rsidR="00FC1AFF" w:rsidRPr="00FC1AFF" w:rsidRDefault="00FC1AFF" w:rsidP="00FC1AFF">
            <w:pPr>
              <w:tabs>
                <w:tab w:val="decimal" w:pos="716"/>
              </w:tabs>
              <w:autoSpaceDE w:val="0"/>
              <w:autoSpaceDN w:val="0"/>
              <w:adjustRightInd w:val="0"/>
              <w:jc w:val="center"/>
              <w:rPr>
                <w:color w:val="000000"/>
                <w:sz w:val="20"/>
                <w:szCs w:val="20"/>
              </w:rPr>
            </w:pPr>
            <w:r w:rsidRPr="00FC1AFF">
              <w:rPr>
                <w:color w:val="000000"/>
                <w:sz w:val="20"/>
                <w:szCs w:val="20"/>
              </w:rPr>
              <w:t>41,667</w:t>
            </w:r>
          </w:p>
        </w:tc>
        <w:tc>
          <w:tcPr>
            <w:tcW w:w="591" w:type="pct"/>
            <w:tcBorders>
              <w:top w:val="single" w:sz="4" w:space="0" w:color="auto"/>
              <w:left w:val="single" w:sz="4" w:space="0" w:color="auto"/>
              <w:bottom w:val="single" w:sz="4" w:space="0" w:color="auto"/>
              <w:right w:val="single" w:sz="4" w:space="0" w:color="auto"/>
            </w:tcBorders>
          </w:tcPr>
          <w:p w14:paraId="355BD373" w14:textId="77777777" w:rsidR="00FC1AFF" w:rsidRPr="00FC1AFF" w:rsidRDefault="00FC1AFF" w:rsidP="00FC1AFF">
            <w:pPr>
              <w:tabs>
                <w:tab w:val="decimal" w:pos="707"/>
              </w:tabs>
              <w:autoSpaceDE w:val="0"/>
              <w:autoSpaceDN w:val="0"/>
              <w:adjustRightInd w:val="0"/>
              <w:rPr>
                <w:color w:val="000000"/>
                <w:sz w:val="20"/>
                <w:szCs w:val="20"/>
              </w:rPr>
            </w:pPr>
            <w:r w:rsidRPr="00FC1AFF">
              <w:rPr>
                <w:color w:val="000000"/>
                <w:sz w:val="20"/>
                <w:szCs w:val="20"/>
              </w:rPr>
              <w:t>50,000</w:t>
            </w:r>
          </w:p>
          <w:p w14:paraId="1ECBB4C0" w14:textId="77777777" w:rsidR="00FC1AFF" w:rsidRPr="00FC1AFF" w:rsidRDefault="00FC1AFF" w:rsidP="00FC1AFF">
            <w:pPr>
              <w:tabs>
                <w:tab w:val="decimal" w:pos="707"/>
              </w:tabs>
              <w:autoSpaceDE w:val="0"/>
              <w:autoSpaceDN w:val="0"/>
              <w:adjustRightInd w:val="0"/>
              <w:rPr>
                <w:color w:val="000000"/>
                <w:sz w:val="20"/>
                <w:szCs w:val="20"/>
              </w:rPr>
            </w:pPr>
            <w:r w:rsidRPr="00FC1AFF">
              <w:rPr>
                <w:color w:val="000000"/>
                <w:sz w:val="20"/>
                <w:szCs w:val="20"/>
              </w:rPr>
              <w:t>18,750</w:t>
            </w:r>
          </w:p>
        </w:tc>
        <w:tc>
          <w:tcPr>
            <w:tcW w:w="727" w:type="pct"/>
            <w:tcBorders>
              <w:top w:val="single" w:sz="4" w:space="0" w:color="auto"/>
              <w:left w:val="single" w:sz="4" w:space="0" w:color="auto"/>
              <w:bottom w:val="single" w:sz="4" w:space="0" w:color="auto"/>
              <w:right w:val="single" w:sz="4" w:space="0" w:color="auto"/>
            </w:tcBorders>
          </w:tcPr>
          <w:p w14:paraId="07E1F8A7" w14:textId="77777777" w:rsidR="00FC1AFF" w:rsidRPr="00FC1AFF" w:rsidRDefault="00FC1AFF" w:rsidP="00FC1AFF">
            <w:pPr>
              <w:tabs>
                <w:tab w:val="decimal" w:pos="642"/>
              </w:tabs>
              <w:autoSpaceDE w:val="0"/>
              <w:autoSpaceDN w:val="0"/>
              <w:adjustRightInd w:val="0"/>
              <w:jc w:val="center"/>
              <w:rPr>
                <w:color w:val="000000"/>
                <w:sz w:val="20"/>
                <w:szCs w:val="20"/>
              </w:rPr>
            </w:pPr>
            <w:r w:rsidRPr="00FC1AFF">
              <w:rPr>
                <w:color w:val="000000"/>
                <w:sz w:val="20"/>
                <w:szCs w:val="20"/>
              </w:rPr>
              <w:t>73,759 (5)</w:t>
            </w:r>
          </w:p>
          <w:p w14:paraId="030CDC6A" w14:textId="77777777" w:rsidR="00FC1AFF" w:rsidRPr="00FC1AFF" w:rsidRDefault="00FC1AFF" w:rsidP="00FC1AFF">
            <w:pPr>
              <w:tabs>
                <w:tab w:val="decimal" w:pos="642"/>
              </w:tabs>
              <w:autoSpaceDE w:val="0"/>
              <w:autoSpaceDN w:val="0"/>
              <w:adjustRightInd w:val="0"/>
              <w:jc w:val="center"/>
              <w:rPr>
                <w:color w:val="000000"/>
                <w:sz w:val="20"/>
                <w:szCs w:val="20"/>
              </w:rPr>
            </w:pPr>
            <w:r w:rsidRPr="00FC1AFF">
              <w:rPr>
                <w:color w:val="000000"/>
                <w:sz w:val="20"/>
                <w:szCs w:val="20"/>
              </w:rPr>
              <w:t>39,200 (8)</w:t>
            </w:r>
          </w:p>
        </w:tc>
        <w:tc>
          <w:tcPr>
            <w:tcW w:w="728" w:type="pct"/>
            <w:tcBorders>
              <w:top w:val="single" w:sz="4" w:space="0" w:color="auto"/>
              <w:left w:val="single" w:sz="4" w:space="0" w:color="auto"/>
              <w:bottom w:val="single" w:sz="4" w:space="0" w:color="auto"/>
              <w:right w:val="single" w:sz="4" w:space="0" w:color="auto"/>
            </w:tcBorders>
          </w:tcPr>
          <w:p w14:paraId="1F707566" w14:textId="77777777" w:rsidR="00FC1AFF" w:rsidRPr="00FC1AFF" w:rsidRDefault="00FC1AFF" w:rsidP="00FC1AFF">
            <w:pPr>
              <w:tabs>
                <w:tab w:val="decimal" w:pos="798"/>
              </w:tabs>
              <w:autoSpaceDE w:val="0"/>
              <w:autoSpaceDN w:val="0"/>
              <w:adjustRightInd w:val="0"/>
              <w:jc w:val="center"/>
              <w:rPr>
                <w:color w:val="000000"/>
                <w:sz w:val="20"/>
                <w:szCs w:val="20"/>
              </w:rPr>
            </w:pPr>
            <w:r w:rsidRPr="00FC1AFF">
              <w:rPr>
                <w:color w:val="000000"/>
                <w:sz w:val="20"/>
                <w:szCs w:val="20"/>
              </w:rPr>
              <w:t>-</w:t>
            </w:r>
          </w:p>
          <w:p w14:paraId="385487F3" w14:textId="77777777" w:rsidR="00FC1AFF" w:rsidRPr="00FC1AFF" w:rsidRDefault="00FC1AFF" w:rsidP="00FC1AFF">
            <w:pPr>
              <w:tabs>
                <w:tab w:val="decimal" w:pos="798"/>
              </w:tabs>
              <w:autoSpaceDE w:val="0"/>
              <w:autoSpaceDN w:val="0"/>
              <w:adjustRightInd w:val="0"/>
              <w:jc w:val="center"/>
              <w:rPr>
                <w:color w:val="000000"/>
                <w:sz w:val="20"/>
                <w:szCs w:val="20"/>
              </w:rPr>
            </w:pPr>
            <w:r w:rsidRPr="00FC1AFF">
              <w:rPr>
                <w:color w:val="000000"/>
                <w:sz w:val="20"/>
                <w:szCs w:val="20"/>
              </w:rPr>
              <w:t>-</w:t>
            </w:r>
          </w:p>
        </w:tc>
        <w:tc>
          <w:tcPr>
            <w:tcW w:w="590" w:type="pct"/>
            <w:tcBorders>
              <w:top w:val="single" w:sz="4" w:space="0" w:color="auto"/>
              <w:left w:val="single" w:sz="4" w:space="0" w:color="auto"/>
              <w:bottom w:val="single" w:sz="4" w:space="0" w:color="auto"/>
              <w:right w:val="single" w:sz="4" w:space="0" w:color="auto"/>
            </w:tcBorders>
          </w:tcPr>
          <w:p w14:paraId="1DF0411B" w14:textId="77777777" w:rsidR="00FC1AFF" w:rsidRPr="00FC1AFF" w:rsidRDefault="00FC1AFF" w:rsidP="00FC1AFF">
            <w:pPr>
              <w:tabs>
                <w:tab w:val="decimal" w:pos="821"/>
              </w:tabs>
              <w:autoSpaceDE w:val="0"/>
              <w:autoSpaceDN w:val="0"/>
              <w:adjustRightInd w:val="0"/>
              <w:jc w:val="center"/>
              <w:rPr>
                <w:color w:val="000000"/>
                <w:sz w:val="20"/>
                <w:szCs w:val="20"/>
              </w:rPr>
            </w:pPr>
            <w:r w:rsidRPr="00FC1AFF">
              <w:rPr>
                <w:color w:val="000000"/>
                <w:sz w:val="20"/>
                <w:szCs w:val="20"/>
              </w:rPr>
              <w:t>248,759</w:t>
            </w:r>
          </w:p>
          <w:p w14:paraId="24FE7BC2" w14:textId="77777777" w:rsidR="00FC1AFF" w:rsidRPr="00FC1AFF" w:rsidRDefault="00FC1AFF" w:rsidP="00FC1AFF">
            <w:pPr>
              <w:tabs>
                <w:tab w:val="decimal" w:pos="821"/>
              </w:tabs>
              <w:autoSpaceDE w:val="0"/>
              <w:autoSpaceDN w:val="0"/>
              <w:adjustRightInd w:val="0"/>
              <w:jc w:val="center"/>
              <w:rPr>
                <w:color w:val="000000"/>
                <w:sz w:val="20"/>
                <w:szCs w:val="20"/>
              </w:rPr>
            </w:pPr>
            <w:r w:rsidRPr="00FC1AFF">
              <w:rPr>
                <w:color w:val="000000"/>
                <w:sz w:val="20"/>
                <w:szCs w:val="20"/>
              </w:rPr>
              <w:t>99,617</w:t>
            </w:r>
          </w:p>
        </w:tc>
      </w:tr>
    </w:tbl>
    <w:p w14:paraId="5EA9A144" w14:textId="77777777" w:rsidR="00FC1AFF" w:rsidRPr="00FC1AFF" w:rsidRDefault="00FC1AFF" w:rsidP="00FC1AFF">
      <w:pPr>
        <w:autoSpaceDE w:val="0"/>
        <w:autoSpaceDN w:val="0"/>
        <w:adjustRightInd w:val="0"/>
        <w:rPr>
          <w:sz w:val="20"/>
          <w:szCs w:val="20"/>
        </w:rPr>
      </w:pPr>
    </w:p>
    <w:p w14:paraId="2C9CA630" w14:textId="77777777" w:rsidR="00FC1AFF" w:rsidRPr="00FC1AFF" w:rsidRDefault="00FC1AFF" w:rsidP="00C73E0F">
      <w:pPr>
        <w:numPr>
          <w:ilvl w:val="0"/>
          <w:numId w:val="14"/>
        </w:numPr>
        <w:autoSpaceDE w:val="0"/>
        <w:autoSpaceDN w:val="0"/>
        <w:adjustRightInd w:val="0"/>
        <w:ind w:left="360"/>
        <w:jc w:val="both"/>
        <w:rPr>
          <w:sz w:val="20"/>
          <w:szCs w:val="20"/>
        </w:rPr>
      </w:pPr>
      <w:bookmarkStart w:id="39" w:name="_Hlk5116253"/>
      <w:r w:rsidRPr="00FC1AFF">
        <w:rPr>
          <w:sz w:val="20"/>
          <w:szCs w:val="20"/>
        </w:rPr>
        <w:t>Represents the grant date fair value of the stock options for financial statement reporting purposes. See footnotes 2 and 7 to our consolidated financial statements for the year ended December 31, 2021 for a discussion of the assumptions made and methods used for determining stock compensation values.</w:t>
      </w:r>
    </w:p>
    <w:p w14:paraId="10A05C47" w14:textId="77777777" w:rsidR="00FC1AFF" w:rsidRPr="00FC1AFF" w:rsidRDefault="00FC1AFF" w:rsidP="00C73E0F">
      <w:pPr>
        <w:numPr>
          <w:ilvl w:val="0"/>
          <w:numId w:val="14"/>
        </w:numPr>
        <w:autoSpaceDE w:val="0"/>
        <w:autoSpaceDN w:val="0"/>
        <w:adjustRightInd w:val="0"/>
        <w:ind w:left="360"/>
        <w:jc w:val="both"/>
        <w:rPr>
          <w:sz w:val="20"/>
          <w:szCs w:val="20"/>
        </w:rPr>
      </w:pPr>
      <w:r w:rsidRPr="00FC1AFF">
        <w:rPr>
          <w:sz w:val="20"/>
          <w:szCs w:val="20"/>
        </w:rPr>
        <w:t>Dr. Newman became our Chief Scientific Officer effective August 25, 2020.</w:t>
      </w:r>
    </w:p>
    <w:p w14:paraId="7300C54A" w14:textId="77777777" w:rsidR="00FC1AFF" w:rsidRPr="00FC1AFF" w:rsidRDefault="00FC1AFF" w:rsidP="00C73E0F">
      <w:pPr>
        <w:numPr>
          <w:ilvl w:val="0"/>
          <w:numId w:val="14"/>
        </w:numPr>
        <w:autoSpaceDE w:val="0"/>
        <w:autoSpaceDN w:val="0"/>
        <w:adjustRightInd w:val="0"/>
        <w:ind w:left="360"/>
        <w:jc w:val="both"/>
        <w:rPr>
          <w:sz w:val="20"/>
          <w:szCs w:val="20"/>
        </w:rPr>
      </w:pPr>
      <w:r w:rsidRPr="00FC1AFF">
        <w:rPr>
          <w:sz w:val="20"/>
          <w:szCs w:val="20"/>
        </w:rPr>
        <w:t>Represents the grant date fair value for stock options granted on December 7, 2021 for 103,000 shares with an exercise price of $3.82 per share, vesting over a three-year period.</w:t>
      </w:r>
    </w:p>
    <w:p w14:paraId="7F9D9C3E" w14:textId="77777777" w:rsidR="00FC1AFF" w:rsidRPr="00FC1AFF" w:rsidRDefault="00FC1AFF" w:rsidP="00C73E0F">
      <w:pPr>
        <w:numPr>
          <w:ilvl w:val="0"/>
          <w:numId w:val="14"/>
        </w:numPr>
        <w:autoSpaceDE w:val="0"/>
        <w:autoSpaceDN w:val="0"/>
        <w:adjustRightInd w:val="0"/>
        <w:ind w:left="360"/>
        <w:jc w:val="both"/>
        <w:rPr>
          <w:sz w:val="20"/>
          <w:szCs w:val="20"/>
        </w:rPr>
      </w:pPr>
      <w:r w:rsidRPr="00FC1AFF">
        <w:rPr>
          <w:sz w:val="20"/>
          <w:szCs w:val="20"/>
        </w:rPr>
        <w:t>Represents the grant date fair value for stock options granted on December 7, 2021 for 48,200 shares with an exercise price of $3.82 per share, vesting over a three-year period</w:t>
      </w:r>
    </w:p>
    <w:p w14:paraId="5C7FFA2C" w14:textId="77777777" w:rsidR="00FC1AFF" w:rsidRPr="00FC1AFF" w:rsidRDefault="00FC1AFF" w:rsidP="00C73E0F">
      <w:pPr>
        <w:numPr>
          <w:ilvl w:val="0"/>
          <w:numId w:val="14"/>
        </w:numPr>
        <w:autoSpaceDE w:val="0"/>
        <w:autoSpaceDN w:val="0"/>
        <w:adjustRightInd w:val="0"/>
        <w:ind w:left="360"/>
        <w:jc w:val="both"/>
        <w:rPr>
          <w:sz w:val="20"/>
          <w:szCs w:val="20"/>
        </w:rPr>
      </w:pPr>
      <w:r w:rsidRPr="00FC1AFF">
        <w:rPr>
          <w:sz w:val="20"/>
          <w:szCs w:val="20"/>
        </w:rPr>
        <w:t>Represents the grant date fair value for stock options granted on December 7, 2021 for 25,700 shares with an exercise price of $3.82 per share, vesting over a three-year period.</w:t>
      </w:r>
    </w:p>
    <w:p w14:paraId="34AD495E" w14:textId="77777777" w:rsidR="00FC1AFF" w:rsidRPr="00FC1AFF" w:rsidRDefault="00FC1AFF" w:rsidP="00C73E0F">
      <w:pPr>
        <w:numPr>
          <w:ilvl w:val="0"/>
          <w:numId w:val="14"/>
        </w:numPr>
        <w:autoSpaceDE w:val="0"/>
        <w:autoSpaceDN w:val="0"/>
        <w:adjustRightInd w:val="0"/>
        <w:ind w:left="360"/>
        <w:jc w:val="both"/>
        <w:rPr>
          <w:sz w:val="20"/>
          <w:szCs w:val="20"/>
        </w:rPr>
      </w:pPr>
      <w:bookmarkStart w:id="40" w:name="_Hlk92205543"/>
      <w:bookmarkStart w:id="41" w:name="_Hlk64362133"/>
      <w:r w:rsidRPr="00FC1AFF">
        <w:rPr>
          <w:sz w:val="20"/>
          <w:szCs w:val="20"/>
        </w:rPr>
        <w:t>Represents the grant date fair value for stock options granted on December 2, 2020 for 273,000 shares with an exercise price of $2.79 per share, vesting over a three-year period</w:t>
      </w:r>
      <w:bookmarkEnd w:id="40"/>
      <w:r w:rsidRPr="00FC1AFF">
        <w:rPr>
          <w:sz w:val="20"/>
          <w:szCs w:val="20"/>
        </w:rPr>
        <w:t>.</w:t>
      </w:r>
      <w:bookmarkEnd w:id="41"/>
    </w:p>
    <w:p w14:paraId="76E47DC0" w14:textId="77777777" w:rsidR="00FC1AFF" w:rsidRPr="00FC1AFF" w:rsidRDefault="00FC1AFF" w:rsidP="00C73E0F">
      <w:pPr>
        <w:numPr>
          <w:ilvl w:val="0"/>
          <w:numId w:val="14"/>
        </w:numPr>
        <w:autoSpaceDE w:val="0"/>
        <w:autoSpaceDN w:val="0"/>
        <w:adjustRightInd w:val="0"/>
        <w:ind w:left="360"/>
        <w:jc w:val="both"/>
        <w:rPr>
          <w:sz w:val="20"/>
          <w:szCs w:val="20"/>
        </w:rPr>
      </w:pPr>
      <w:r w:rsidRPr="00FC1AFF">
        <w:rPr>
          <w:sz w:val="20"/>
          <w:szCs w:val="20"/>
        </w:rPr>
        <w:t>Represents the grant date fair value for stock options granted on December 2, 2020 for 128,000 shares with an exercise price of $2.79 per share, vesting over a three-year period.</w:t>
      </w:r>
    </w:p>
    <w:p w14:paraId="36B93074" w14:textId="77777777" w:rsidR="00FC1AFF" w:rsidRPr="00FC1AFF" w:rsidRDefault="00FC1AFF" w:rsidP="00C73E0F">
      <w:pPr>
        <w:numPr>
          <w:ilvl w:val="0"/>
          <w:numId w:val="14"/>
        </w:numPr>
        <w:autoSpaceDE w:val="0"/>
        <w:autoSpaceDN w:val="0"/>
        <w:adjustRightInd w:val="0"/>
        <w:ind w:left="360"/>
        <w:jc w:val="both"/>
        <w:rPr>
          <w:sz w:val="20"/>
          <w:szCs w:val="20"/>
        </w:rPr>
      </w:pPr>
      <w:r w:rsidRPr="00FC1AFF">
        <w:rPr>
          <w:sz w:val="20"/>
          <w:szCs w:val="20"/>
        </w:rPr>
        <w:t>Represents the grant date fair value for stock options granted on December 2, 2020 for 35,000 shares with an exercise price of $2.79 per share, vesting over a three-year period.</w:t>
      </w:r>
    </w:p>
    <w:bookmarkEnd w:id="39"/>
    <w:p w14:paraId="798495CC" w14:textId="77777777" w:rsidR="00FC1AFF" w:rsidRPr="00FC1AFF" w:rsidRDefault="00FC1AFF" w:rsidP="00C73E0F">
      <w:pPr>
        <w:numPr>
          <w:ilvl w:val="0"/>
          <w:numId w:val="14"/>
        </w:numPr>
        <w:autoSpaceDE w:val="0"/>
        <w:autoSpaceDN w:val="0"/>
        <w:adjustRightInd w:val="0"/>
        <w:ind w:left="360"/>
        <w:jc w:val="both"/>
        <w:rPr>
          <w:sz w:val="20"/>
          <w:szCs w:val="20"/>
        </w:rPr>
      </w:pPr>
      <w:r w:rsidRPr="00FC1AFF">
        <w:rPr>
          <w:sz w:val="20"/>
          <w:szCs w:val="20"/>
        </w:rPr>
        <w:t>Represents employer matching contributions to the Company’s 401(k) retirement plan.</w:t>
      </w:r>
    </w:p>
    <w:p w14:paraId="6E73B422" w14:textId="77777777" w:rsidR="00FC1AFF" w:rsidRPr="00FC1AFF" w:rsidRDefault="00FC1AFF" w:rsidP="00FC1AFF">
      <w:pPr>
        <w:autoSpaceDE w:val="0"/>
        <w:autoSpaceDN w:val="0"/>
        <w:adjustRightInd w:val="0"/>
        <w:rPr>
          <w:sz w:val="20"/>
          <w:szCs w:val="20"/>
        </w:rPr>
      </w:pPr>
    </w:p>
    <w:p w14:paraId="67D27476" w14:textId="77777777" w:rsidR="00FC1AFF" w:rsidRPr="00FC1AFF" w:rsidRDefault="00FC1AFF" w:rsidP="00FC1AFF">
      <w:pPr>
        <w:rPr>
          <w:b/>
          <w:bCs/>
          <w:sz w:val="20"/>
          <w:szCs w:val="20"/>
        </w:rPr>
      </w:pPr>
      <w:r w:rsidRPr="00FC1AFF">
        <w:rPr>
          <w:b/>
          <w:bCs/>
          <w:sz w:val="20"/>
          <w:szCs w:val="20"/>
        </w:rPr>
        <w:t>Employment Agreements</w:t>
      </w:r>
    </w:p>
    <w:p w14:paraId="0FCAB34E" w14:textId="77777777" w:rsidR="00FC1AFF" w:rsidRPr="00FC1AFF" w:rsidRDefault="00FC1AFF" w:rsidP="00FC1AFF">
      <w:pPr>
        <w:autoSpaceDE w:val="0"/>
        <w:autoSpaceDN w:val="0"/>
        <w:adjustRightInd w:val="0"/>
        <w:rPr>
          <w:b/>
          <w:i/>
          <w:sz w:val="20"/>
          <w:szCs w:val="20"/>
        </w:rPr>
      </w:pPr>
    </w:p>
    <w:p w14:paraId="04EBA56A" w14:textId="468BF672" w:rsidR="00675CD7" w:rsidRPr="00675CD7" w:rsidRDefault="00675CD7" w:rsidP="00675CD7">
      <w:pPr>
        <w:autoSpaceDE w:val="0"/>
        <w:autoSpaceDN w:val="0"/>
        <w:adjustRightInd w:val="0"/>
        <w:rPr>
          <w:sz w:val="20"/>
          <w:szCs w:val="20"/>
        </w:rPr>
      </w:pPr>
      <w:r w:rsidRPr="00675CD7">
        <w:rPr>
          <w:b/>
          <w:i/>
          <w:sz w:val="20"/>
          <w:szCs w:val="20"/>
        </w:rPr>
        <w:t>David A. Dodd</w:t>
      </w:r>
      <w:r w:rsidRPr="00675CD7">
        <w:rPr>
          <w:b/>
          <w:sz w:val="20"/>
          <w:szCs w:val="20"/>
        </w:rPr>
        <w:t xml:space="preserve">.  </w:t>
      </w:r>
      <w:r w:rsidRPr="00675CD7">
        <w:rPr>
          <w:sz w:val="20"/>
          <w:szCs w:val="20"/>
        </w:rPr>
        <w:t>Mr. Dodd serves as our President and Chief Executive Officer under an employment agreement dated September 1, 2018. The employment agreement has no specified term. The employment agreement provides for an initial annual salary of $250,000 to Mr. Dodd, subject to periodic increases as determined by the Board. Mr. Dodd is also eligible for an annual bonus, as determined by the Board. Mr. Dodd is eligible for annual grants of awards from our equity incentive plans as determined by the Board. Mr. Dodd also is eligible for health insurance and 401(k) benefits at the same level and subject to the same conditions as provided to all other employees.</w:t>
      </w:r>
    </w:p>
    <w:p w14:paraId="5F358F60" w14:textId="77777777" w:rsidR="00675CD7" w:rsidRPr="00675CD7" w:rsidRDefault="00675CD7" w:rsidP="00675CD7">
      <w:pPr>
        <w:autoSpaceDE w:val="0"/>
        <w:autoSpaceDN w:val="0"/>
        <w:adjustRightInd w:val="0"/>
        <w:rPr>
          <w:sz w:val="20"/>
          <w:szCs w:val="20"/>
        </w:rPr>
      </w:pPr>
    </w:p>
    <w:p w14:paraId="24CA34BC" w14:textId="77777777" w:rsidR="00675CD7" w:rsidRPr="00675CD7" w:rsidRDefault="00675CD7" w:rsidP="00675CD7">
      <w:pPr>
        <w:autoSpaceDE w:val="0"/>
        <w:autoSpaceDN w:val="0"/>
        <w:adjustRightInd w:val="0"/>
        <w:rPr>
          <w:bCs/>
          <w:sz w:val="20"/>
          <w:szCs w:val="20"/>
        </w:rPr>
      </w:pPr>
      <w:r w:rsidRPr="00675CD7">
        <w:rPr>
          <w:sz w:val="20"/>
          <w:szCs w:val="20"/>
        </w:rPr>
        <w:t xml:space="preserve">Our employment agreement with Mr. Dodd provides that we will pay severance compensation to Mr. Dodd in the event his employment is terminated by the Company without cause or by Mr. Dodd with good reason (as defined in the agreement). If we terminate Mr. Dodd’s employment not for cause or he resigns for good reason, then we would pay (a) an amount in cash equal to three times his then base salary and target annual bonus and (b) all stock option grants held by Mr. Dodd will be fully vested. The agreement also addresses his compensation upon termination if there is a change in control (as defined). If we terminate Mr. Dodd’s employment not for cause or he resigns for good reason at any time during the three month period which immediately precedes a change in control (as defined) or during the one year period following a change in control, then we would also pay Mr. Dodd an amount in cash equal to (x) three times the cost to provide 401(k) or other deferred compensation or health and welfare benefits to </w:t>
      </w:r>
      <w:r w:rsidRPr="00675CD7">
        <w:rPr>
          <w:sz w:val="20"/>
          <w:szCs w:val="20"/>
        </w:rPr>
        <w:lastRenderedPageBreak/>
        <w:t>him, and (y) a tax gross-up payment (if an excise tax is imposed by § 4999 of the Internal Revenue Code or any related interest or penalties are incurred by him</w:t>
      </w:r>
      <w:r w:rsidRPr="00675CD7">
        <w:rPr>
          <w:bCs/>
          <w:sz w:val="20"/>
          <w:szCs w:val="20"/>
        </w:rPr>
        <w:t>).</w:t>
      </w:r>
    </w:p>
    <w:p w14:paraId="7C55E87C" w14:textId="77777777" w:rsidR="00675CD7" w:rsidRPr="00675CD7" w:rsidRDefault="00675CD7" w:rsidP="00675CD7">
      <w:pPr>
        <w:autoSpaceDE w:val="0"/>
        <w:autoSpaceDN w:val="0"/>
        <w:adjustRightInd w:val="0"/>
        <w:rPr>
          <w:sz w:val="20"/>
          <w:szCs w:val="20"/>
        </w:rPr>
      </w:pPr>
    </w:p>
    <w:p w14:paraId="06C4D53C" w14:textId="292925D4" w:rsidR="00675CD7" w:rsidRPr="00675CD7" w:rsidRDefault="00675CD7" w:rsidP="00675CD7">
      <w:pPr>
        <w:autoSpaceDE w:val="0"/>
        <w:autoSpaceDN w:val="0"/>
        <w:adjustRightInd w:val="0"/>
        <w:rPr>
          <w:bCs/>
          <w:sz w:val="20"/>
          <w:szCs w:val="20"/>
        </w:rPr>
      </w:pPr>
      <w:r w:rsidRPr="00675CD7">
        <w:rPr>
          <w:b/>
          <w:i/>
          <w:sz w:val="20"/>
          <w:szCs w:val="20"/>
        </w:rPr>
        <w:t>Mark W. Reynolds.</w:t>
      </w:r>
      <w:r w:rsidRPr="00675CD7">
        <w:rPr>
          <w:sz w:val="20"/>
          <w:szCs w:val="20"/>
        </w:rPr>
        <w:t xml:space="preserve">  Mr. Reynolds serves as our Chief Financial Officer under an employment agreement dated January 1, 2010 and amended on October 22, 2013. The employment agreement has no specified term. The employment agreement, as amended, provides for an initial annual salary of $212,600 to Mr. Reynolds, subject to periodic increases as determined by the Compensation Committee. The Board of Directors may also approve the payment of a discretionary bonus annually. Mr. Reynolds is eligible for annual grants of awards from our equity incentive plans as determined by the Board. Mr. Reynolds is eligible for health insurance and 401(k) benefits at the same level and subject to the same conditions as provided to all other employees</w:t>
      </w:r>
      <w:r w:rsidRPr="00675CD7">
        <w:rPr>
          <w:bCs/>
          <w:sz w:val="20"/>
          <w:szCs w:val="20"/>
        </w:rPr>
        <w:t>.</w:t>
      </w:r>
    </w:p>
    <w:p w14:paraId="48351FC2" w14:textId="77777777" w:rsidR="00675CD7" w:rsidRPr="00675CD7" w:rsidRDefault="00675CD7" w:rsidP="00675CD7">
      <w:pPr>
        <w:autoSpaceDE w:val="0"/>
        <w:autoSpaceDN w:val="0"/>
        <w:adjustRightInd w:val="0"/>
        <w:rPr>
          <w:i/>
          <w:sz w:val="20"/>
          <w:szCs w:val="20"/>
        </w:rPr>
      </w:pPr>
    </w:p>
    <w:p w14:paraId="391041D3" w14:textId="77777777" w:rsidR="00675CD7" w:rsidRPr="00675CD7" w:rsidRDefault="00675CD7" w:rsidP="00675CD7">
      <w:pPr>
        <w:autoSpaceDE w:val="0"/>
        <w:autoSpaceDN w:val="0"/>
        <w:adjustRightInd w:val="0"/>
        <w:rPr>
          <w:bCs/>
          <w:sz w:val="20"/>
          <w:szCs w:val="20"/>
        </w:rPr>
      </w:pPr>
      <w:r w:rsidRPr="00675CD7">
        <w:rPr>
          <w:sz w:val="20"/>
          <w:szCs w:val="20"/>
        </w:rPr>
        <w:t>Our employment agreement with Mr. Reynolds provides that, if we terminate his employment without cause, we will pay a severance payment in the form of monthly payments of base salary for a period equal to one week for each full year of service. Additionally if we terminate Mr. Reynolds’ employment at any time during the three month period which immediately precedes a change in control (as defined in the amended employment agreement) or during the one year period following a change in control, then we would pay an amount in cash equal to (a) two times his then base salary and target annual bonus, (b) two times the cost to provide 401(k) or other deferred compensation or health and welfare benefits to him, (c) full, complete vesting of all stock options, restricted stock grants or other equity or equity-type grants, and (d) a tax gross-up payment (if an excise tax is imposed by §4999 of the Internal Revenue Code or any related interest or penalties are incurred by him). The change of control provision also provides for full and complete vesting of all stock option grants held by him</w:t>
      </w:r>
      <w:r w:rsidRPr="00675CD7">
        <w:rPr>
          <w:bCs/>
          <w:sz w:val="20"/>
          <w:szCs w:val="20"/>
        </w:rPr>
        <w:t>.</w:t>
      </w:r>
    </w:p>
    <w:p w14:paraId="3FBA0828" w14:textId="77777777" w:rsidR="00675CD7" w:rsidRPr="00675CD7" w:rsidRDefault="00675CD7" w:rsidP="00675CD7">
      <w:pPr>
        <w:autoSpaceDE w:val="0"/>
        <w:autoSpaceDN w:val="0"/>
        <w:adjustRightInd w:val="0"/>
        <w:rPr>
          <w:i/>
          <w:sz w:val="20"/>
          <w:szCs w:val="20"/>
        </w:rPr>
      </w:pPr>
    </w:p>
    <w:p w14:paraId="5ED7AB77" w14:textId="662890B9" w:rsidR="00675CD7" w:rsidRPr="00675CD7" w:rsidRDefault="00675CD7" w:rsidP="00675CD7">
      <w:pPr>
        <w:autoSpaceDE w:val="0"/>
        <w:autoSpaceDN w:val="0"/>
        <w:adjustRightInd w:val="0"/>
        <w:rPr>
          <w:sz w:val="20"/>
          <w:szCs w:val="20"/>
        </w:rPr>
      </w:pPr>
      <w:r w:rsidRPr="00675CD7">
        <w:rPr>
          <w:b/>
          <w:i/>
          <w:sz w:val="20"/>
          <w:szCs w:val="20"/>
        </w:rPr>
        <w:t>Mark J. Newman, PhD</w:t>
      </w:r>
      <w:r w:rsidRPr="00675CD7">
        <w:rPr>
          <w:b/>
          <w:sz w:val="20"/>
          <w:szCs w:val="20"/>
        </w:rPr>
        <w:t xml:space="preserve">.  </w:t>
      </w:r>
      <w:r w:rsidRPr="00675CD7">
        <w:rPr>
          <w:sz w:val="20"/>
          <w:szCs w:val="20"/>
        </w:rPr>
        <w:t xml:space="preserve">Dr. Newman serves as our Chief Scientific Officer under an employment agreement dated August 25, 2020, which was amended and restated effective March 1, 2022. The employment agreement has no specified term. The employment agreement, as amended, provides for an annual salary of $275,000, subject to periodic increases as determined by the Compensation Committee. The Board of Directors may also approve the payment of a discretionary bonus annually. Dr. Newman is eligible for </w:t>
      </w:r>
      <w:r w:rsidR="00FD5114">
        <w:rPr>
          <w:sz w:val="20"/>
          <w:szCs w:val="20"/>
        </w:rPr>
        <w:t xml:space="preserve">annual </w:t>
      </w:r>
      <w:r w:rsidRPr="00675CD7">
        <w:rPr>
          <w:sz w:val="20"/>
          <w:szCs w:val="20"/>
        </w:rPr>
        <w:t>grants of awards from our equity incentive plans</w:t>
      </w:r>
      <w:r w:rsidR="00FD5114" w:rsidRPr="00FD5114">
        <w:rPr>
          <w:sz w:val="20"/>
          <w:szCs w:val="20"/>
        </w:rPr>
        <w:t xml:space="preserve"> </w:t>
      </w:r>
      <w:r w:rsidR="00FD5114" w:rsidRPr="00675CD7">
        <w:rPr>
          <w:sz w:val="20"/>
          <w:szCs w:val="20"/>
        </w:rPr>
        <w:t xml:space="preserve">as determined by the Board. </w:t>
      </w:r>
      <w:r w:rsidRPr="00675CD7">
        <w:rPr>
          <w:sz w:val="20"/>
          <w:szCs w:val="20"/>
        </w:rPr>
        <w:t xml:space="preserve"> </w:t>
      </w:r>
      <w:r w:rsidR="00FD5114">
        <w:rPr>
          <w:sz w:val="20"/>
          <w:szCs w:val="20"/>
        </w:rPr>
        <w:t>Dr</w:t>
      </w:r>
      <w:r w:rsidR="00FD5114" w:rsidRPr="00675CD7">
        <w:rPr>
          <w:sz w:val="20"/>
          <w:szCs w:val="20"/>
        </w:rPr>
        <w:t xml:space="preserve">. </w:t>
      </w:r>
      <w:r w:rsidR="00FD5114">
        <w:rPr>
          <w:sz w:val="20"/>
          <w:szCs w:val="20"/>
        </w:rPr>
        <w:t>Newman</w:t>
      </w:r>
      <w:r w:rsidR="00FD5114" w:rsidRPr="00675CD7">
        <w:rPr>
          <w:sz w:val="20"/>
          <w:szCs w:val="20"/>
        </w:rPr>
        <w:t xml:space="preserve"> is eligible for health insurance and 401(k) benefits </w:t>
      </w:r>
      <w:r w:rsidRPr="00675CD7">
        <w:rPr>
          <w:sz w:val="20"/>
          <w:szCs w:val="20"/>
        </w:rPr>
        <w:t xml:space="preserve">at the same level and subject to the same conditions as provided to all other employees. </w:t>
      </w:r>
    </w:p>
    <w:p w14:paraId="727AD604" w14:textId="77777777" w:rsidR="00FC1AFF" w:rsidRPr="00FC1AFF" w:rsidRDefault="00FC1AFF" w:rsidP="00FC1AFF">
      <w:pPr>
        <w:autoSpaceDE w:val="0"/>
        <w:autoSpaceDN w:val="0"/>
        <w:adjustRightInd w:val="0"/>
        <w:jc w:val="both"/>
        <w:rPr>
          <w:sz w:val="20"/>
          <w:szCs w:val="20"/>
        </w:rPr>
      </w:pPr>
    </w:p>
    <w:p w14:paraId="799BE2E1" w14:textId="77777777" w:rsidR="0049084F" w:rsidRDefault="0049084F">
      <w:pPr>
        <w:rPr>
          <w:b/>
          <w:sz w:val="20"/>
          <w:szCs w:val="20"/>
        </w:rPr>
      </w:pPr>
      <w:r>
        <w:rPr>
          <w:b/>
          <w:sz w:val="20"/>
          <w:szCs w:val="20"/>
        </w:rPr>
        <w:br w:type="page"/>
      </w:r>
    </w:p>
    <w:p w14:paraId="6D7150D6" w14:textId="616EFAE4" w:rsidR="00FC1AFF" w:rsidRPr="00FC1AFF" w:rsidRDefault="00FC1AFF" w:rsidP="00FC1AFF">
      <w:pPr>
        <w:keepNext/>
        <w:spacing w:after="120"/>
        <w:jc w:val="both"/>
        <w:rPr>
          <w:b/>
          <w:sz w:val="20"/>
          <w:szCs w:val="20"/>
        </w:rPr>
      </w:pPr>
      <w:r w:rsidRPr="00FC1AFF">
        <w:rPr>
          <w:b/>
          <w:sz w:val="20"/>
          <w:szCs w:val="20"/>
        </w:rPr>
        <w:lastRenderedPageBreak/>
        <w:t>Outstanding Equity Awards</w:t>
      </w:r>
    </w:p>
    <w:p w14:paraId="2F370579" w14:textId="77777777" w:rsidR="00FC1AFF" w:rsidRPr="00FC1AFF" w:rsidRDefault="00FC1AFF" w:rsidP="00FC1AFF">
      <w:pPr>
        <w:autoSpaceDE w:val="0"/>
        <w:autoSpaceDN w:val="0"/>
        <w:adjustRightInd w:val="0"/>
        <w:ind w:firstLine="720"/>
        <w:jc w:val="both"/>
        <w:rPr>
          <w:sz w:val="20"/>
          <w:szCs w:val="20"/>
        </w:rPr>
      </w:pPr>
      <w:proofErr w:type="spellStart"/>
      <w:r w:rsidRPr="00FC1AFF">
        <w:rPr>
          <w:sz w:val="20"/>
          <w:szCs w:val="20"/>
        </w:rPr>
        <w:t>GeoVax</w:t>
      </w:r>
      <w:proofErr w:type="spellEnd"/>
      <w:r w:rsidRPr="00FC1AFF">
        <w:rPr>
          <w:sz w:val="20"/>
          <w:szCs w:val="20"/>
        </w:rPr>
        <w:t xml:space="preserve"> has awarded stock options to its senior management and other employees, pursuant to the </w:t>
      </w:r>
      <w:proofErr w:type="spellStart"/>
      <w:r w:rsidRPr="00FC1AFF">
        <w:rPr>
          <w:sz w:val="20"/>
          <w:szCs w:val="20"/>
        </w:rPr>
        <w:t>GeoVax</w:t>
      </w:r>
      <w:proofErr w:type="spellEnd"/>
      <w:r w:rsidRPr="00FC1AFF">
        <w:rPr>
          <w:sz w:val="20"/>
          <w:szCs w:val="20"/>
        </w:rPr>
        <w:t xml:space="preserve"> Labs, Inc. 2020 Stock Incentive Plan (the “2020 Plan”). The 2020 Plan was adopted by the Board on June 19, 2020 to provide equity-based and/or incentive awards to selected employees, directors, and independent contractors of the Company or its affiliates. The terms of these awards typically provide for vesting over a defined period of time and the options expire if not exercised within ten years from the date of grant. The Company does not have a formula for determining stock option awards. Awards are generally based on the subjective judgment of the President and Chief Executive Officer and on the Compensation Committee’s subjective judgment. The following table sets forth certain information with respect to unexercised options previously awarded to our Named Executive Officers that were outstanding as of December 31, 2021.  </w:t>
      </w:r>
      <w:bookmarkStart w:id="42" w:name="_Hlk92448768"/>
      <w:r w:rsidRPr="00FC1AFF">
        <w:rPr>
          <w:sz w:val="20"/>
          <w:szCs w:val="20"/>
        </w:rPr>
        <w:t>The table also includes warrants, if any, granted to our Named Executive Officers upon payment of deferred compensation</w:t>
      </w:r>
      <w:bookmarkEnd w:id="42"/>
      <w:r w:rsidRPr="00FC1AFF">
        <w:rPr>
          <w:sz w:val="20"/>
          <w:szCs w:val="20"/>
        </w:rPr>
        <w:t>.</w:t>
      </w:r>
    </w:p>
    <w:p w14:paraId="6CD9C3CD" w14:textId="77777777" w:rsidR="00FC1AFF" w:rsidRPr="00FC1AFF" w:rsidRDefault="00FC1AFF" w:rsidP="00FC1AFF">
      <w:pPr>
        <w:rPr>
          <w:sz w:val="20"/>
          <w:szCs w:val="20"/>
        </w:rPr>
      </w:pPr>
    </w:p>
    <w:p w14:paraId="79398F4C" w14:textId="77777777" w:rsidR="00FC1AFF" w:rsidRPr="00FC1AFF" w:rsidRDefault="00FC1AFF" w:rsidP="00FC1AFF">
      <w:pPr>
        <w:autoSpaceDE w:val="0"/>
        <w:autoSpaceDN w:val="0"/>
        <w:adjustRightInd w:val="0"/>
        <w:rPr>
          <w:sz w:val="20"/>
          <w:szCs w:val="20"/>
        </w:rPr>
      </w:pPr>
    </w:p>
    <w:tbl>
      <w:tblPr>
        <w:tblW w:w="0" w:type="auto"/>
        <w:jc w:val="center"/>
        <w:tblLayout w:type="fixed"/>
        <w:tblLook w:val="01E0" w:firstRow="1" w:lastRow="1" w:firstColumn="1" w:lastColumn="1" w:noHBand="0" w:noVBand="0"/>
      </w:tblPr>
      <w:tblGrid>
        <w:gridCol w:w="2608"/>
        <w:gridCol w:w="1813"/>
        <w:gridCol w:w="1813"/>
        <w:gridCol w:w="1813"/>
        <w:gridCol w:w="1813"/>
      </w:tblGrid>
      <w:tr w:rsidR="00FC1AFF" w:rsidRPr="00FC1AFF" w14:paraId="6ED1C311" w14:textId="77777777" w:rsidTr="00FC1AFF">
        <w:trPr>
          <w:jc w:val="center"/>
        </w:trPr>
        <w:tc>
          <w:tcPr>
            <w:tcW w:w="9860" w:type="dxa"/>
            <w:gridSpan w:val="5"/>
            <w:tcBorders>
              <w:top w:val="single" w:sz="4" w:space="0" w:color="auto"/>
              <w:left w:val="single" w:sz="4" w:space="0" w:color="auto"/>
              <w:bottom w:val="single" w:sz="4" w:space="0" w:color="auto"/>
              <w:right w:val="single" w:sz="4" w:space="0" w:color="auto"/>
            </w:tcBorders>
            <w:vAlign w:val="bottom"/>
            <w:hideMark/>
          </w:tcPr>
          <w:p w14:paraId="303B5251" w14:textId="77777777" w:rsidR="00FC1AFF" w:rsidRPr="00FC1AFF" w:rsidRDefault="00FC1AFF" w:rsidP="00FC1AFF">
            <w:pPr>
              <w:jc w:val="center"/>
              <w:rPr>
                <w:b/>
                <w:color w:val="000000"/>
                <w:sz w:val="20"/>
                <w:szCs w:val="20"/>
              </w:rPr>
            </w:pPr>
            <w:r w:rsidRPr="00FC1AFF">
              <w:rPr>
                <w:b/>
                <w:color w:val="000000"/>
                <w:sz w:val="20"/>
                <w:szCs w:val="20"/>
              </w:rPr>
              <w:t>Option Awards</w:t>
            </w:r>
          </w:p>
        </w:tc>
      </w:tr>
      <w:tr w:rsidR="00FC1AFF" w:rsidRPr="00FC1AFF" w14:paraId="60803487" w14:textId="77777777" w:rsidTr="00FC1AFF">
        <w:trPr>
          <w:jc w:val="center"/>
        </w:trPr>
        <w:tc>
          <w:tcPr>
            <w:tcW w:w="2608" w:type="dxa"/>
            <w:tcBorders>
              <w:top w:val="single" w:sz="4" w:space="0" w:color="auto"/>
              <w:left w:val="single" w:sz="4" w:space="0" w:color="auto"/>
              <w:bottom w:val="single" w:sz="4" w:space="0" w:color="auto"/>
              <w:right w:val="single" w:sz="4" w:space="0" w:color="auto"/>
            </w:tcBorders>
            <w:vAlign w:val="bottom"/>
            <w:hideMark/>
          </w:tcPr>
          <w:p w14:paraId="0035549F" w14:textId="77777777" w:rsidR="00FC1AFF" w:rsidRPr="00FC1AFF" w:rsidRDefault="00FC1AFF" w:rsidP="00FC1AFF">
            <w:pPr>
              <w:rPr>
                <w:sz w:val="20"/>
                <w:szCs w:val="20"/>
              </w:rPr>
            </w:pPr>
          </w:p>
        </w:tc>
        <w:tc>
          <w:tcPr>
            <w:tcW w:w="3626" w:type="dxa"/>
            <w:gridSpan w:val="2"/>
            <w:tcBorders>
              <w:top w:val="single" w:sz="4" w:space="0" w:color="auto"/>
              <w:left w:val="single" w:sz="4" w:space="0" w:color="auto"/>
              <w:bottom w:val="single" w:sz="4" w:space="0" w:color="auto"/>
              <w:right w:val="single" w:sz="4" w:space="0" w:color="auto"/>
            </w:tcBorders>
            <w:vAlign w:val="bottom"/>
            <w:hideMark/>
          </w:tcPr>
          <w:p w14:paraId="18FC0B8A" w14:textId="77777777" w:rsidR="00FC1AFF" w:rsidRPr="00FC1AFF" w:rsidRDefault="00FC1AFF" w:rsidP="00FC1AFF">
            <w:pPr>
              <w:jc w:val="center"/>
              <w:rPr>
                <w:b/>
                <w:color w:val="000000"/>
                <w:sz w:val="20"/>
                <w:szCs w:val="20"/>
              </w:rPr>
            </w:pPr>
            <w:r w:rsidRPr="00FC1AFF">
              <w:rPr>
                <w:b/>
                <w:color w:val="000000"/>
                <w:sz w:val="20"/>
                <w:szCs w:val="20"/>
              </w:rPr>
              <w:t>Number of Securities</w:t>
            </w:r>
          </w:p>
          <w:p w14:paraId="18537452" w14:textId="77777777" w:rsidR="00FC1AFF" w:rsidRPr="00FC1AFF" w:rsidRDefault="00FC1AFF" w:rsidP="00FC1AFF">
            <w:pPr>
              <w:jc w:val="center"/>
              <w:rPr>
                <w:b/>
                <w:color w:val="000000"/>
                <w:sz w:val="20"/>
                <w:szCs w:val="20"/>
              </w:rPr>
            </w:pPr>
            <w:r w:rsidRPr="00FC1AFF">
              <w:rPr>
                <w:b/>
                <w:color w:val="000000"/>
                <w:sz w:val="20"/>
                <w:szCs w:val="20"/>
              </w:rPr>
              <w:t>Underlying Unexercised Options</w:t>
            </w:r>
          </w:p>
        </w:tc>
        <w:tc>
          <w:tcPr>
            <w:tcW w:w="1813" w:type="dxa"/>
            <w:tcBorders>
              <w:top w:val="single" w:sz="4" w:space="0" w:color="auto"/>
              <w:left w:val="single" w:sz="4" w:space="0" w:color="auto"/>
              <w:bottom w:val="single" w:sz="4" w:space="0" w:color="auto"/>
              <w:right w:val="single" w:sz="4" w:space="0" w:color="auto"/>
            </w:tcBorders>
            <w:vAlign w:val="bottom"/>
            <w:hideMark/>
          </w:tcPr>
          <w:p w14:paraId="54A21EB3" w14:textId="77777777" w:rsidR="00FC1AFF" w:rsidRPr="00FC1AFF" w:rsidRDefault="00FC1AFF" w:rsidP="00FC1AFF">
            <w:pPr>
              <w:rPr>
                <w:sz w:val="20"/>
                <w:szCs w:val="20"/>
              </w:rPr>
            </w:pPr>
          </w:p>
        </w:tc>
        <w:tc>
          <w:tcPr>
            <w:tcW w:w="1813" w:type="dxa"/>
            <w:tcBorders>
              <w:top w:val="single" w:sz="4" w:space="0" w:color="auto"/>
              <w:left w:val="single" w:sz="4" w:space="0" w:color="auto"/>
              <w:bottom w:val="single" w:sz="4" w:space="0" w:color="auto"/>
              <w:right w:val="single" w:sz="4" w:space="0" w:color="auto"/>
            </w:tcBorders>
            <w:vAlign w:val="bottom"/>
            <w:hideMark/>
          </w:tcPr>
          <w:p w14:paraId="6A808BCD" w14:textId="77777777" w:rsidR="00FC1AFF" w:rsidRPr="00FC1AFF" w:rsidRDefault="00FC1AFF" w:rsidP="00FC1AFF">
            <w:pPr>
              <w:rPr>
                <w:sz w:val="20"/>
                <w:szCs w:val="20"/>
              </w:rPr>
            </w:pPr>
          </w:p>
        </w:tc>
      </w:tr>
      <w:tr w:rsidR="00FC1AFF" w:rsidRPr="00FC1AFF" w14:paraId="1090C2D5" w14:textId="77777777" w:rsidTr="00FC1AFF">
        <w:trPr>
          <w:jc w:val="center"/>
        </w:trPr>
        <w:tc>
          <w:tcPr>
            <w:tcW w:w="2608" w:type="dxa"/>
            <w:tcBorders>
              <w:top w:val="single" w:sz="4" w:space="0" w:color="auto"/>
              <w:left w:val="single" w:sz="4" w:space="0" w:color="auto"/>
              <w:bottom w:val="single" w:sz="4" w:space="0" w:color="auto"/>
              <w:right w:val="single" w:sz="4" w:space="0" w:color="auto"/>
            </w:tcBorders>
            <w:vAlign w:val="bottom"/>
            <w:hideMark/>
          </w:tcPr>
          <w:p w14:paraId="316BFEF4" w14:textId="77777777" w:rsidR="00FC1AFF" w:rsidRPr="00FC1AFF" w:rsidRDefault="00FC1AFF" w:rsidP="00FC1AFF">
            <w:pPr>
              <w:rPr>
                <w:b/>
                <w:color w:val="000000"/>
                <w:sz w:val="20"/>
                <w:szCs w:val="20"/>
              </w:rPr>
            </w:pPr>
            <w:r w:rsidRPr="00FC1AFF">
              <w:rPr>
                <w:b/>
                <w:color w:val="000000"/>
                <w:sz w:val="20"/>
                <w:szCs w:val="20"/>
              </w:rPr>
              <w:t>Name</w:t>
            </w:r>
          </w:p>
        </w:tc>
        <w:tc>
          <w:tcPr>
            <w:tcW w:w="1813" w:type="dxa"/>
            <w:tcBorders>
              <w:top w:val="single" w:sz="4" w:space="0" w:color="auto"/>
              <w:left w:val="single" w:sz="4" w:space="0" w:color="auto"/>
              <w:bottom w:val="single" w:sz="4" w:space="0" w:color="auto"/>
              <w:right w:val="single" w:sz="4" w:space="0" w:color="auto"/>
            </w:tcBorders>
            <w:vAlign w:val="bottom"/>
          </w:tcPr>
          <w:p w14:paraId="17209D4D" w14:textId="77777777" w:rsidR="00FC1AFF" w:rsidRPr="00FC1AFF" w:rsidRDefault="00FC1AFF" w:rsidP="00FC1AFF">
            <w:pPr>
              <w:jc w:val="center"/>
              <w:rPr>
                <w:b/>
                <w:color w:val="000000"/>
                <w:sz w:val="20"/>
                <w:szCs w:val="20"/>
              </w:rPr>
            </w:pPr>
          </w:p>
          <w:p w14:paraId="593F5176" w14:textId="77777777" w:rsidR="00FC1AFF" w:rsidRPr="00FC1AFF" w:rsidRDefault="00FC1AFF" w:rsidP="00FC1AFF">
            <w:pPr>
              <w:jc w:val="center"/>
              <w:rPr>
                <w:b/>
                <w:color w:val="000000"/>
                <w:sz w:val="20"/>
                <w:szCs w:val="20"/>
              </w:rPr>
            </w:pPr>
            <w:r w:rsidRPr="00FC1AFF">
              <w:rPr>
                <w:b/>
                <w:color w:val="000000"/>
                <w:sz w:val="20"/>
                <w:szCs w:val="20"/>
              </w:rPr>
              <w:t>(#) Exercisable</w:t>
            </w:r>
          </w:p>
        </w:tc>
        <w:tc>
          <w:tcPr>
            <w:tcW w:w="1813" w:type="dxa"/>
            <w:tcBorders>
              <w:top w:val="single" w:sz="4" w:space="0" w:color="auto"/>
              <w:left w:val="single" w:sz="4" w:space="0" w:color="auto"/>
              <w:bottom w:val="single" w:sz="4" w:space="0" w:color="auto"/>
              <w:right w:val="single" w:sz="4" w:space="0" w:color="auto"/>
            </w:tcBorders>
            <w:vAlign w:val="bottom"/>
            <w:hideMark/>
          </w:tcPr>
          <w:p w14:paraId="6D250870" w14:textId="77777777" w:rsidR="00FC1AFF" w:rsidRPr="00FC1AFF" w:rsidRDefault="00FC1AFF" w:rsidP="00FC1AFF">
            <w:pPr>
              <w:jc w:val="center"/>
              <w:rPr>
                <w:b/>
                <w:color w:val="000000"/>
                <w:sz w:val="20"/>
                <w:szCs w:val="20"/>
              </w:rPr>
            </w:pPr>
            <w:r w:rsidRPr="00FC1AFF">
              <w:rPr>
                <w:b/>
                <w:color w:val="000000"/>
                <w:sz w:val="20"/>
                <w:szCs w:val="20"/>
              </w:rPr>
              <w:t xml:space="preserve">(#) </w:t>
            </w:r>
            <w:proofErr w:type="spellStart"/>
            <w:r w:rsidRPr="00FC1AFF">
              <w:rPr>
                <w:b/>
                <w:color w:val="000000"/>
                <w:sz w:val="20"/>
                <w:szCs w:val="20"/>
              </w:rPr>
              <w:t>Unexercisable</w:t>
            </w:r>
            <w:proofErr w:type="spellEnd"/>
          </w:p>
        </w:tc>
        <w:tc>
          <w:tcPr>
            <w:tcW w:w="1813" w:type="dxa"/>
            <w:tcBorders>
              <w:top w:val="single" w:sz="4" w:space="0" w:color="auto"/>
              <w:left w:val="single" w:sz="4" w:space="0" w:color="auto"/>
              <w:bottom w:val="single" w:sz="4" w:space="0" w:color="auto"/>
              <w:right w:val="single" w:sz="4" w:space="0" w:color="auto"/>
            </w:tcBorders>
            <w:vAlign w:val="bottom"/>
            <w:hideMark/>
          </w:tcPr>
          <w:p w14:paraId="40C19218" w14:textId="77777777" w:rsidR="00FC1AFF" w:rsidRPr="00FC1AFF" w:rsidRDefault="00FC1AFF" w:rsidP="00FC1AFF">
            <w:pPr>
              <w:jc w:val="center"/>
              <w:rPr>
                <w:b/>
                <w:color w:val="000000"/>
                <w:sz w:val="20"/>
                <w:szCs w:val="20"/>
              </w:rPr>
            </w:pPr>
            <w:r w:rsidRPr="00FC1AFF">
              <w:rPr>
                <w:b/>
                <w:color w:val="000000"/>
                <w:sz w:val="20"/>
                <w:szCs w:val="20"/>
              </w:rPr>
              <w:t>Option Exercise Price ($)</w:t>
            </w:r>
          </w:p>
        </w:tc>
        <w:tc>
          <w:tcPr>
            <w:tcW w:w="1813" w:type="dxa"/>
            <w:tcBorders>
              <w:top w:val="single" w:sz="4" w:space="0" w:color="auto"/>
              <w:left w:val="single" w:sz="4" w:space="0" w:color="auto"/>
              <w:bottom w:val="single" w:sz="4" w:space="0" w:color="auto"/>
              <w:right w:val="single" w:sz="4" w:space="0" w:color="auto"/>
            </w:tcBorders>
            <w:vAlign w:val="bottom"/>
            <w:hideMark/>
          </w:tcPr>
          <w:p w14:paraId="5D0E81A7" w14:textId="77777777" w:rsidR="00FC1AFF" w:rsidRPr="00FC1AFF" w:rsidRDefault="00FC1AFF" w:rsidP="00FC1AFF">
            <w:pPr>
              <w:jc w:val="center"/>
              <w:rPr>
                <w:b/>
                <w:color w:val="000000"/>
                <w:sz w:val="20"/>
                <w:szCs w:val="20"/>
              </w:rPr>
            </w:pPr>
            <w:r w:rsidRPr="00FC1AFF">
              <w:rPr>
                <w:b/>
                <w:color w:val="000000"/>
                <w:sz w:val="20"/>
                <w:szCs w:val="20"/>
              </w:rPr>
              <w:t>Option Expiration Date</w:t>
            </w:r>
          </w:p>
        </w:tc>
      </w:tr>
      <w:tr w:rsidR="00FC1AFF" w:rsidRPr="00FC1AFF" w14:paraId="345B5E92" w14:textId="77777777" w:rsidTr="00FC1AFF">
        <w:trPr>
          <w:jc w:val="center"/>
        </w:trPr>
        <w:tc>
          <w:tcPr>
            <w:tcW w:w="2608" w:type="dxa"/>
            <w:tcBorders>
              <w:top w:val="single" w:sz="4" w:space="0" w:color="auto"/>
              <w:left w:val="single" w:sz="4" w:space="0" w:color="auto"/>
              <w:bottom w:val="single" w:sz="4" w:space="0" w:color="auto"/>
              <w:right w:val="single" w:sz="4" w:space="0" w:color="auto"/>
            </w:tcBorders>
          </w:tcPr>
          <w:p w14:paraId="1C8F0CB8" w14:textId="77777777" w:rsidR="00FC1AFF" w:rsidRPr="00FC1AFF" w:rsidRDefault="00FC1AFF" w:rsidP="00FC1AFF">
            <w:pPr>
              <w:jc w:val="both"/>
              <w:rPr>
                <w:color w:val="000000"/>
                <w:sz w:val="20"/>
                <w:szCs w:val="20"/>
              </w:rPr>
            </w:pPr>
            <w:r w:rsidRPr="00FC1AFF">
              <w:rPr>
                <w:color w:val="000000"/>
                <w:sz w:val="20"/>
                <w:szCs w:val="20"/>
              </w:rPr>
              <w:t>David Dodd</w:t>
            </w:r>
          </w:p>
          <w:p w14:paraId="36E7B02F" w14:textId="77777777" w:rsidR="00FC1AFF" w:rsidRPr="00FC1AFF" w:rsidRDefault="00FC1AFF" w:rsidP="00FC1AFF">
            <w:pPr>
              <w:jc w:val="both"/>
              <w:rPr>
                <w:color w:val="000000"/>
                <w:sz w:val="20"/>
                <w:szCs w:val="20"/>
              </w:rPr>
            </w:pPr>
          </w:p>
        </w:tc>
        <w:tc>
          <w:tcPr>
            <w:tcW w:w="1813" w:type="dxa"/>
            <w:tcBorders>
              <w:top w:val="single" w:sz="4" w:space="0" w:color="auto"/>
              <w:left w:val="single" w:sz="4" w:space="0" w:color="auto"/>
              <w:bottom w:val="single" w:sz="4" w:space="0" w:color="auto"/>
              <w:right w:val="single" w:sz="4" w:space="0" w:color="auto"/>
            </w:tcBorders>
            <w:hideMark/>
          </w:tcPr>
          <w:p w14:paraId="715EBD88" w14:textId="77777777" w:rsidR="00FC1AFF" w:rsidRPr="00FC1AFF" w:rsidRDefault="00FC1AFF" w:rsidP="00FC1AFF">
            <w:pPr>
              <w:tabs>
                <w:tab w:val="decimal" w:pos="1152"/>
              </w:tabs>
              <w:jc w:val="both"/>
              <w:rPr>
                <w:color w:val="000000"/>
                <w:sz w:val="20"/>
                <w:szCs w:val="20"/>
              </w:rPr>
            </w:pPr>
            <w:r w:rsidRPr="00FC1AFF">
              <w:rPr>
                <w:color w:val="000000"/>
                <w:sz w:val="20"/>
                <w:szCs w:val="20"/>
              </w:rPr>
              <w:t>-</w:t>
            </w:r>
          </w:p>
          <w:p w14:paraId="5A9A0F07" w14:textId="77777777" w:rsidR="00FC1AFF" w:rsidRPr="00FC1AFF" w:rsidRDefault="00FC1AFF" w:rsidP="00FC1AFF">
            <w:pPr>
              <w:tabs>
                <w:tab w:val="decimal" w:pos="1152"/>
              </w:tabs>
              <w:jc w:val="both"/>
              <w:rPr>
                <w:color w:val="000000"/>
                <w:sz w:val="20"/>
                <w:szCs w:val="20"/>
              </w:rPr>
            </w:pPr>
            <w:r w:rsidRPr="00FC1AFF">
              <w:rPr>
                <w:color w:val="000000"/>
                <w:sz w:val="20"/>
                <w:szCs w:val="20"/>
              </w:rPr>
              <w:t>91,000</w:t>
            </w:r>
          </w:p>
          <w:p w14:paraId="633F6CDD" w14:textId="77777777" w:rsidR="00FC1AFF" w:rsidRPr="00FC1AFF" w:rsidRDefault="00FC1AFF" w:rsidP="00FC1AFF">
            <w:pPr>
              <w:tabs>
                <w:tab w:val="decimal" w:pos="1152"/>
              </w:tabs>
              <w:jc w:val="both"/>
              <w:rPr>
                <w:color w:val="000000"/>
                <w:sz w:val="20"/>
                <w:szCs w:val="20"/>
              </w:rPr>
            </w:pPr>
            <w:r w:rsidRPr="00FC1AFF">
              <w:rPr>
                <w:color w:val="000000"/>
                <w:sz w:val="20"/>
                <w:szCs w:val="20"/>
              </w:rPr>
              <w:t>81,870 (3)</w:t>
            </w:r>
          </w:p>
        </w:tc>
        <w:tc>
          <w:tcPr>
            <w:tcW w:w="1813" w:type="dxa"/>
            <w:tcBorders>
              <w:top w:val="single" w:sz="4" w:space="0" w:color="auto"/>
              <w:left w:val="single" w:sz="4" w:space="0" w:color="auto"/>
              <w:bottom w:val="single" w:sz="4" w:space="0" w:color="auto"/>
              <w:right w:val="single" w:sz="4" w:space="0" w:color="auto"/>
            </w:tcBorders>
            <w:hideMark/>
          </w:tcPr>
          <w:p w14:paraId="134034A7" w14:textId="77777777" w:rsidR="00FC1AFF" w:rsidRPr="00FC1AFF" w:rsidRDefault="00FC1AFF" w:rsidP="00FC1AFF">
            <w:pPr>
              <w:tabs>
                <w:tab w:val="decimal" w:pos="1152"/>
              </w:tabs>
              <w:jc w:val="both"/>
              <w:rPr>
                <w:color w:val="000000"/>
                <w:sz w:val="20"/>
                <w:szCs w:val="20"/>
              </w:rPr>
            </w:pPr>
            <w:r w:rsidRPr="00FC1AFF">
              <w:rPr>
                <w:color w:val="000000"/>
                <w:sz w:val="20"/>
                <w:szCs w:val="20"/>
              </w:rPr>
              <w:t>103,000 (1)</w:t>
            </w:r>
          </w:p>
          <w:p w14:paraId="2130A065" w14:textId="77777777" w:rsidR="00FC1AFF" w:rsidRPr="00FC1AFF" w:rsidRDefault="00FC1AFF" w:rsidP="00FC1AFF">
            <w:pPr>
              <w:tabs>
                <w:tab w:val="decimal" w:pos="1152"/>
              </w:tabs>
              <w:jc w:val="both"/>
              <w:rPr>
                <w:color w:val="000000"/>
                <w:sz w:val="20"/>
                <w:szCs w:val="20"/>
              </w:rPr>
            </w:pPr>
            <w:r w:rsidRPr="00FC1AFF">
              <w:rPr>
                <w:color w:val="000000"/>
                <w:sz w:val="20"/>
                <w:szCs w:val="20"/>
              </w:rPr>
              <w:t>182,000 (2)</w:t>
            </w:r>
          </w:p>
          <w:p w14:paraId="6185FF3B" w14:textId="77777777" w:rsidR="00FC1AFF" w:rsidRPr="00FC1AFF" w:rsidRDefault="00FC1AFF" w:rsidP="00FC1AFF">
            <w:pPr>
              <w:tabs>
                <w:tab w:val="decimal" w:pos="1152"/>
              </w:tabs>
              <w:jc w:val="both"/>
              <w:rPr>
                <w:color w:val="000000"/>
                <w:sz w:val="20"/>
                <w:szCs w:val="20"/>
              </w:rPr>
            </w:pPr>
            <w:r w:rsidRPr="00FC1AFF">
              <w:rPr>
                <w:color w:val="000000"/>
                <w:sz w:val="20"/>
                <w:szCs w:val="20"/>
              </w:rPr>
              <w:t>-</w:t>
            </w:r>
          </w:p>
        </w:tc>
        <w:tc>
          <w:tcPr>
            <w:tcW w:w="1813" w:type="dxa"/>
            <w:tcBorders>
              <w:top w:val="single" w:sz="4" w:space="0" w:color="auto"/>
              <w:left w:val="single" w:sz="4" w:space="0" w:color="auto"/>
              <w:bottom w:val="single" w:sz="4" w:space="0" w:color="auto"/>
              <w:right w:val="single" w:sz="4" w:space="0" w:color="auto"/>
            </w:tcBorders>
            <w:hideMark/>
          </w:tcPr>
          <w:p w14:paraId="6C9D71A4" w14:textId="77777777" w:rsidR="00FC1AFF" w:rsidRPr="00FC1AFF" w:rsidRDefault="00FC1AFF" w:rsidP="00FC1AFF">
            <w:pPr>
              <w:tabs>
                <w:tab w:val="decimal" w:pos="856"/>
              </w:tabs>
              <w:jc w:val="both"/>
              <w:rPr>
                <w:color w:val="000000"/>
                <w:sz w:val="20"/>
                <w:szCs w:val="20"/>
              </w:rPr>
            </w:pPr>
            <w:r w:rsidRPr="00FC1AFF">
              <w:rPr>
                <w:color w:val="000000"/>
                <w:sz w:val="20"/>
                <w:szCs w:val="20"/>
              </w:rPr>
              <w:t>$    3.82</w:t>
            </w:r>
          </w:p>
          <w:p w14:paraId="6F1DA067" w14:textId="77777777" w:rsidR="00FC1AFF" w:rsidRPr="00FC1AFF" w:rsidRDefault="00FC1AFF" w:rsidP="00FC1AFF">
            <w:pPr>
              <w:tabs>
                <w:tab w:val="decimal" w:pos="856"/>
              </w:tabs>
              <w:jc w:val="both"/>
              <w:rPr>
                <w:color w:val="000000"/>
                <w:sz w:val="20"/>
                <w:szCs w:val="20"/>
              </w:rPr>
            </w:pPr>
            <w:r w:rsidRPr="00FC1AFF">
              <w:rPr>
                <w:color w:val="000000"/>
                <w:sz w:val="20"/>
                <w:szCs w:val="20"/>
              </w:rPr>
              <w:t>2.79</w:t>
            </w:r>
          </w:p>
          <w:p w14:paraId="5E9F8B1F" w14:textId="77777777" w:rsidR="00FC1AFF" w:rsidRPr="00FC1AFF" w:rsidRDefault="00FC1AFF" w:rsidP="00FC1AFF">
            <w:pPr>
              <w:tabs>
                <w:tab w:val="decimal" w:pos="856"/>
              </w:tabs>
              <w:jc w:val="both"/>
              <w:rPr>
                <w:color w:val="000000"/>
                <w:sz w:val="20"/>
                <w:szCs w:val="20"/>
              </w:rPr>
            </w:pPr>
            <w:r w:rsidRPr="00FC1AFF">
              <w:rPr>
                <w:color w:val="000000"/>
                <w:sz w:val="20"/>
                <w:szCs w:val="20"/>
              </w:rPr>
              <w:t>5.00</w:t>
            </w:r>
          </w:p>
        </w:tc>
        <w:tc>
          <w:tcPr>
            <w:tcW w:w="1813" w:type="dxa"/>
            <w:tcBorders>
              <w:top w:val="single" w:sz="4" w:space="0" w:color="auto"/>
              <w:left w:val="single" w:sz="4" w:space="0" w:color="auto"/>
              <w:bottom w:val="single" w:sz="4" w:space="0" w:color="auto"/>
              <w:right w:val="single" w:sz="4" w:space="0" w:color="auto"/>
            </w:tcBorders>
            <w:hideMark/>
          </w:tcPr>
          <w:p w14:paraId="29A92045" w14:textId="77777777" w:rsidR="00FC1AFF" w:rsidRPr="00FC1AFF" w:rsidRDefault="00FC1AFF" w:rsidP="00FC1AFF">
            <w:pPr>
              <w:tabs>
                <w:tab w:val="center" w:pos="594"/>
              </w:tabs>
              <w:jc w:val="center"/>
              <w:rPr>
                <w:color w:val="000000"/>
                <w:sz w:val="20"/>
                <w:szCs w:val="20"/>
              </w:rPr>
            </w:pPr>
            <w:r w:rsidRPr="00FC1AFF">
              <w:rPr>
                <w:color w:val="000000"/>
                <w:sz w:val="20"/>
                <w:szCs w:val="20"/>
              </w:rPr>
              <w:t>12/7/31</w:t>
            </w:r>
          </w:p>
          <w:p w14:paraId="5847C225" w14:textId="77777777" w:rsidR="00FC1AFF" w:rsidRPr="00FC1AFF" w:rsidRDefault="00FC1AFF" w:rsidP="00FC1AFF">
            <w:pPr>
              <w:tabs>
                <w:tab w:val="center" w:pos="594"/>
              </w:tabs>
              <w:jc w:val="center"/>
              <w:rPr>
                <w:color w:val="000000"/>
                <w:sz w:val="20"/>
                <w:szCs w:val="20"/>
              </w:rPr>
            </w:pPr>
            <w:r w:rsidRPr="00FC1AFF">
              <w:rPr>
                <w:color w:val="000000"/>
                <w:sz w:val="20"/>
                <w:szCs w:val="20"/>
              </w:rPr>
              <w:t>12/2/30</w:t>
            </w:r>
          </w:p>
          <w:p w14:paraId="53EFDF6E" w14:textId="77777777" w:rsidR="00FC1AFF" w:rsidRPr="00FC1AFF" w:rsidRDefault="00FC1AFF" w:rsidP="00FC1AFF">
            <w:pPr>
              <w:tabs>
                <w:tab w:val="center" w:pos="594"/>
              </w:tabs>
              <w:jc w:val="center"/>
              <w:rPr>
                <w:color w:val="000000"/>
                <w:sz w:val="20"/>
                <w:szCs w:val="20"/>
              </w:rPr>
            </w:pPr>
            <w:r w:rsidRPr="00FC1AFF">
              <w:rPr>
                <w:color w:val="000000"/>
                <w:sz w:val="20"/>
                <w:szCs w:val="20"/>
              </w:rPr>
              <w:t>9/29/25</w:t>
            </w:r>
          </w:p>
        </w:tc>
      </w:tr>
      <w:tr w:rsidR="00FC1AFF" w:rsidRPr="00FC1AFF" w14:paraId="7A4B4330" w14:textId="77777777" w:rsidTr="00FC1AFF">
        <w:trPr>
          <w:jc w:val="center"/>
        </w:trPr>
        <w:tc>
          <w:tcPr>
            <w:tcW w:w="2608" w:type="dxa"/>
            <w:tcBorders>
              <w:top w:val="single" w:sz="4" w:space="0" w:color="auto"/>
              <w:left w:val="single" w:sz="4" w:space="0" w:color="auto"/>
              <w:bottom w:val="single" w:sz="4" w:space="0" w:color="auto"/>
              <w:right w:val="single" w:sz="4" w:space="0" w:color="auto"/>
            </w:tcBorders>
          </w:tcPr>
          <w:p w14:paraId="3047D830" w14:textId="77777777" w:rsidR="00FC1AFF" w:rsidRPr="00FC1AFF" w:rsidRDefault="00FC1AFF" w:rsidP="00FC1AFF">
            <w:pPr>
              <w:jc w:val="both"/>
              <w:rPr>
                <w:color w:val="000000"/>
                <w:sz w:val="20"/>
                <w:szCs w:val="20"/>
              </w:rPr>
            </w:pPr>
            <w:r w:rsidRPr="00FC1AFF">
              <w:rPr>
                <w:color w:val="000000"/>
                <w:sz w:val="20"/>
                <w:szCs w:val="20"/>
              </w:rPr>
              <w:t>Mark Reynolds</w:t>
            </w:r>
          </w:p>
          <w:p w14:paraId="4F3D7869" w14:textId="77777777" w:rsidR="00FC1AFF" w:rsidRPr="00FC1AFF" w:rsidRDefault="00FC1AFF" w:rsidP="00FC1AFF">
            <w:pPr>
              <w:jc w:val="both"/>
              <w:rPr>
                <w:color w:val="000000"/>
                <w:sz w:val="20"/>
                <w:szCs w:val="20"/>
              </w:rPr>
            </w:pPr>
          </w:p>
        </w:tc>
        <w:tc>
          <w:tcPr>
            <w:tcW w:w="1813" w:type="dxa"/>
            <w:tcBorders>
              <w:top w:val="single" w:sz="4" w:space="0" w:color="auto"/>
              <w:left w:val="single" w:sz="4" w:space="0" w:color="auto"/>
              <w:bottom w:val="single" w:sz="4" w:space="0" w:color="auto"/>
              <w:right w:val="single" w:sz="4" w:space="0" w:color="auto"/>
            </w:tcBorders>
            <w:hideMark/>
          </w:tcPr>
          <w:p w14:paraId="04413F39" w14:textId="77777777" w:rsidR="00FC1AFF" w:rsidRPr="00FC1AFF" w:rsidRDefault="00FC1AFF" w:rsidP="00FC1AFF">
            <w:pPr>
              <w:tabs>
                <w:tab w:val="decimal" w:pos="1152"/>
              </w:tabs>
              <w:jc w:val="both"/>
              <w:rPr>
                <w:color w:val="000000"/>
                <w:sz w:val="20"/>
                <w:szCs w:val="20"/>
              </w:rPr>
            </w:pPr>
            <w:r w:rsidRPr="00FC1AFF">
              <w:rPr>
                <w:color w:val="000000"/>
                <w:sz w:val="20"/>
                <w:szCs w:val="20"/>
              </w:rPr>
              <w:t>-</w:t>
            </w:r>
          </w:p>
          <w:p w14:paraId="56231079" w14:textId="77777777" w:rsidR="00FC1AFF" w:rsidRPr="00FC1AFF" w:rsidRDefault="00FC1AFF" w:rsidP="00FC1AFF">
            <w:pPr>
              <w:tabs>
                <w:tab w:val="decimal" w:pos="1152"/>
              </w:tabs>
              <w:jc w:val="both"/>
              <w:rPr>
                <w:color w:val="000000"/>
                <w:sz w:val="20"/>
                <w:szCs w:val="20"/>
              </w:rPr>
            </w:pPr>
            <w:r w:rsidRPr="00FC1AFF">
              <w:rPr>
                <w:color w:val="000000"/>
                <w:sz w:val="20"/>
                <w:szCs w:val="20"/>
              </w:rPr>
              <w:t>42,666</w:t>
            </w:r>
          </w:p>
          <w:p w14:paraId="1A3BD697" w14:textId="77777777" w:rsidR="00FC1AFF" w:rsidRPr="00FC1AFF" w:rsidRDefault="00FC1AFF" w:rsidP="00FC1AFF">
            <w:pPr>
              <w:tabs>
                <w:tab w:val="decimal" w:pos="1152"/>
              </w:tabs>
              <w:jc w:val="both"/>
              <w:rPr>
                <w:color w:val="000000"/>
                <w:sz w:val="20"/>
                <w:szCs w:val="20"/>
              </w:rPr>
            </w:pPr>
            <w:r w:rsidRPr="00FC1AFF">
              <w:rPr>
                <w:color w:val="000000"/>
                <w:sz w:val="20"/>
                <w:szCs w:val="20"/>
              </w:rPr>
              <w:t>60,184 (3)</w:t>
            </w:r>
          </w:p>
        </w:tc>
        <w:tc>
          <w:tcPr>
            <w:tcW w:w="1813" w:type="dxa"/>
            <w:tcBorders>
              <w:top w:val="single" w:sz="4" w:space="0" w:color="auto"/>
              <w:left w:val="single" w:sz="4" w:space="0" w:color="auto"/>
              <w:bottom w:val="single" w:sz="4" w:space="0" w:color="auto"/>
              <w:right w:val="single" w:sz="4" w:space="0" w:color="auto"/>
            </w:tcBorders>
            <w:hideMark/>
          </w:tcPr>
          <w:p w14:paraId="04A4102A" w14:textId="77777777" w:rsidR="00FC1AFF" w:rsidRPr="00FC1AFF" w:rsidRDefault="00FC1AFF" w:rsidP="00FC1AFF">
            <w:pPr>
              <w:tabs>
                <w:tab w:val="decimal" w:pos="1152"/>
              </w:tabs>
              <w:jc w:val="both"/>
              <w:rPr>
                <w:color w:val="000000"/>
                <w:sz w:val="20"/>
                <w:szCs w:val="20"/>
              </w:rPr>
            </w:pPr>
            <w:r w:rsidRPr="00FC1AFF">
              <w:rPr>
                <w:color w:val="000000"/>
                <w:sz w:val="20"/>
                <w:szCs w:val="20"/>
              </w:rPr>
              <w:t>48,200 (1)</w:t>
            </w:r>
          </w:p>
          <w:p w14:paraId="250CBC4E" w14:textId="77777777" w:rsidR="00FC1AFF" w:rsidRPr="00FC1AFF" w:rsidRDefault="00FC1AFF" w:rsidP="00FC1AFF">
            <w:pPr>
              <w:tabs>
                <w:tab w:val="decimal" w:pos="1152"/>
              </w:tabs>
              <w:jc w:val="both"/>
              <w:rPr>
                <w:color w:val="000000"/>
                <w:sz w:val="20"/>
                <w:szCs w:val="20"/>
              </w:rPr>
            </w:pPr>
            <w:r w:rsidRPr="00FC1AFF">
              <w:rPr>
                <w:color w:val="000000"/>
                <w:sz w:val="20"/>
                <w:szCs w:val="20"/>
              </w:rPr>
              <w:t>85,334 (2)</w:t>
            </w:r>
          </w:p>
          <w:p w14:paraId="74A0B3C8" w14:textId="77777777" w:rsidR="00FC1AFF" w:rsidRPr="00FC1AFF" w:rsidRDefault="00FC1AFF" w:rsidP="00FC1AFF">
            <w:pPr>
              <w:tabs>
                <w:tab w:val="decimal" w:pos="1152"/>
              </w:tabs>
              <w:jc w:val="both"/>
              <w:rPr>
                <w:color w:val="000000"/>
                <w:sz w:val="20"/>
                <w:szCs w:val="20"/>
              </w:rPr>
            </w:pPr>
            <w:r w:rsidRPr="00FC1AFF">
              <w:rPr>
                <w:color w:val="000000"/>
                <w:sz w:val="20"/>
                <w:szCs w:val="20"/>
              </w:rPr>
              <w:t>-</w:t>
            </w:r>
          </w:p>
        </w:tc>
        <w:tc>
          <w:tcPr>
            <w:tcW w:w="1813" w:type="dxa"/>
            <w:tcBorders>
              <w:top w:val="single" w:sz="4" w:space="0" w:color="auto"/>
              <w:left w:val="single" w:sz="4" w:space="0" w:color="auto"/>
              <w:bottom w:val="single" w:sz="4" w:space="0" w:color="auto"/>
              <w:right w:val="single" w:sz="4" w:space="0" w:color="auto"/>
            </w:tcBorders>
            <w:hideMark/>
          </w:tcPr>
          <w:p w14:paraId="541DE961" w14:textId="77777777" w:rsidR="00FC1AFF" w:rsidRPr="00FC1AFF" w:rsidRDefault="00FC1AFF" w:rsidP="00FC1AFF">
            <w:pPr>
              <w:tabs>
                <w:tab w:val="decimal" w:pos="856"/>
              </w:tabs>
              <w:jc w:val="both"/>
              <w:rPr>
                <w:color w:val="000000"/>
                <w:sz w:val="20"/>
                <w:szCs w:val="20"/>
              </w:rPr>
            </w:pPr>
            <w:r w:rsidRPr="00FC1AFF">
              <w:rPr>
                <w:color w:val="000000"/>
                <w:sz w:val="20"/>
                <w:szCs w:val="20"/>
              </w:rPr>
              <w:t>3.82</w:t>
            </w:r>
          </w:p>
          <w:p w14:paraId="1A8F1378" w14:textId="77777777" w:rsidR="00FC1AFF" w:rsidRPr="00FC1AFF" w:rsidRDefault="00FC1AFF" w:rsidP="00FC1AFF">
            <w:pPr>
              <w:tabs>
                <w:tab w:val="decimal" w:pos="856"/>
              </w:tabs>
              <w:jc w:val="both"/>
              <w:rPr>
                <w:color w:val="000000"/>
                <w:sz w:val="20"/>
                <w:szCs w:val="20"/>
              </w:rPr>
            </w:pPr>
            <w:r w:rsidRPr="00FC1AFF">
              <w:rPr>
                <w:color w:val="000000"/>
                <w:sz w:val="20"/>
                <w:szCs w:val="20"/>
              </w:rPr>
              <w:t>2.79</w:t>
            </w:r>
          </w:p>
          <w:p w14:paraId="7DEAA547" w14:textId="77777777" w:rsidR="00FC1AFF" w:rsidRPr="00FC1AFF" w:rsidRDefault="00FC1AFF" w:rsidP="00FC1AFF">
            <w:pPr>
              <w:tabs>
                <w:tab w:val="decimal" w:pos="856"/>
              </w:tabs>
              <w:jc w:val="both"/>
              <w:rPr>
                <w:color w:val="000000"/>
                <w:sz w:val="20"/>
                <w:szCs w:val="20"/>
              </w:rPr>
            </w:pPr>
            <w:r w:rsidRPr="00FC1AFF">
              <w:rPr>
                <w:color w:val="000000"/>
                <w:sz w:val="20"/>
                <w:szCs w:val="20"/>
              </w:rPr>
              <w:t>5.00</w:t>
            </w:r>
          </w:p>
        </w:tc>
        <w:tc>
          <w:tcPr>
            <w:tcW w:w="1813" w:type="dxa"/>
            <w:tcBorders>
              <w:top w:val="single" w:sz="4" w:space="0" w:color="auto"/>
              <w:left w:val="single" w:sz="4" w:space="0" w:color="auto"/>
              <w:bottom w:val="single" w:sz="4" w:space="0" w:color="auto"/>
              <w:right w:val="single" w:sz="4" w:space="0" w:color="auto"/>
            </w:tcBorders>
            <w:hideMark/>
          </w:tcPr>
          <w:p w14:paraId="2DD387F6" w14:textId="77777777" w:rsidR="00FC1AFF" w:rsidRPr="00FC1AFF" w:rsidRDefault="00FC1AFF" w:rsidP="00FC1AFF">
            <w:pPr>
              <w:tabs>
                <w:tab w:val="center" w:pos="594"/>
              </w:tabs>
              <w:jc w:val="center"/>
              <w:rPr>
                <w:color w:val="000000"/>
                <w:sz w:val="20"/>
                <w:szCs w:val="20"/>
              </w:rPr>
            </w:pPr>
            <w:r w:rsidRPr="00FC1AFF">
              <w:rPr>
                <w:color w:val="000000"/>
                <w:sz w:val="20"/>
                <w:szCs w:val="20"/>
              </w:rPr>
              <w:t>12/7/31</w:t>
            </w:r>
          </w:p>
          <w:p w14:paraId="2713A2E3" w14:textId="77777777" w:rsidR="00FC1AFF" w:rsidRPr="00FC1AFF" w:rsidRDefault="00FC1AFF" w:rsidP="00FC1AFF">
            <w:pPr>
              <w:tabs>
                <w:tab w:val="center" w:pos="594"/>
              </w:tabs>
              <w:jc w:val="center"/>
              <w:rPr>
                <w:color w:val="000000"/>
                <w:sz w:val="20"/>
                <w:szCs w:val="20"/>
              </w:rPr>
            </w:pPr>
            <w:r w:rsidRPr="00FC1AFF">
              <w:rPr>
                <w:color w:val="000000"/>
                <w:sz w:val="20"/>
                <w:szCs w:val="20"/>
              </w:rPr>
              <w:t>12/2/30</w:t>
            </w:r>
          </w:p>
          <w:p w14:paraId="375CB2FC" w14:textId="77777777" w:rsidR="00FC1AFF" w:rsidRPr="00FC1AFF" w:rsidRDefault="00FC1AFF" w:rsidP="00FC1AFF">
            <w:pPr>
              <w:tabs>
                <w:tab w:val="center" w:pos="594"/>
              </w:tabs>
              <w:jc w:val="center"/>
              <w:rPr>
                <w:color w:val="000000"/>
                <w:sz w:val="20"/>
                <w:szCs w:val="20"/>
              </w:rPr>
            </w:pPr>
            <w:r w:rsidRPr="00FC1AFF">
              <w:rPr>
                <w:color w:val="000000"/>
                <w:sz w:val="20"/>
                <w:szCs w:val="20"/>
              </w:rPr>
              <w:t>9/29/25</w:t>
            </w:r>
          </w:p>
        </w:tc>
      </w:tr>
      <w:tr w:rsidR="00FC1AFF" w:rsidRPr="00FC1AFF" w14:paraId="04AADB62" w14:textId="77777777" w:rsidTr="00FC1AFF">
        <w:trPr>
          <w:jc w:val="center"/>
        </w:trPr>
        <w:tc>
          <w:tcPr>
            <w:tcW w:w="2608" w:type="dxa"/>
            <w:tcBorders>
              <w:top w:val="single" w:sz="4" w:space="0" w:color="auto"/>
              <w:left w:val="single" w:sz="4" w:space="0" w:color="auto"/>
              <w:bottom w:val="single" w:sz="4" w:space="0" w:color="auto"/>
              <w:right w:val="single" w:sz="4" w:space="0" w:color="auto"/>
            </w:tcBorders>
          </w:tcPr>
          <w:p w14:paraId="345D79E1" w14:textId="77777777" w:rsidR="00FC1AFF" w:rsidRPr="00FC1AFF" w:rsidRDefault="00FC1AFF" w:rsidP="00FC1AFF">
            <w:pPr>
              <w:jc w:val="both"/>
              <w:rPr>
                <w:color w:val="000000"/>
                <w:sz w:val="20"/>
                <w:szCs w:val="20"/>
              </w:rPr>
            </w:pPr>
            <w:r w:rsidRPr="00FC1AFF">
              <w:rPr>
                <w:color w:val="000000"/>
                <w:sz w:val="20"/>
                <w:szCs w:val="20"/>
              </w:rPr>
              <w:t>Mark Newman, PhD</w:t>
            </w:r>
          </w:p>
        </w:tc>
        <w:tc>
          <w:tcPr>
            <w:tcW w:w="1813" w:type="dxa"/>
            <w:tcBorders>
              <w:top w:val="single" w:sz="4" w:space="0" w:color="auto"/>
              <w:left w:val="single" w:sz="4" w:space="0" w:color="auto"/>
              <w:bottom w:val="single" w:sz="4" w:space="0" w:color="auto"/>
              <w:right w:val="single" w:sz="4" w:space="0" w:color="auto"/>
            </w:tcBorders>
          </w:tcPr>
          <w:p w14:paraId="011986E2" w14:textId="77777777" w:rsidR="00FC1AFF" w:rsidRPr="00FC1AFF" w:rsidRDefault="00FC1AFF" w:rsidP="00FC1AFF">
            <w:pPr>
              <w:tabs>
                <w:tab w:val="decimal" w:pos="1152"/>
              </w:tabs>
              <w:jc w:val="both"/>
              <w:rPr>
                <w:color w:val="000000"/>
                <w:sz w:val="20"/>
                <w:szCs w:val="20"/>
              </w:rPr>
            </w:pPr>
            <w:r w:rsidRPr="00FC1AFF">
              <w:rPr>
                <w:color w:val="000000"/>
                <w:sz w:val="20"/>
                <w:szCs w:val="20"/>
              </w:rPr>
              <w:t>-</w:t>
            </w:r>
          </w:p>
          <w:p w14:paraId="4B582CEB" w14:textId="77777777" w:rsidR="00FC1AFF" w:rsidRPr="00FC1AFF" w:rsidRDefault="00FC1AFF" w:rsidP="00FC1AFF">
            <w:pPr>
              <w:tabs>
                <w:tab w:val="decimal" w:pos="1152"/>
              </w:tabs>
              <w:jc w:val="both"/>
              <w:rPr>
                <w:color w:val="000000"/>
                <w:sz w:val="20"/>
                <w:szCs w:val="20"/>
              </w:rPr>
            </w:pPr>
            <w:r w:rsidRPr="00FC1AFF">
              <w:rPr>
                <w:color w:val="000000"/>
                <w:sz w:val="20"/>
                <w:szCs w:val="20"/>
              </w:rPr>
              <w:t>11,666</w:t>
            </w:r>
          </w:p>
        </w:tc>
        <w:tc>
          <w:tcPr>
            <w:tcW w:w="1813" w:type="dxa"/>
            <w:tcBorders>
              <w:top w:val="single" w:sz="4" w:space="0" w:color="auto"/>
              <w:left w:val="single" w:sz="4" w:space="0" w:color="auto"/>
              <w:bottom w:val="single" w:sz="4" w:space="0" w:color="auto"/>
              <w:right w:val="single" w:sz="4" w:space="0" w:color="auto"/>
            </w:tcBorders>
          </w:tcPr>
          <w:p w14:paraId="10C022A5" w14:textId="77777777" w:rsidR="00FC1AFF" w:rsidRPr="00FC1AFF" w:rsidRDefault="00FC1AFF" w:rsidP="00FC1AFF">
            <w:pPr>
              <w:tabs>
                <w:tab w:val="decimal" w:pos="1152"/>
              </w:tabs>
              <w:jc w:val="both"/>
              <w:rPr>
                <w:color w:val="000000"/>
                <w:sz w:val="20"/>
                <w:szCs w:val="20"/>
              </w:rPr>
            </w:pPr>
            <w:r w:rsidRPr="00FC1AFF">
              <w:rPr>
                <w:color w:val="000000"/>
                <w:sz w:val="20"/>
                <w:szCs w:val="20"/>
              </w:rPr>
              <w:t>25,700 (1)</w:t>
            </w:r>
          </w:p>
          <w:p w14:paraId="35FDC8C4" w14:textId="77777777" w:rsidR="00FC1AFF" w:rsidRPr="00FC1AFF" w:rsidRDefault="00FC1AFF" w:rsidP="00FC1AFF">
            <w:pPr>
              <w:tabs>
                <w:tab w:val="decimal" w:pos="1152"/>
              </w:tabs>
              <w:jc w:val="both"/>
              <w:rPr>
                <w:color w:val="000000"/>
                <w:sz w:val="20"/>
                <w:szCs w:val="20"/>
              </w:rPr>
            </w:pPr>
            <w:r w:rsidRPr="00FC1AFF">
              <w:rPr>
                <w:color w:val="000000"/>
                <w:sz w:val="20"/>
                <w:szCs w:val="20"/>
              </w:rPr>
              <w:t>23,334 (2)</w:t>
            </w:r>
          </w:p>
        </w:tc>
        <w:tc>
          <w:tcPr>
            <w:tcW w:w="1813" w:type="dxa"/>
            <w:tcBorders>
              <w:top w:val="single" w:sz="4" w:space="0" w:color="auto"/>
              <w:left w:val="single" w:sz="4" w:space="0" w:color="auto"/>
              <w:bottom w:val="single" w:sz="4" w:space="0" w:color="auto"/>
              <w:right w:val="single" w:sz="4" w:space="0" w:color="auto"/>
            </w:tcBorders>
          </w:tcPr>
          <w:p w14:paraId="640BE337" w14:textId="77777777" w:rsidR="00FC1AFF" w:rsidRPr="00FC1AFF" w:rsidRDefault="00FC1AFF" w:rsidP="00FC1AFF">
            <w:pPr>
              <w:tabs>
                <w:tab w:val="decimal" w:pos="856"/>
              </w:tabs>
              <w:jc w:val="both"/>
              <w:rPr>
                <w:color w:val="000000"/>
                <w:sz w:val="20"/>
                <w:szCs w:val="20"/>
              </w:rPr>
            </w:pPr>
            <w:r w:rsidRPr="00FC1AFF">
              <w:rPr>
                <w:color w:val="000000"/>
                <w:sz w:val="20"/>
                <w:szCs w:val="20"/>
              </w:rPr>
              <w:t>3.82</w:t>
            </w:r>
          </w:p>
          <w:p w14:paraId="371890EB" w14:textId="77777777" w:rsidR="00FC1AFF" w:rsidRPr="00FC1AFF" w:rsidRDefault="00FC1AFF" w:rsidP="00FC1AFF">
            <w:pPr>
              <w:tabs>
                <w:tab w:val="decimal" w:pos="856"/>
              </w:tabs>
              <w:jc w:val="both"/>
              <w:rPr>
                <w:color w:val="000000"/>
                <w:sz w:val="20"/>
                <w:szCs w:val="20"/>
              </w:rPr>
            </w:pPr>
            <w:r w:rsidRPr="00FC1AFF">
              <w:rPr>
                <w:color w:val="000000"/>
                <w:sz w:val="20"/>
                <w:szCs w:val="20"/>
              </w:rPr>
              <w:t>2.79</w:t>
            </w:r>
          </w:p>
        </w:tc>
        <w:tc>
          <w:tcPr>
            <w:tcW w:w="1813" w:type="dxa"/>
            <w:tcBorders>
              <w:top w:val="single" w:sz="4" w:space="0" w:color="auto"/>
              <w:left w:val="single" w:sz="4" w:space="0" w:color="auto"/>
              <w:bottom w:val="single" w:sz="4" w:space="0" w:color="auto"/>
              <w:right w:val="single" w:sz="4" w:space="0" w:color="auto"/>
            </w:tcBorders>
          </w:tcPr>
          <w:p w14:paraId="447C5C57" w14:textId="77777777" w:rsidR="00FC1AFF" w:rsidRPr="00FC1AFF" w:rsidRDefault="00FC1AFF" w:rsidP="00FC1AFF">
            <w:pPr>
              <w:tabs>
                <w:tab w:val="center" w:pos="594"/>
              </w:tabs>
              <w:jc w:val="center"/>
              <w:rPr>
                <w:color w:val="000000"/>
                <w:sz w:val="20"/>
                <w:szCs w:val="20"/>
              </w:rPr>
            </w:pPr>
            <w:r w:rsidRPr="00FC1AFF">
              <w:rPr>
                <w:color w:val="000000"/>
                <w:sz w:val="20"/>
                <w:szCs w:val="20"/>
              </w:rPr>
              <w:t>1287/31</w:t>
            </w:r>
          </w:p>
          <w:p w14:paraId="71EF4EB1" w14:textId="77777777" w:rsidR="00FC1AFF" w:rsidRPr="00FC1AFF" w:rsidRDefault="00FC1AFF" w:rsidP="00FC1AFF">
            <w:pPr>
              <w:tabs>
                <w:tab w:val="center" w:pos="594"/>
              </w:tabs>
              <w:jc w:val="center"/>
              <w:rPr>
                <w:color w:val="000000"/>
                <w:sz w:val="20"/>
                <w:szCs w:val="20"/>
              </w:rPr>
            </w:pPr>
            <w:r w:rsidRPr="00FC1AFF">
              <w:rPr>
                <w:color w:val="000000"/>
                <w:sz w:val="20"/>
                <w:szCs w:val="20"/>
              </w:rPr>
              <w:t>12/2/30</w:t>
            </w:r>
          </w:p>
        </w:tc>
      </w:tr>
    </w:tbl>
    <w:p w14:paraId="29AEF47A" w14:textId="77777777" w:rsidR="00FC1AFF" w:rsidRPr="00FC1AFF" w:rsidRDefault="00FC1AFF" w:rsidP="00C73E0F">
      <w:pPr>
        <w:numPr>
          <w:ilvl w:val="0"/>
          <w:numId w:val="15"/>
        </w:numPr>
        <w:autoSpaceDE w:val="0"/>
        <w:autoSpaceDN w:val="0"/>
        <w:adjustRightInd w:val="0"/>
        <w:ind w:left="360"/>
        <w:jc w:val="both"/>
        <w:rPr>
          <w:sz w:val="20"/>
          <w:szCs w:val="20"/>
        </w:rPr>
      </w:pPr>
      <w:bookmarkStart w:id="43" w:name="_Hlk92447349"/>
      <w:r w:rsidRPr="00FC1AFF">
        <w:rPr>
          <w:sz w:val="20"/>
          <w:szCs w:val="20"/>
        </w:rPr>
        <w:t xml:space="preserve">The </w:t>
      </w:r>
      <w:proofErr w:type="spellStart"/>
      <w:r w:rsidRPr="00FC1AFF">
        <w:rPr>
          <w:sz w:val="20"/>
          <w:szCs w:val="20"/>
        </w:rPr>
        <w:t>unexercisable</w:t>
      </w:r>
      <w:proofErr w:type="spellEnd"/>
      <w:r w:rsidRPr="00FC1AFF">
        <w:rPr>
          <w:sz w:val="20"/>
          <w:szCs w:val="20"/>
        </w:rPr>
        <w:t xml:space="preserve"> portion of th</w:t>
      </w:r>
      <w:bookmarkEnd w:id="43"/>
      <w:r w:rsidRPr="00FC1AFF">
        <w:rPr>
          <w:sz w:val="20"/>
          <w:szCs w:val="20"/>
        </w:rPr>
        <w:t>ese stock options vest and become exercisable in equal installments on December 7, 2022, 2023 and 2024.</w:t>
      </w:r>
    </w:p>
    <w:p w14:paraId="37E5B6CD" w14:textId="77777777" w:rsidR="00FC1AFF" w:rsidRPr="00FC1AFF" w:rsidRDefault="00FC1AFF" w:rsidP="00C73E0F">
      <w:pPr>
        <w:numPr>
          <w:ilvl w:val="0"/>
          <w:numId w:val="15"/>
        </w:numPr>
        <w:autoSpaceDE w:val="0"/>
        <w:autoSpaceDN w:val="0"/>
        <w:adjustRightInd w:val="0"/>
        <w:ind w:left="360"/>
        <w:jc w:val="both"/>
        <w:rPr>
          <w:sz w:val="20"/>
          <w:szCs w:val="20"/>
        </w:rPr>
      </w:pPr>
      <w:bookmarkStart w:id="44" w:name="_Hlk92446922"/>
      <w:r w:rsidRPr="00FC1AFF">
        <w:rPr>
          <w:sz w:val="20"/>
          <w:szCs w:val="20"/>
        </w:rPr>
        <w:t xml:space="preserve">The </w:t>
      </w:r>
      <w:proofErr w:type="spellStart"/>
      <w:r w:rsidRPr="00FC1AFF">
        <w:rPr>
          <w:sz w:val="20"/>
          <w:szCs w:val="20"/>
        </w:rPr>
        <w:t>unexercisable</w:t>
      </w:r>
      <w:proofErr w:type="spellEnd"/>
      <w:r w:rsidRPr="00FC1AFF">
        <w:rPr>
          <w:sz w:val="20"/>
          <w:szCs w:val="20"/>
        </w:rPr>
        <w:t xml:space="preserve"> portion of these stock options vest and become exercisable in equal installments on December 2, 2022 and 2023.</w:t>
      </w:r>
    </w:p>
    <w:bookmarkEnd w:id="44"/>
    <w:p w14:paraId="02A29F15" w14:textId="77777777" w:rsidR="00FC1AFF" w:rsidRPr="00FC1AFF" w:rsidRDefault="00FC1AFF" w:rsidP="00C73E0F">
      <w:pPr>
        <w:numPr>
          <w:ilvl w:val="0"/>
          <w:numId w:val="15"/>
        </w:numPr>
        <w:autoSpaceDE w:val="0"/>
        <w:autoSpaceDN w:val="0"/>
        <w:adjustRightInd w:val="0"/>
        <w:ind w:left="360"/>
        <w:jc w:val="both"/>
        <w:rPr>
          <w:sz w:val="20"/>
          <w:szCs w:val="20"/>
        </w:rPr>
      </w:pPr>
      <w:r w:rsidRPr="00FC1AFF">
        <w:rPr>
          <w:sz w:val="20"/>
          <w:szCs w:val="20"/>
        </w:rPr>
        <w:t xml:space="preserve">Warrants granted </w:t>
      </w:r>
      <w:bookmarkStart w:id="45" w:name="_Hlk92448697"/>
      <w:r w:rsidRPr="00FC1AFF">
        <w:rPr>
          <w:sz w:val="20"/>
          <w:szCs w:val="20"/>
        </w:rPr>
        <w:t>as partial payment of deferred compensation occurring on September 29, 2020</w:t>
      </w:r>
      <w:bookmarkEnd w:id="45"/>
      <w:r w:rsidRPr="00FC1AFF">
        <w:rPr>
          <w:sz w:val="20"/>
          <w:szCs w:val="20"/>
        </w:rPr>
        <w:t>.</w:t>
      </w:r>
    </w:p>
    <w:p w14:paraId="33BD9C7B" w14:textId="77777777" w:rsidR="00FC1AFF" w:rsidRPr="00FC1AFF" w:rsidRDefault="00FC1AFF" w:rsidP="00FC1AFF">
      <w:pPr>
        <w:autoSpaceDE w:val="0"/>
        <w:autoSpaceDN w:val="0"/>
        <w:adjustRightInd w:val="0"/>
        <w:rPr>
          <w:sz w:val="20"/>
          <w:szCs w:val="20"/>
        </w:rPr>
      </w:pPr>
    </w:p>
    <w:p w14:paraId="0C28E8D7" w14:textId="77777777" w:rsidR="00FC1AFF" w:rsidRPr="00FC1AFF" w:rsidRDefault="00FC1AFF" w:rsidP="00DC3802">
      <w:pPr>
        <w:autoSpaceDE w:val="0"/>
        <w:autoSpaceDN w:val="0"/>
        <w:adjustRightInd w:val="0"/>
        <w:ind w:firstLine="360"/>
        <w:jc w:val="both"/>
        <w:rPr>
          <w:sz w:val="20"/>
          <w:szCs w:val="20"/>
        </w:rPr>
      </w:pPr>
      <w:r w:rsidRPr="00FC1AFF">
        <w:rPr>
          <w:sz w:val="20"/>
          <w:szCs w:val="20"/>
        </w:rPr>
        <w:t>The 2020 Plan contains provisions that could lead to an accelerated vesting of options or other awards. In the event of certain change-in-control transactions described in the 2020 Plan, (i) outstanding options or other awards may be assumed, converted or replaced; (ii) the successor corporation may substitute equivalent options or other awards or provide substantially similar consideration to 2020 Plan participants as were provided to stockholders (after taking into account the existing provisions of the options or other awards); or (iii) the successor corporation may replace options or awards with substantially similar shares or other property. In the event the successor corporation (if any) refuses to assume or substitute options or other awards as described (i) the vesting of any or all options or awards granted pursuant to the 2020 Plan will accelerate upon the change-in-control transaction, and (ii) any or all options granted pursuant to the Plans will become exercisable in full prior to the consummation of the change-in-control transaction at such time and on such conditions as the Compensation Committee determines. If the options are not exercised prior to the consummation of the change-in-control transaction, they shall terminate at such time as determined by the Compensation Committee. Subject to any greater rights granted to 2020 Plan participants under the 2020 Plan, in the event of the occurrence of a change-in-control transaction any outstanding options or other awards will be treated as provided in the applicable agreement or plan of merger, consolidation, dissolution, liquidation, or sale of assets. If the Company had experienced a change-in-control event as described in the 2020 Plan on December 31, 2021, the value of accelerated options the Named Executive Officers, based on the difference between the closing price of our common stock on the Nasdaq Stock Market on December 31, 2021, and, if lower, the exercise price per share of each option for which vesting would be accelerated for each Named Executive Officer, would be an aggregate of $241,254.</w:t>
      </w:r>
    </w:p>
    <w:p w14:paraId="18793588" w14:textId="77777777" w:rsidR="00FC1AFF" w:rsidRPr="00FC1AFF" w:rsidRDefault="00FC1AFF" w:rsidP="00FC1AFF">
      <w:pPr>
        <w:autoSpaceDE w:val="0"/>
        <w:autoSpaceDN w:val="0"/>
        <w:adjustRightInd w:val="0"/>
        <w:rPr>
          <w:sz w:val="20"/>
          <w:szCs w:val="20"/>
        </w:rPr>
      </w:pPr>
    </w:p>
    <w:p w14:paraId="7D07696F" w14:textId="77777777" w:rsidR="00FC1AFF" w:rsidRPr="00FC1AFF" w:rsidRDefault="00FC1AFF" w:rsidP="00FC1AFF">
      <w:pPr>
        <w:keepNext/>
        <w:spacing w:after="120"/>
        <w:rPr>
          <w:b/>
          <w:sz w:val="20"/>
          <w:szCs w:val="20"/>
        </w:rPr>
      </w:pPr>
      <w:r w:rsidRPr="00FC1AFF">
        <w:rPr>
          <w:b/>
          <w:sz w:val="20"/>
          <w:szCs w:val="20"/>
        </w:rPr>
        <w:lastRenderedPageBreak/>
        <w:t>Director Compensation</w:t>
      </w:r>
    </w:p>
    <w:p w14:paraId="2064CF06" w14:textId="77777777" w:rsidR="00FC1AFF" w:rsidRPr="00FC1AFF" w:rsidRDefault="00FC1AFF" w:rsidP="00DC3802">
      <w:pPr>
        <w:autoSpaceDE w:val="0"/>
        <w:autoSpaceDN w:val="0"/>
        <w:adjustRightInd w:val="0"/>
        <w:ind w:firstLine="720"/>
        <w:jc w:val="both"/>
        <w:rPr>
          <w:sz w:val="20"/>
          <w:szCs w:val="20"/>
        </w:rPr>
      </w:pPr>
      <w:r w:rsidRPr="00FC1AFF">
        <w:rPr>
          <w:sz w:val="20"/>
          <w:szCs w:val="20"/>
        </w:rPr>
        <w:t xml:space="preserve">The following table sets forth information concerning the compensation earned for service on our Board of Directors during the fiscal year ending December 31, 2021 by each individual who served as a director at any time during the fiscal year. </w:t>
      </w:r>
    </w:p>
    <w:p w14:paraId="5666CADB" w14:textId="77777777" w:rsidR="00FC1AFF" w:rsidRPr="00FC1AFF" w:rsidRDefault="00FC1AFF" w:rsidP="00FC1AFF">
      <w:pPr>
        <w:autoSpaceDE w:val="0"/>
        <w:autoSpaceDN w:val="0"/>
        <w:adjustRightInd w:val="0"/>
        <w:jc w:val="both"/>
        <w:rPr>
          <w:sz w:val="20"/>
          <w:szCs w:val="20"/>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76"/>
        <w:gridCol w:w="1169"/>
        <w:gridCol w:w="1080"/>
        <w:gridCol w:w="1350"/>
        <w:gridCol w:w="1350"/>
        <w:gridCol w:w="1350"/>
        <w:gridCol w:w="900"/>
      </w:tblGrid>
      <w:tr w:rsidR="00FC1AFF" w:rsidRPr="00FC1AFF" w14:paraId="112AA5A5" w14:textId="77777777" w:rsidTr="00FC1AFF">
        <w:tc>
          <w:tcPr>
            <w:tcW w:w="2176" w:type="dxa"/>
            <w:tcBorders>
              <w:top w:val="single" w:sz="4" w:space="0" w:color="auto"/>
              <w:left w:val="single" w:sz="4" w:space="0" w:color="auto"/>
              <w:bottom w:val="single" w:sz="4" w:space="0" w:color="auto"/>
              <w:right w:val="single" w:sz="4" w:space="0" w:color="auto"/>
            </w:tcBorders>
            <w:vAlign w:val="bottom"/>
          </w:tcPr>
          <w:p w14:paraId="40811DCF" w14:textId="77777777" w:rsidR="00FC1AFF" w:rsidRPr="00FC1AFF" w:rsidRDefault="00FC1AFF" w:rsidP="00FC1AFF">
            <w:pPr>
              <w:autoSpaceDE w:val="0"/>
              <w:autoSpaceDN w:val="0"/>
              <w:adjustRightInd w:val="0"/>
              <w:jc w:val="center"/>
              <w:rPr>
                <w:b/>
                <w:sz w:val="20"/>
                <w:szCs w:val="20"/>
              </w:rPr>
            </w:pPr>
            <w:r w:rsidRPr="00FC1AFF">
              <w:rPr>
                <w:b/>
                <w:sz w:val="20"/>
                <w:szCs w:val="20"/>
              </w:rPr>
              <w:t>Name</w:t>
            </w:r>
          </w:p>
        </w:tc>
        <w:tc>
          <w:tcPr>
            <w:tcW w:w="1169" w:type="dxa"/>
            <w:tcBorders>
              <w:top w:val="single" w:sz="4" w:space="0" w:color="auto"/>
              <w:left w:val="single" w:sz="4" w:space="0" w:color="auto"/>
              <w:bottom w:val="single" w:sz="4" w:space="0" w:color="auto"/>
              <w:right w:val="single" w:sz="4" w:space="0" w:color="auto"/>
            </w:tcBorders>
            <w:vAlign w:val="bottom"/>
          </w:tcPr>
          <w:p w14:paraId="34615768" w14:textId="77777777" w:rsidR="00FC1AFF" w:rsidRPr="00FC1AFF" w:rsidRDefault="00FC1AFF" w:rsidP="00FC1AFF">
            <w:pPr>
              <w:autoSpaceDE w:val="0"/>
              <w:autoSpaceDN w:val="0"/>
              <w:adjustRightInd w:val="0"/>
              <w:jc w:val="center"/>
              <w:rPr>
                <w:b/>
                <w:sz w:val="20"/>
                <w:szCs w:val="20"/>
              </w:rPr>
            </w:pPr>
            <w:r w:rsidRPr="00FC1AFF">
              <w:rPr>
                <w:b/>
                <w:sz w:val="20"/>
                <w:szCs w:val="20"/>
              </w:rPr>
              <w:t>Fees</w:t>
            </w:r>
          </w:p>
          <w:p w14:paraId="1562F605" w14:textId="77777777" w:rsidR="00FC1AFF" w:rsidRPr="00FC1AFF" w:rsidRDefault="00FC1AFF" w:rsidP="00FC1AFF">
            <w:pPr>
              <w:autoSpaceDE w:val="0"/>
              <w:autoSpaceDN w:val="0"/>
              <w:adjustRightInd w:val="0"/>
              <w:jc w:val="center"/>
              <w:rPr>
                <w:b/>
                <w:sz w:val="20"/>
                <w:szCs w:val="20"/>
              </w:rPr>
            </w:pPr>
            <w:r w:rsidRPr="00FC1AFF">
              <w:rPr>
                <w:b/>
                <w:sz w:val="20"/>
                <w:szCs w:val="20"/>
              </w:rPr>
              <w:t>Earned or Paid in Cash</w:t>
            </w:r>
          </w:p>
          <w:p w14:paraId="1084CB00" w14:textId="77777777" w:rsidR="00FC1AFF" w:rsidRPr="00FC1AFF" w:rsidRDefault="00FC1AFF" w:rsidP="00FC1AFF">
            <w:pPr>
              <w:autoSpaceDE w:val="0"/>
              <w:autoSpaceDN w:val="0"/>
              <w:adjustRightInd w:val="0"/>
              <w:jc w:val="center"/>
              <w:rPr>
                <w:b/>
                <w:sz w:val="20"/>
                <w:szCs w:val="20"/>
              </w:rPr>
            </w:pPr>
            <w:r w:rsidRPr="00FC1AFF">
              <w:rPr>
                <w:b/>
                <w:sz w:val="20"/>
                <w:szCs w:val="20"/>
              </w:rPr>
              <w:t>($)</w:t>
            </w:r>
          </w:p>
        </w:tc>
        <w:tc>
          <w:tcPr>
            <w:tcW w:w="1080" w:type="dxa"/>
            <w:tcBorders>
              <w:top w:val="single" w:sz="4" w:space="0" w:color="auto"/>
              <w:left w:val="single" w:sz="4" w:space="0" w:color="auto"/>
              <w:bottom w:val="single" w:sz="4" w:space="0" w:color="auto"/>
              <w:right w:val="single" w:sz="4" w:space="0" w:color="auto"/>
            </w:tcBorders>
            <w:vAlign w:val="bottom"/>
          </w:tcPr>
          <w:p w14:paraId="516C86C8" w14:textId="77777777" w:rsidR="00FC1AFF" w:rsidRPr="00FC1AFF" w:rsidRDefault="00FC1AFF" w:rsidP="00FC1AFF">
            <w:pPr>
              <w:autoSpaceDE w:val="0"/>
              <w:autoSpaceDN w:val="0"/>
              <w:adjustRightInd w:val="0"/>
              <w:jc w:val="center"/>
              <w:rPr>
                <w:b/>
                <w:sz w:val="20"/>
                <w:szCs w:val="20"/>
              </w:rPr>
            </w:pPr>
          </w:p>
          <w:p w14:paraId="4B7B80F2" w14:textId="77777777" w:rsidR="00FC1AFF" w:rsidRPr="00FC1AFF" w:rsidRDefault="00FC1AFF" w:rsidP="00FC1AFF">
            <w:pPr>
              <w:autoSpaceDE w:val="0"/>
              <w:autoSpaceDN w:val="0"/>
              <w:adjustRightInd w:val="0"/>
              <w:jc w:val="center"/>
              <w:rPr>
                <w:b/>
                <w:sz w:val="20"/>
                <w:szCs w:val="20"/>
              </w:rPr>
            </w:pPr>
            <w:r w:rsidRPr="00FC1AFF">
              <w:rPr>
                <w:b/>
                <w:sz w:val="20"/>
                <w:szCs w:val="20"/>
              </w:rPr>
              <w:t>Option</w:t>
            </w:r>
          </w:p>
          <w:p w14:paraId="5C0E9908" w14:textId="77777777" w:rsidR="00FC1AFF" w:rsidRPr="00FC1AFF" w:rsidRDefault="00FC1AFF" w:rsidP="00FC1AFF">
            <w:pPr>
              <w:autoSpaceDE w:val="0"/>
              <w:autoSpaceDN w:val="0"/>
              <w:adjustRightInd w:val="0"/>
              <w:jc w:val="center"/>
              <w:rPr>
                <w:b/>
                <w:sz w:val="20"/>
                <w:szCs w:val="20"/>
              </w:rPr>
            </w:pPr>
            <w:r w:rsidRPr="00FC1AFF">
              <w:rPr>
                <w:b/>
                <w:sz w:val="20"/>
                <w:szCs w:val="20"/>
              </w:rPr>
              <w:t>Awards</w:t>
            </w:r>
          </w:p>
          <w:p w14:paraId="3711AEEF" w14:textId="77777777" w:rsidR="00FC1AFF" w:rsidRPr="00FC1AFF" w:rsidRDefault="00FC1AFF" w:rsidP="00FC1AFF">
            <w:pPr>
              <w:autoSpaceDE w:val="0"/>
              <w:autoSpaceDN w:val="0"/>
              <w:adjustRightInd w:val="0"/>
              <w:jc w:val="center"/>
              <w:rPr>
                <w:b/>
                <w:sz w:val="20"/>
                <w:szCs w:val="20"/>
              </w:rPr>
            </w:pPr>
            <w:r w:rsidRPr="00FC1AFF">
              <w:rPr>
                <w:b/>
                <w:sz w:val="20"/>
                <w:szCs w:val="20"/>
              </w:rPr>
              <w:t>($) (2)(3)</w:t>
            </w:r>
          </w:p>
        </w:tc>
        <w:tc>
          <w:tcPr>
            <w:tcW w:w="1350" w:type="dxa"/>
            <w:tcBorders>
              <w:top w:val="single" w:sz="4" w:space="0" w:color="auto"/>
              <w:left w:val="single" w:sz="4" w:space="0" w:color="auto"/>
              <w:bottom w:val="single" w:sz="4" w:space="0" w:color="auto"/>
              <w:right w:val="single" w:sz="4" w:space="0" w:color="auto"/>
            </w:tcBorders>
            <w:vAlign w:val="bottom"/>
          </w:tcPr>
          <w:p w14:paraId="3C70D74C" w14:textId="77777777" w:rsidR="00FC1AFF" w:rsidRPr="00FC1AFF" w:rsidRDefault="00FC1AFF" w:rsidP="00FC1AFF">
            <w:pPr>
              <w:autoSpaceDE w:val="0"/>
              <w:autoSpaceDN w:val="0"/>
              <w:adjustRightInd w:val="0"/>
              <w:jc w:val="center"/>
              <w:rPr>
                <w:b/>
                <w:sz w:val="20"/>
                <w:szCs w:val="20"/>
              </w:rPr>
            </w:pPr>
            <w:r w:rsidRPr="00FC1AFF">
              <w:rPr>
                <w:b/>
                <w:sz w:val="20"/>
                <w:szCs w:val="20"/>
              </w:rPr>
              <w:t>Non-Equity</w:t>
            </w:r>
          </w:p>
          <w:p w14:paraId="50005B98" w14:textId="77777777" w:rsidR="00FC1AFF" w:rsidRPr="00FC1AFF" w:rsidRDefault="00FC1AFF" w:rsidP="00FC1AFF">
            <w:pPr>
              <w:autoSpaceDE w:val="0"/>
              <w:autoSpaceDN w:val="0"/>
              <w:adjustRightInd w:val="0"/>
              <w:jc w:val="center"/>
              <w:rPr>
                <w:b/>
                <w:sz w:val="20"/>
                <w:szCs w:val="20"/>
              </w:rPr>
            </w:pPr>
            <w:r w:rsidRPr="00FC1AFF">
              <w:rPr>
                <w:b/>
                <w:sz w:val="20"/>
                <w:szCs w:val="20"/>
              </w:rPr>
              <w:t>Incentive</w:t>
            </w:r>
          </w:p>
          <w:p w14:paraId="38C6C005" w14:textId="77777777" w:rsidR="00FC1AFF" w:rsidRPr="00FC1AFF" w:rsidRDefault="00FC1AFF" w:rsidP="00FC1AFF">
            <w:pPr>
              <w:autoSpaceDE w:val="0"/>
              <w:autoSpaceDN w:val="0"/>
              <w:adjustRightInd w:val="0"/>
              <w:jc w:val="center"/>
              <w:rPr>
                <w:b/>
                <w:sz w:val="20"/>
                <w:szCs w:val="20"/>
              </w:rPr>
            </w:pPr>
            <w:r w:rsidRPr="00FC1AFF">
              <w:rPr>
                <w:b/>
                <w:sz w:val="20"/>
                <w:szCs w:val="20"/>
              </w:rPr>
              <w:t>Plan</w:t>
            </w:r>
          </w:p>
          <w:p w14:paraId="3BC14593" w14:textId="77777777" w:rsidR="00FC1AFF" w:rsidRPr="00FC1AFF" w:rsidRDefault="00FC1AFF" w:rsidP="00FC1AFF">
            <w:pPr>
              <w:autoSpaceDE w:val="0"/>
              <w:autoSpaceDN w:val="0"/>
              <w:adjustRightInd w:val="0"/>
              <w:jc w:val="center"/>
              <w:rPr>
                <w:b/>
                <w:sz w:val="20"/>
                <w:szCs w:val="20"/>
              </w:rPr>
            </w:pPr>
            <w:r w:rsidRPr="00FC1AFF">
              <w:rPr>
                <w:b/>
                <w:sz w:val="20"/>
                <w:szCs w:val="20"/>
              </w:rPr>
              <w:t>Compensation</w:t>
            </w:r>
          </w:p>
          <w:p w14:paraId="0096F65E" w14:textId="77777777" w:rsidR="00FC1AFF" w:rsidRPr="00FC1AFF" w:rsidRDefault="00FC1AFF" w:rsidP="00FC1AFF">
            <w:pPr>
              <w:autoSpaceDE w:val="0"/>
              <w:autoSpaceDN w:val="0"/>
              <w:adjustRightInd w:val="0"/>
              <w:jc w:val="center"/>
              <w:rPr>
                <w:b/>
                <w:sz w:val="20"/>
                <w:szCs w:val="20"/>
              </w:rPr>
            </w:pPr>
            <w:r w:rsidRPr="00FC1AFF">
              <w:rPr>
                <w:b/>
                <w:sz w:val="20"/>
                <w:szCs w:val="20"/>
              </w:rPr>
              <w:t>($)</w:t>
            </w:r>
          </w:p>
        </w:tc>
        <w:tc>
          <w:tcPr>
            <w:tcW w:w="1350" w:type="dxa"/>
            <w:tcBorders>
              <w:top w:val="single" w:sz="4" w:space="0" w:color="auto"/>
              <w:left w:val="single" w:sz="4" w:space="0" w:color="auto"/>
              <w:bottom w:val="single" w:sz="4" w:space="0" w:color="auto"/>
              <w:right w:val="single" w:sz="4" w:space="0" w:color="auto"/>
            </w:tcBorders>
            <w:vAlign w:val="bottom"/>
            <w:hideMark/>
          </w:tcPr>
          <w:p w14:paraId="3A761F15" w14:textId="77777777" w:rsidR="00FC1AFF" w:rsidRPr="00FC1AFF" w:rsidRDefault="00FC1AFF" w:rsidP="00FC1AFF">
            <w:pPr>
              <w:autoSpaceDE w:val="0"/>
              <w:autoSpaceDN w:val="0"/>
              <w:adjustRightInd w:val="0"/>
              <w:jc w:val="center"/>
              <w:rPr>
                <w:b/>
                <w:sz w:val="20"/>
                <w:szCs w:val="20"/>
              </w:rPr>
            </w:pPr>
            <w:r w:rsidRPr="00FC1AFF">
              <w:rPr>
                <w:b/>
                <w:sz w:val="20"/>
                <w:szCs w:val="20"/>
              </w:rPr>
              <w:t>Non-qualified</w:t>
            </w:r>
          </w:p>
          <w:p w14:paraId="6093458A" w14:textId="77777777" w:rsidR="00FC1AFF" w:rsidRPr="00FC1AFF" w:rsidRDefault="00FC1AFF" w:rsidP="00FC1AFF">
            <w:pPr>
              <w:autoSpaceDE w:val="0"/>
              <w:autoSpaceDN w:val="0"/>
              <w:adjustRightInd w:val="0"/>
              <w:jc w:val="center"/>
              <w:rPr>
                <w:b/>
                <w:sz w:val="20"/>
                <w:szCs w:val="20"/>
              </w:rPr>
            </w:pPr>
            <w:r w:rsidRPr="00FC1AFF">
              <w:rPr>
                <w:b/>
                <w:sz w:val="20"/>
                <w:szCs w:val="20"/>
              </w:rPr>
              <w:t>Deferred</w:t>
            </w:r>
          </w:p>
          <w:p w14:paraId="0CDFAD6E" w14:textId="77777777" w:rsidR="00FC1AFF" w:rsidRPr="00FC1AFF" w:rsidRDefault="00FC1AFF" w:rsidP="00FC1AFF">
            <w:pPr>
              <w:autoSpaceDE w:val="0"/>
              <w:autoSpaceDN w:val="0"/>
              <w:adjustRightInd w:val="0"/>
              <w:jc w:val="center"/>
              <w:rPr>
                <w:b/>
                <w:sz w:val="20"/>
                <w:szCs w:val="20"/>
              </w:rPr>
            </w:pPr>
            <w:r w:rsidRPr="00FC1AFF">
              <w:rPr>
                <w:b/>
                <w:sz w:val="20"/>
                <w:szCs w:val="20"/>
              </w:rPr>
              <w:t>Compensation Earnings</w:t>
            </w:r>
          </w:p>
          <w:p w14:paraId="7C0D16D2" w14:textId="77777777" w:rsidR="00FC1AFF" w:rsidRPr="00FC1AFF" w:rsidRDefault="00FC1AFF" w:rsidP="00FC1AFF">
            <w:pPr>
              <w:autoSpaceDE w:val="0"/>
              <w:autoSpaceDN w:val="0"/>
              <w:adjustRightInd w:val="0"/>
              <w:jc w:val="center"/>
              <w:rPr>
                <w:b/>
                <w:sz w:val="20"/>
                <w:szCs w:val="20"/>
              </w:rPr>
            </w:pPr>
            <w:r w:rsidRPr="00FC1AFF">
              <w:rPr>
                <w:b/>
                <w:sz w:val="20"/>
                <w:szCs w:val="20"/>
              </w:rPr>
              <w:t>($)</w:t>
            </w:r>
          </w:p>
        </w:tc>
        <w:tc>
          <w:tcPr>
            <w:tcW w:w="1350" w:type="dxa"/>
            <w:tcBorders>
              <w:top w:val="single" w:sz="4" w:space="0" w:color="auto"/>
              <w:left w:val="single" w:sz="4" w:space="0" w:color="auto"/>
              <w:bottom w:val="single" w:sz="4" w:space="0" w:color="auto"/>
              <w:right w:val="single" w:sz="4" w:space="0" w:color="auto"/>
            </w:tcBorders>
            <w:vAlign w:val="bottom"/>
          </w:tcPr>
          <w:p w14:paraId="1D316988" w14:textId="77777777" w:rsidR="00FC1AFF" w:rsidRPr="00FC1AFF" w:rsidRDefault="00FC1AFF" w:rsidP="00FC1AFF">
            <w:pPr>
              <w:autoSpaceDE w:val="0"/>
              <w:autoSpaceDN w:val="0"/>
              <w:adjustRightInd w:val="0"/>
              <w:jc w:val="center"/>
              <w:rPr>
                <w:b/>
                <w:sz w:val="20"/>
                <w:szCs w:val="20"/>
              </w:rPr>
            </w:pPr>
            <w:r w:rsidRPr="00FC1AFF">
              <w:rPr>
                <w:b/>
                <w:sz w:val="20"/>
                <w:szCs w:val="20"/>
              </w:rPr>
              <w:t>All</w:t>
            </w:r>
          </w:p>
          <w:p w14:paraId="0BAA47F9" w14:textId="77777777" w:rsidR="00FC1AFF" w:rsidRPr="00FC1AFF" w:rsidRDefault="00FC1AFF" w:rsidP="00FC1AFF">
            <w:pPr>
              <w:autoSpaceDE w:val="0"/>
              <w:autoSpaceDN w:val="0"/>
              <w:adjustRightInd w:val="0"/>
              <w:jc w:val="center"/>
              <w:rPr>
                <w:b/>
                <w:sz w:val="20"/>
                <w:szCs w:val="20"/>
              </w:rPr>
            </w:pPr>
            <w:r w:rsidRPr="00FC1AFF">
              <w:rPr>
                <w:b/>
                <w:sz w:val="20"/>
                <w:szCs w:val="20"/>
              </w:rPr>
              <w:t>Other</w:t>
            </w:r>
          </w:p>
          <w:p w14:paraId="1E97CC76" w14:textId="77777777" w:rsidR="00FC1AFF" w:rsidRPr="00FC1AFF" w:rsidRDefault="00FC1AFF" w:rsidP="00FC1AFF">
            <w:pPr>
              <w:autoSpaceDE w:val="0"/>
              <w:autoSpaceDN w:val="0"/>
              <w:adjustRightInd w:val="0"/>
              <w:jc w:val="center"/>
              <w:rPr>
                <w:b/>
                <w:sz w:val="20"/>
                <w:szCs w:val="20"/>
              </w:rPr>
            </w:pPr>
            <w:r w:rsidRPr="00FC1AFF">
              <w:rPr>
                <w:b/>
                <w:sz w:val="20"/>
                <w:szCs w:val="20"/>
              </w:rPr>
              <w:t>Compensation</w:t>
            </w:r>
          </w:p>
          <w:p w14:paraId="408B9CC4" w14:textId="77777777" w:rsidR="00FC1AFF" w:rsidRPr="00FC1AFF" w:rsidRDefault="00FC1AFF" w:rsidP="00FC1AFF">
            <w:pPr>
              <w:autoSpaceDE w:val="0"/>
              <w:autoSpaceDN w:val="0"/>
              <w:adjustRightInd w:val="0"/>
              <w:jc w:val="center"/>
              <w:rPr>
                <w:b/>
                <w:sz w:val="20"/>
                <w:szCs w:val="20"/>
              </w:rPr>
            </w:pPr>
            <w:r w:rsidRPr="00FC1AFF">
              <w:rPr>
                <w:b/>
                <w:sz w:val="20"/>
                <w:szCs w:val="20"/>
              </w:rPr>
              <w:t>($)</w:t>
            </w:r>
          </w:p>
        </w:tc>
        <w:tc>
          <w:tcPr>
            <w:tcW w:w="900" w:type="dxa"/>
            <w:tcBorders>
              <w:top w:val="single" w:sz="4" w:space="0" w:color="auto"/>
              <w:left w:val="single" w:sz="4" w:space="0" w:color="auto"/>
              <w:bottom w:val="single" w:sz="4" w:space="0" w:color="auto"/>
              <w:right w:val="single" w:sz="4" w:space="0" w:color="auto"/>
            </w:tcBorders>
            <w:vAlign w:val="bottom"/>
          </w:tcPr>
          <w:p w14:paraId="4709D322" w14:textId="77777777" w:rsidR="00FC1AFF" w:rsidRPr="00FC1AFF" w:rsidRDefault="00FC1AFF" w:rsidP="00FC1AFF">
            <w:pPr>
              <w:autoSpaceDE w:val="0"/>
              <w:autoSpaceDN w:val="0"/>
              <w:adjustRightInd w:val="0"/>
              <w:jc w:val="center"/>
              <w:rPr>
                <w:b/>
                <w:sz w:val="20"/>
                <w:szCs w:val="20"/>
              </w:rPr>
            </w:pPr>
            <w:r w:rsidRPr="00FC1AFF">
              <w:rPr>
                <w:b/>
                <w:sz w:val="20"/>
                <w:szCs w:val="20"/>
              </w:rPr>
              <w:t>Total</w:t>
            </w:r>
          </w:p>
          <w:p w14:paraId="5EF5A793" w14:textId="77777777" w:rsidR="00FC1AFF" w:rsidRPr="00FC1AFF" w:rsidRDefault="00FC1AFF" w:rsidP="00FC1AFF">
            <w:pPr>
              <w:autoSpaceDE w:val="0"/>
              <w:autoSpaceDN w:val="0"/>
              <w:adjustRightInd w:val="0"/>
              <w:jc w:val="center"/>
              <w:rPr>
                <w:b/>
                <w:sz w:val="20"/>
                <w:szCs w:val="20"/>
              </w:rPr>
            </w:pPr>
            <w:r w:rsidRPr="00FC1AFF">
              <w:rPr>
                <w:b/>
                <w:sz w:val="20"/>
                <w:szCs w:val="20"/>
              </w:rPr>
              <w:t>($)</w:t>
            </w:r>
          </w:p>
        </w:tc>
      </w:tr>
      <w:tr w:rsidR="00FC1AFF" w:rsidRPr="00FC1AFF" w14:paraId="28DB7C0D" w14:textId="77777777" w:rsidTr="00FC1AFF">
        <w:tc>
          <w:tcPr>
            <w:tcW w:w="2176" w:type="dxa"/>
            <w:tcBorders>
              <w:top w:val="single" w:sz="4" w:space="0" w:color="auto"/>
              <w:left w:val="single" w:sz="4" w:space="0" w:color="auto"/>
              <w:bottom w:val="single" w:sz="4" w:space="0" w:color="auto"/>
              <w:right w:val="single" w:sz="4" w:space="0" w:color="auto"/>
            </w:tcBorders>
          </w:tcPr>
          <w:p w14:paraId="2C216C5B" w14:textId="77777777" w:rsidR="00FC1AFF" w:rsidRPr="00FC1AFF" w:rsidRDefault="00FC1AFF" w:rsidP="00FC1AFF">
            <w:pPr>
              <w:tabs>
                <w:tab w:val="left" w:pos="180"/>
                <w:tab w:val="left" w:pos="1620"/>
              </w:tabs>
              <w:autoSpaceDE w:val="0"/>
              <w:autoSpaceDN w:val="0"/>
              <w:adjustRightInd w:val="0"/>
              <w:jc w:val="both"/>
              <w:rPr>
                <w:sz w:val="20"/>
                <w:szCs w:val="20"/>
              </w:rPr>
            </w:pPr>
            <w:r w:rsidRPr="00FC1AFF">
              <w:rPr>
                <w:sz w:val="20"/>
                <w:szCs w:val="20"/>
              </w:rPr>
              <w:t>Randal D. Chase</w:t>
            </w:r>
          </w:p>
        </w:tc>
        <w:tc>
          <w:tcPr>
            <w:tcW w:w="1169" w:type="dxa"/>
            <w:tcBorders>
              <w:top w:val="single" w:sz="4" w:space="0" w:color="auto"/>
              <w:left w:val="single" w:sz="4" w:space="0" w:color="auto"/>
              <w:bottom w:val="single" w:sz="4" w:space="0" w:color="auto"/>
              <w:right w:val="single" w:sz="4" w:space="0" w:color="auto"/>
            </w:tcBorders>
          </w:tcPr>
          <w:p w14:paraId="1946A87E" w14:textId="77777777" w:rsidR="00FC1AFF" w:rsidRPr="00FC1AFF" w:rsidRDefault="00FC1AFF" w:rsidP="00FC1AFF">
            <w:pPr>
              <w:tabs>
                <w:tab w:val="decimal" w:pos="794"/>
              </w:tabs>
              <w:autoSpaceDE w:val="0"/>
              <w:autoSpaceDN w:val="0"/>
              <w:adjustRightInd w:val="0"/>
              <w:jc w:val="both"/>
              <w:rPr>
                <w:sz w:val="20"/>
                <w:szCs w:val="20"/>
              </w:rPr>
            </w:pPr>
            <w:r w:rsidRPr="00FC1AFF">
              <w:rPr>
                <w:sz w:val="20"/>
                <w:szCs w:val="20"/>
              </w:rPr>
              <w:t>41,650</w:t>
            </w:r>
          </w:p>
        </w:tc>
        <w:tc>
          <w:tcPr>
            <w:tcW w:w="1080" w:type="dxa"/>
            <w:tcBorders>
              <w:top w:val="single" w:sz="4" w:space="0" w:color="auto"/>
              <w:left w:val="single" w:sz="4" w:space="0" w:color="auto"/>
              <w:bottom w:val="single" w:sz="4" w:space="0" w:color="auto"/>
              <w:right w:val="single" w:sz="4" w:space="0" w:color="auto"/>
            </w:tcBorders>
          </w:tcPr>
          <w:p w14:paraId="46BA9D8C" w14:textId="77777777" w:rsidR="00FC1AFF" w:rsidRPr="00FC1AFF" w:rsidRDefault="00FC1AFF" w:rsidP="00FC1AFF">
            <w:pPr>
              <w:tabs>
                <w:tab w:val="decimal" w:pos="792"/>
              </w:tabs>
              <w:autoSpaceDE w:val="0"/>
              <w:autoSpaceDN w:val="0"/>
              <w:adjustRightInd w:val="0"/>
              <w:jc w:val="both"/>
              <w:rPr>
                <w:sz w:val="20"/>
                <w:szCs w:val="20"/>
              </w:rPr>
            </w:pPr>
            <w:r w:rsidRPr="00FC1AFF">
              <w:rPr>
                <w:sz w:val="20"/>
                <w:szCs w:val="20"/>
              </w:rPr>
              <w:t>71,750</w:t>
            </w:r>
          </w:p>
        </w:tc>
        <w:tc>
          <w:tcPr>
            <w:tcW w:w="1350" w:type="dxa"/>
            <w:tcBorders>
              <w:top w:val="single" w:sz="4" w:space="0" w:color="auto"/>
              <w:left w:val="single" w:sz="4" w:space="0" w:color="auto"/>
              <w:bottom w:val="single" w:sz="4" w:space="0" w:color="auto"/>
              <w:right w:val="single" w:sz="4" w:space="0" w:color="auto"/>
            </w:tcBorders>
          </w:tcPr>
          <w:p w14:paraId="003AF169" w14:textId="77777777" w:rsidR="00FC1AFF" w:rsidRPr="00FC1AFF" w:rsidRDefault="00FC1AFF" w:rsidP="00FC1AFF">
            <w:pPr>
              <w:tabs>
                <w:tab w:val="decimal" w:pos="612"/>
              </w:tabs>
              <w:autoSpaceDE w:val="0"/>
              <w:autoSpaceDN w:val="0"/>
              <w:adjustRightInd w:val="0"/>
              <w:jc w:val="both"/>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704BEBAF" w14:textId="77777777" w:rsidR="00FC1AFF" w:rsidRPr="00FC1AFF" w:rsidRDefault="00FC1AFF" w:rsidP="00FC1AFF">
            <w:pPr>
              <w:tabs>
                <w:tab w:val="decimal" w:pos="972"/>
              </w:tabs>
              <w:autoSpaceDE w:val="0"/>
              <w:autoSpaceDN w:val="0"/>
              <w:adjustRightInd w:val="0"/>
              <w:jc w:val="both"/>
              <w:rPr>
                <w:sz w:val="20"/>
                <w:szCs w:val="20"/>
              </w:rPr>
            </w:pPr>
          </w:p>
        </w:tc>
        <w:tc>
          <w:tcPr>
            <w:tcW w:w="1350" w:type="dxa"/>
            <w:tcBorders>
              <w:top w:val="single" w:sz="4" w:space="0" w:color="auto"/>
              <w:left w:val="single" w:sz="4" w:space="0" w:color="auto"/>
              <w:bottom w:val="single" w:sz="4" w:space="0" w:color="auto"/>
              <w:right w:val="single" w:sz="4" w:space="0" w:color="auto"/>
            </w:tcBorders>
          </w:tcPr>
          <w:p w14:paraId="2B9D8EAA" w14:textId="77777777" w:rsidR="00FC1AFF" w:rsidRPr="00FC1AFF" w:rsidRDefault="00FC1AFF" w:rsidP="00FC1AFF">
            <w:pPr>
              <w:tabs>
                <w:tab w:val="decimal" w:pos="702"/>
              </w:tabs>
              <w:autoSpaceDE w:val="0"/>
              <w:autoSpaceDN w:val="0"/>
              <w:adjustRightInd w:val="0"/>
              <w:jc w:val="both"/>
              <w:rPr>
                <w:sz w:val="20"/>
                <w:szCs w:val="20"/>
              </w:rPr>
            </w:pPr>
          </w:p>
        </w:tc>
        <w:tc>
          <w:tcPr>
            <w:tcW w:w="900" w:type="dxa"/>
            <w:tcBorders>
              <w:top w:val="single" w:sz="4" w:space="0" w:color="auto"/>
              <w:left w:val="single" w:sz="4" w:space="0" w:color="auto"/>
              <w:bottom w:val="single" w:sz="4" w:space="0" w:color="auto"/>
              <w:right w:val="single" w:sz="4" w:space="0" w:color="auto"/>
            </w:tcBorders>
          </w:tcPr>
          <w:p w14:paraId="5676DBCF" w14:textId="77777777" w:rsidR="00FC1AFF" w:rsidRPr="00FC1AFF" w:rsidRDefault="00FC1AFF" w:rsidP="00FC1AFF">
            <w:pPr>
              <w:tabs>
                <w:tab w:val="decimal" w:pos="702"/>
              </w:tabs>
              <w:autoSpaceDE w:val="0"/>
              <w:autoSpaceDN w:val="0"/>
              <w:adjustRightInd w:val="0"/>
              <w:jc w:val="both"/>
              <w:rPr>
                <w:sz w:val="20"/>
                <w:szCs w:val="20"/>
              </w:rPr>
            </w:pPr>
            <w:r w:rsidRPr="00FC1AFF">
              <w:rPr>
                <w:sz w:val="20"/>
                <w:szCs w:val="20"/>
              </w:rPr>
              <w:t>113,400</w:t>
            </w:r>
          </w:p>
        </w:tc>
      </w:tr>
      <w:tr w:rsidR="00FC1AFF" w:rsidRPr="00FC1AFF" w14:paraId="083944FC" w14:textId="77777777" w:rsidTr="00FC1AFF">
        <w:tc>
          <w:tcPr>
            <w:tcW w:w="2176" w:type="dxa"/>
            <w:tcBorders>
              <w:top w:val="single" w:sz="4" w:space="0" w:color="auto"/>
              <w:left w:val="single" w:sz="4" w:space="0" w:color="auto"/>
              <w:bottom w:val="single" w:sz="4" w:space="0" w:color="auto"/>
              <w:right w:val="single" w:sz="4" w:space="0" w:color="auto"/>
            </w:tcBorders>
            <w:hideMark/>
          </w:tcPr>
          <w:p w14:paraId="0732CF20" w14:textId="77777777" w:rsidR="00FC1AFF" w:rsidRPr="00FC1AFF" w:rsidRDefault="00FC1AFF" w:rsidP="00FC1AFF">
            <w:pPr>
              <w:tabs>
                <w:tab w:val="left" w:pos="180"/>
                <w:tab w:val="left" w:pos="1620"/>
              </w:tabs>
              <w:autoSpaceDE w:val="0"/>
              <w:autoSpaceDN w:val="0"/>
              <w:adjustRightInd w:val="0"/>
              <w:jc w:val="both"/>
              <w:rPr>
                <w:sz w:val="20"/>
                <w:szCs w:val="20"/>
              </w:rPr>
            </w:pPr>
            <w:r w:rsidRPr="00FC1AFF">
              <w:rPr>
                <w:sz w:val="20"/>
                <w:szCs w:val="20"/>
              </w:rPr>
              <w:t>David A. Dodd (1)</w:t>
            </w:r>
          </w:p>
        </w:tc>
        <w:tc>
          <w:tcPr>
            <w:tcW w:w="1169" w:type="dxa"/>
            <w:tcBorders>
              <w:top w:val="single" w:sz="4" w:space="0" w:color="auto"/>
              <w:left w:val="single" w:sz="4" w:space="0" w:color="auto"/>
              <w:bottom w:val="single" w:sz="4" w:space="0" w:color="auto"/>
              <w:right w:val="single" w:sz="4" w:space="0" w:color="auto"/>
            </w:tcBorders>
            <w:hideMark/>
          </w:tcPr>
          <w:p w14:paraId="4340AE48" w14:textId="77777777" w:rsidR="00FC1AFF" w:rsidRPr="00FC1AFF" w:rsidRDefault="00FC1AFF" w:rsidP="00FC1AFF">
            <w:pPr>
              <w:tabs>
                <w:tab w:val="decimal" w:pos="794"/>
              </w:tabs>
              <w:autoSpaceDE w:val="0"/>
              <w:autoSpaceDN w:val="0"/>
              <w:adjustRightInd w:val="0"/>
              <w:jc w:val="both"/>
              <w:rPr>
                <w:sz w:val="20"/>
                <w:szCs w:val="20"/>
              </w:rPr>
            </w:pPr>
            <w:r w:rsidRPr="00FC1AFF">
              <w:rPr>
                <w:sz w:val="20"/>
                <w:szCs w:val="20"/>
              </w:rPr>
              <w:t>-</w:t>
            </w:r>
          </w:p>
        </w:tc>
        <w:tc>
          <w:tcPr>
            <w:tcW w:w="1080" w:type="dxa"/>
            <w:tcBorders>
              <w:top w:val="single" w:sz="4" w:space="0" w:color="auto"/>
              <w:left w:val="single" w:sz="4" w:space="0" w:color="auto"/>
              <w:bottom w:val="single" w:sz="4" w:space="0" w:color="auto"/>
              <w:right w:val="single" w:sz="4" w:space="0" w:color="auto"/>
            </w:tcBorders>
            <w:hideMark/>
          </w:tcPr>
          <w:p w14:paraId="236AC7B7" w14:textId="77777777" w:rsidR="00FC1AFF" w:rsidRPr="00FC1AFF" w:rsidRDefault="00FC1AFF" w:rsidP="00FC1AFF">
            <w:pPr>
              <w:tabs>
                <w:tab w:val="decimal" w:pos="792"/>
              </w:tabs>
              <w:autoSpaceDE w:val="0"/>
              <w:autoSpaceDN w:val="0"/>
              <w:adjustRightInd w:val="0"/>
              <w:jc w:val="both"/>
              <w:rPr>
                <w:sz w:val="20"/>
                <w:szCs w:val="20"/>
              </w:rPr>
            </w:pPr>
            <w:r w:rsidRPr="00FC1AFF">
              <w:rPr>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14:paraId="527C7CDD" w14:textId="77777777" w:rsidR="00FC1AFF" w:rsidRPr="00FC1AFF" w:rsidRDefault="00FC1AFF" w:rsidP="00FC1AFF">
            <w:pPr>
              <w:tabs>
                <w:tab w:val="decimal" w:pos="612"/>
              </w:tabs>
              <w:autoSpaceDE w:val="0"/>
              <w:autoSpaceDN w:val="0"/>
              <w:adjustRightInd w:val="0"/>
              <w:jc w:val="both"/>
              <w:rPr>
                <w:sz w:val="20"/>
                <w:szCs w:val="20"/>
              </w:rPr>
            </w:pPr>
            <w:r w:rsidRPr="00FC1AFF">
              <w:rPr>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14:paraId="0CCF0BC5" w14:textId="77777777" w:rsidR="00FC1AFF" w:rsidRPr="00FC1AFF" w:rsidRDefault="00FC1AFF" w:rsidP="00FC1AFF">
            <w:pPr>
              <w:tabs>
                <w:tab w:val="decimal" w:pos="972"/>
              </w:tabs>
              <w:autoSpaceDE w:val="0"/>
              <w:autoSpaceDN w:val="0"/>
              <w:adjustRightInd w:val="0"/>
              <w:jc w:val="both"/>
              <w:rPr>
                <w:sz w:val="20"/>
                <w:szCs w:val="20"/>
              </w:rPr>
            </w:pPr>
            <w:r w:rsidRPr="00FC1AFF">
              <w:rPr>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14:paraId="7E03441A" w14:textId="77777777" w:rsidR="00FC1AFF" w:rsidRPr="00FC1AFF" w:rsidRDefault="00FC1AFF" w:rsidP="00FC1AFF">
            <w:pPr>
              <w:tabs>
                <w:tab w:val="decimal" w:pos="702"/>
              </w:tabs>
              <w:autoSpaceDE w:val="0"/>
              <w:autoSpaceDN w:val="0"/>
              <w:adjustRightInd w:val="0"/>
              <w:jc w:val="both"/>
              <w:rPr>
                <w:sz w:val="20"/>
                <w:szCs w:val="20"/>
              </w:rPr>
            </w:pPr>
            <w:r w:rsidRPr="00FC1AFF">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14:paraId="5E589AD8" w14:textId="77777777" w:rsidR="00FC1AFF" w:rsidRPr="00FC1AFF" w:rsidRDefault="00FC1AFF" w:rsidP="00FC1AFF">
            <w:pPr>
              <w:tabs>
                <w:tab w:val="decimal" w:pos="702"/>
              </w:tabs>
              <w:autoSpaceDE w:val="0"/>
              <w:autoSpaceDN w:val="0"/>
              <w:adjustRightInd w:val="0"/>
              <w:jc w:val="both"/>
              <w:rPr>
                <w:sz w:val="20"/>
                <w:szCs w:val="20"/>
              </w:rPr>
            </w:pPr>
            <w:r w:rsidRPr="00FC1AFF">
              <w:rPr>
                <w:sz w:val="20"/>
                <w:szCs w:val="20"/>
              </w:rPr>
              <w:t>-</w:t>
            </w:r>
          </w:p>
        </w:tc>
      </w:tr>
      <w:tr w:rsidR="00FC1AFF" w:rsidRPr="00FC1AFF" w14:paraId="7D5A7801" w14:textId="77777777" w:rsidTr="00FC1AFF">
        <w:tc>
          <w:tcPr>
            <w:tcW w:w="2176" w:type="dxa"/>
            <w:tcBorders>
              <w:top w:val="single" w:sz="4" w:space="0" w:color="auto"/>
              <w:left w:val="single" w:sz="4" w:space="0" w:color="auto"/>
              <w:bottom w:val="single" w:sz="4" w:space="0" w:color="auto"/>
              <w:right w:val="single" w:sz="4" w:space="0" w:color="auto"/>
            </w:tcBorders>
            <w:hideMark/>
          </w:tcPr>
          <w:p w14:paraId="18183C55" w14:textId="77777777" w:rsidR="00FC1AFF" w:rsidRPr="00FC1AFF" w:rsidRDefault="00FC1AFF" w:rsidP="00FC1AFF">
            <w:pPr>
              <w:tabs>
                <w:tab w:val="left" w:pos="180"/>
                <w:tab w:val="left" w:pos="1620"/>
              </w:tabs>
              <w:autoSpaceDE w:val="0"/>
              <w:autoSpaceDN w:val="0"/>
              <w:adjustRightInd w:val="0"/>
              <w:jc w:val="both"/>
              <w:rPr>
                <w:sz w:val="20"/>
                <w:szCs w:val="20"/>
              </w:rPr>
            </w:pPr>
            <w:r w:rsidRPr="00FC1AFF">
              <w:rPr>
                <w:sz w:val="20"/>
                <w:szCs w:val="20"/>
              </w:rPr>
              <w:t>Dean G. Kollintzas</w:t>
            </w:r>
          </w:p>
        </w:tc>
        <w:tc>
          <w:tcPr>
            <w:tcW w:w="1169" w:type="dxa"/>
            <w:tcBorders>
              <w:top w:val="single" w:sz="4" w:space="0" w:color="auto"/>
              <w:left w:val="single" w:sz="4" w:space="0" w:color="auto"/>
              <w:bottom w:val="single" w:sz="4" w:space="0" w:color="auto"/>
              <w:right w:val="single" w:sz="4" w:space="0" w:color="auto"/>
            </w:tcBorders>
            <w:hideMark/>
          </w:tcPr>
          <w:p w14:paraId="74CF58F9" w14:textId="77777777" w:rsidR="00FC1AFF" w:rsidRPr="00FC1AFF" w:rsidRDefault="00FC1AFF" w:rsidP="00FC1AFF">
            <w:pPr>
              <w:tabs>
                <w:tab w:val="decimal" w:pos="794"/>
              </w:tabs>
              <w:autoSpaceDE w:val="0"/>
              <w:autoSpaceDN w:val="0"/>
              <w:adjustRightInd w:val="0"/>
              <w:jc w:val="both"/>
              <w:rPr>
                <w:sz w:val="20"/>
                <w:szCs w:val="20"/>
              </w:rPr>
            </w:pPr>
            <w:r w:rsidRPr="00FC1AFF">
              <w:rPr>
                <w:sz w:val="20"/>
                <w:szCs w:val="20"/>
              </w:rPr>
              <w:t>35,975</w:t>
            </w:r>
          </w:p>
        </w:tc>
        <w:tc>
          <w:tcPr>
            <w:tcW w:w="1080" w:type="dxa"/>
            <w:tcBorders>
              <w:top w:val="single" w:sz="4" w:space="0" w:color="auto"/>
              <w:left w:val="single" w:sz="4" w:space="0" w:color="auto"/>
              <w:bottom w:val="single" w:sz="4" w:space="0" w:color="auto"/>
              <w:right w:val="single" w:sz="4" w:space="0" w:color="auto"/>
            </w:tcBorders>
            <w:hideMark/>
          </w:tcPr>
          <w:p w14:paraId="51954F54" w14:textId="77777777" w:rsidR="00FC1AFF" w:rsidRPr="00FC1AFF" w:rsidRDefault="00FC1AFF" w:rsidP="00FC1AFF">
            <w:pPr>
              <w:tabs>
                <w:tab w:val="decimal" w:pos="792"/>
              </w:tabs>
              <w:autoSpaceDE w:val="0"/>
              <w:autoSpaceDN w:val="0"/>
              <w:adjustRightInd w:val="0"/>
              <w:jc w:val="both"/>
              <w:rPr>
                <w:sz w:val="20"/>
                <w:szCs w:val="20"/>
              </w:rPr>
            </w:pPr>
            <w:r w:rsidRPr="00FC1AFF">
              <w:rPr>
                <w:sz w:val="20"/>
                <w:szCs w:val="20"/>
              </w:rPr>
              <w:t>71,750</w:t>
            </w:r>
          </w:p>
        </w:tc>
        <w:tc>
          <w:tcPr>
            <w:tcW w:w="1350" w:type="dxa"/>
            <w:tcBorders>
              <w:top w:val="single" w:sz="4" w:space="0" w:color="auto"/>
              <w:left w:val="single" w:sz="4" w:space="0" w:color="auto"/>
              <w:bottom w:val="single" w:sz="4" w:space="0" w:color="auto"/>
              <w:right w:val="single" w:sz="4" w:space="0" w:color="auto"/>
            </w:tcBorders>
            <w:hideMark/>
          </w:tcPr>
          <w:p w14:paraId="6811218E" w14:textId="77777777" w:rsidR="00FC1AFF" w:rsidRPr="00FC1AFF" w:rsidRDefault="00FC1AFF" w:rsidP="00FC1AFF">
            <w:pPr>
              <w:tabs>
                <w:tab w:val="decimal" w:pos="612"/>
              </w:tabs>
              <w:autoSpaceDE w:val="0"/>
              <w:autoSpaceDN w:val="0"/>
              <w:adjustRightInd w:val="0"/>
              <w:jc w:val="both"/>
              <w:rPr>
                <w:sz w:val="20"/>
                <w:szCs w:val="20"/>
              </w:rPr>
            </w:pPr>
            <w:r w:rsidRPr="00FC1AFF">
              <w:rPr>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14:paraId="74412ED5" w14:textId="77777777" w:rsidR="00FC1AFF" w:rsidRPr="00FC1AFF" w:rsidRDefault="00FC1AFF" w:rsidP="00FC1AFF">
            <w:pPr>
              <w:tabs>
                <w:tab w:val="decimal" w:pos="972"/>
              </w:tabs>
              <w:autoSpaceDE w:val="0"/>
              <w:autoSpaceDN w:val="0"/>
              <w:adjustRightInd w:val="0"/>
              <w:jc w:val="both"/>
              <w:rPr>
                <w:sz w:val="20"/>
                <w:szCs w:val="20"/>
              </w:rPr>
            </w:pPr>
            <w:r w:rsidRPr="00FC1AFF">
              <w:rPr>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14:paraId="03AE90F3" w14:textId="77777777" w:rsidR="00FC1AFF" w:rsidRPr="00FC1AFF" w:rsidRDefault="00FC1AFF" w:rsidP="00FC1AFF">
            <w:pPr>
              <w:tabs>
                <w:tab w:val="decimal" w:pos="702"/>
              </w:tabs>
              <w:autoSpaceDE w:val="0"/>
              <w:autoSpaceDN w:val="0"/>
              <w:adjustRightInd w:val="0"/>
              <w:jc w:val="both"/>
              <w:rPr>
                <w:sz w:val="20"/>
                <w:szCs w:val="20"/>
              </w:rPr>
            </w:pPr>
            <w:r w:rsidRPr="00FC1AFF">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14:paraId="5AFB7F96" w14:textId="77777777" w:rsidR="00FC1AFF" w:rsidRPr="00FC1AFF" w:rsidRDefault="00FC1AFF" w:rsidP="00FC1AFF">
            <w:pPr>
              <w:tabs>
                <w:tab w:val="decimal" w:pos="702"/>
              </w:tabs>
              <w:autoSpaceDE w:val="0"/>
              <w:autoSpaceDN w:val="0"/>
              <w:adjustRightInd w:val="0"/>
              <w:jc w:val="both"/>
              <w:rPr>
                <w:sz w:val="20"/>
                <w:szCs w:val="20"/>
              </w:rPr>
            </w:pPr>
            <w:r w:rsidRPr="00FC1AFF">
              <w:rPr>
                <w:sz w:val="20"/>
                <w:szCs w:val="20"/>
              </w:rPr>
              <w:t>107,725</w:t>
            </w:r>
          </w:p>
        </w:tc>
      </w:tr>
      <w:tr w:rsidR="00FC1AFF" w:rsidRPr="00FC1AFF" w14:paraId="39D1AD6C" w14:textId="77777777" w:rsidTr="00FC1AFF">
        <w:tc>
          <w:tcPr>
            <w:tcW w:w="2176" w:type="dxa"/>
            <w:tcBorders>
              <w:top w:val="single" w:sz="4" w:space="0" w:color="auto"/>
              <w:left w:val="single" w:sz="4" w:space="0" w:color="auto"/>
              <w:bottom w:val="single" w:sz="4" w:space="0" w:color="auto"/>
              <w:right w:val="single" w:sz="4" w:space="0" w:color="auto"/>
            </w:tcBorders>
            <w:hideMark/>
          </w:tcPr>
          <w:p w14:paraId="12BAA864" w14:textId="77777777" w:rsidR="00FC1AFF" w:rsidRPr="00FC1AFF" w:rsidRDefault="00FC1AFF" w:rsidP="00FC1AFF">
            <w:pPr>
              <w:tabs>
                <w:tab w:val="left" w:pos="180"/>
                <w:tab w:val="left" w:pos="1620"/>
              </w:tabs>
              <w:autoSpaceDE w:val="0"/>
              <w:autoSpaceDN w:val="0"/>
              <w:adjustRightInd w:val="0"/>
              <w:jc w:val="both"/>
              <w:rPr>
                <w:sz w:val="20"/>
                <w:szCs w:val="20"/>
              </w:rPr>
            </w:pPr>
            <w:r w:rsidRPr="00FC1AFF">
              <w:rPr>
                <w:sz w:val="20"/>
                <w:szCs w:val="20"/>
              </w:rPr>
              <w:t>Robert T. McNally</w:t>
            </w:r>
          </w:p>
        </w:tc>
        <w:tc>
          <w:tcPr>
            <w:tcW w:w="1169" w:type="dxa"/>
            <w:tcBorders>
              <w:top w:val="single" w:sz="4" w:space="0" w:color="auto"/>
              <w:left w:val="single" w:sz="4" w:space="0" w:color="auto"/>
              <w:bottom w:val="single" w:sz="4" w:space="0" w:color="auto"/>
              <w:right w:val="single" w:sz="4" w:space="0" w:color="auto"/>
            </w:tcBorders>
            <w:hideMark/>
          </w:tcPr>
          <w:p w14:paraId="1DDAB8B5" w14:textId="77777777" w:rsidR="00FC1AFF" w:rsidRPr="00FC1AFF" w:rsidRDefault="00FC1AFF" w:rsidP="00FC1AFF">
            <w:pPr>
              <w:tabs>
                <w:tab w:val="decimal" w:pos="794"/>
              </w:tabs>
              <w:autoSpaceDE w:val="0"/>
              <w:autoSpaceDN w:val="0"/>
              <w:adjustRightInd w:val="0"/>
              <w:jc w:val="both"/>
              <w:rPr>
                <w:sz w:val="20"/>
                <w:szCs w:val="20"/>
              </w:rPr>
            </w:pPr>
            <w:r w:rsidRPr="00FC1AFF">
              <w:rPr>
                <w:sz w:val="20"/>
                <w:szCs w:val="20"/>
              </w:rPr>
              <w:t>27,000</w:t>
            </w:r>
          </w:p>
        </w:tc>
        <w:tc>
          <w:tcPr>
            <w:tcW w:w="1080" w:type="dxa"/>
            <w:tcBorders>
              <w:top w:val="single" w:sz="4" w:space="0" w:color="auto"/>
              <w:left w:val="single" w:sz="4" w:space="0" w:color="auto"/>
              <w:bottom w:val="single" w:sz="4" w:space="0" w:color="auto"/>
              <w:right w:val="single" w:sz="4" w:space="0" w:color="auto"/>
            </w:tcBorders>
            <w:hideMark/>
          </w:tcPr>
          <w:p w14:paraId="6AECA9F4" w14:textId="77777777" w:rsidR="00FC1AFF" w:rsidRPr="00FC1AFF" w:rsidRDefault="00FC1AFF" w:rsidP="00FC1AFF">
            <w:pPr>
              <w:tabs>
                <w:tab w:val="decimal" w:pos="792"/>
              </w:tabs>
              <w:autoSpaceDE w:val="0"/>
              <w:autoSpaceDN w:val="0"/>
              <w:adjustRightInd w:val="0"/>
              <w:jc w:val="both"/>
              <w:rPr>
                <w:sz w:val="20"/>
                <w:szCs w:val="20"/>
              </w:rPr>
            </w:pPr>
            <w:r w:rsidRPr="00FC1AFF">
              <w:rPr>
                <w:sz w:val="20"/>
                <w:szCs w:val="20"/>
              </w:rPr>
              <w:t>71,750</w:t>
            </w:r>
          </w:p>
        </w:tc>
        <w:tc>
          <w:tcPr>
            <w:tcW w:w="1350" w:type="dxa"/>
            <w:tcBorders>
              <w:top w:val="single" w:sz="4" w:space="0" w:color="auto"/>
              <w:left w:val="single" w:sz="4" w:space="0" w:color="auto"/>
              <w:bottom w:val="single" w:sz="4" w:space="0" w:color="auto"/>
              <w:right w:val="single" w:sz="4" w:space="0" w:color="auto"/>
            </w:tcBorders>
            <w:hideMark/>
          </w:tcPr>
          <w:p w14:paraId="1440EA4F" w14:textId="77777777" w:rsidR="00FC1AFF" w:rsidRPr="00FC1AFF" w:rsidRDefault="00FC1AFF" w:rsidP="00FC1AFF">
            <w:pPr>
              <w:tabs>
                <w:tab w:val="decimal" w:pos="612"/>
              </w:tabs>
              <w:autoSpaceDE w:val="0"/>
              <w:autoSpaceDN w:val="0"/>
              <w:adjustRightInd w:val="0"/>
              <w:jc w:val="both"/>
              <w:rPr>
                <w:sz w:val="20"/>
                <w:szCs w:val="20"/>
              </w:rPr>
            </w:pPr>
            <w:r w:rsidRPr="00FC1AFF">
              <w:rPr>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14:paraId="19698522" w14:textId="77777777" w:rsidR="00FC1AFF" w:rsidRPr="00FC1AFF" w:rsidRDefault="00FC1AFF" w:rsidP="00FC1AFF">
            <w:pPr>
              <w:tabs>
                <w:tab w:val="decimal" w:pos="972"/>
              </w:tabs>
              <w:autoSpaceDE w:val="0"/>
              <w:autoSpaceDN w:val="0"/>
              <w:adjustRightInd w:val="0"/>
              <w:jc w:val="both"/>
              <w:rPr>
                <w:sz w:val="20"/>
                <w:szCs w:val="20"/>
              </w:rPr>
            </w:pPr>
            <w:r w:rsidRPr="00FC1AFF">
              <w:rPr>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14:paraId="0025382E" w14:textId="77777777" w:rsidR="00FC1AFF" w:rsidRPr="00FC1AFF" w:rsidRDefault="00FC1AFF" w:rsidP="00FC1AFF">
            <w:pPr>
              <w:tabs>
                <w:tab w:val="decimal" w:pos="702"/>
              </w:tabs>
              <w:autoSpaceDE w:val="0"/>
              <w:autoSpaceDN w:val="0"/>
              <w:adjustRightInd w:val="0"/>
              <w:jc w:val="both"/>
              <w:rPr>
                <w:sz w:val="20"/>
                <w:szCs w:val="20"/>
              </w:rPr>
            </w:pPr>
            <w:r w:rsidRPr="00FC1AFF">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14:paraId="2EE8F37C" w14:textId="77777777" w:rsidR="00FC1AFF" w:rsidRPr="00FC1AFF" w:rsidRDefault="00FC1AFF" w:rsidP="00FC1AFF">
            <w:pPr>
              <w:tabs>
                <w:tab w:val="decimal" w:pos="702"/>
              </w:tabs>
              <w:autoSpaceDE w:val="0"/>
              <w:autoSpaceDN w:val="0"/>
              <w:adjustRightInd w:val="0"/>
              <w:jc w:val="both"/>
              <w:rPr>
                <w:sz w:val="20"/>
                <w:szCs w:val="20"/>
              </w:rPr>
            </w:pPr>
            <w:r w:rsidRPr="00FC1AFF">
              <w:rPr>
                <w:sz w:val="20"/>
                <w:szCs w:val="20"/>
              </w:rPr>
              <w:t>98,750</w:t>
            </w:r>
          </w:p>
        </w:tc>
      </w:tr>
      <w:tr w:rsidR="00FC1AFF" w:rsidRPr="00FC1AFF" w14:paraId="0010F245" w14:textId="77777777" w:rsidTr="00FC1AFF">
        <w:trPr>
          <w:trHeight w:val="269"/>
        </w:trPr>
        <w:tc>
          <w:tcPr>
            <w:tcW w:w="2176" w:type="dxa"/>
            <w:tcBorders>
              <w:top w:val="single" w:sz="4" w:space="0" w:color="auto"/>
              <w:left w:val="single" w:sz="4" w:space="0" w:color="auto"/>
              <w:bottom w:val="single" w:sz="4" w:space="0" w:color="auto"/>
              <w:right w:val="single" w:sz="4" w:space="0" w:color="auto"/>
            </w:tcBorders>
            <w:hideMark/>
          </w:tcPr>
          <w:p w14:paraId="3BF6D423" w14:textId="77777777" w:rsidR="00FC1AFF" w:rsidRPr="00FC1AFF" w:rsidRDefault="00FC1AFF" w:rsidP="00FC1AFF">
            <w:pPr>
              <w:tabs>
                <w:tab w:val="left" w:pos="180"/>
                <w:tab w:val="left" w:pos="1620"/>
              </w:tabs>
              <w:autoSpaceDE w:val="0"/>
              <w:autoSpaceDN w:val="0"/>
              <w:adjustRightInd w:val="0"/>
              <w:jc w:val="both"/>
              <w:rPr>
                <w:sz w:val="20"/>
                <w:szCs w:val="20"/>
              </w:rPr>
            </w:pPr>
            <w:r w:rsidRPr="00FC1AFF">
              <w:rPr>
                <w:sz w:val="20"/>
                <w:szCs w:val="20"/>
              </w:rPr>
              <w:t xml:space="preserve">John N. Spencer, Jr. </w:t>
            </w:r>
          </w:p>
        </w:tc>
        <w:tc>
          <w:tcPr>
            <w:tcW w:w="1169" w:type="dxa"/>
            <w:tcBorders>
              <w:top w:val="single" w:sz="4" w:space="0" w:color="auto"/>
              <w:left w:val="single" w:sz="4" w:space="0" w:color="auto"/>
              <w:bottom w:val="single" w:sz="4" w:space="0" w:color="auto"/>
              <w:right w:val="single" w:sz="4" w:space="0" w:color="auto"/>
            </w:tcBorders>
            <w:hideMark/>
          </w:tcPr>
          <w:p w14:paraId="07351CA2" w14:textId="77777777" w:rsidR="00FC1AFF" w:rsidRPr="00FC1AFF" w:rsidRDefault="00FC1AFF" w:rsidP="00FC1AFF">
            <w:pPr>
              <w:tabs>
                <w:tab w:val="decimal" w:pos="794"/>
              </w:tabs>
              <w:autoSpaceDE w:val="0"/>
              <w:autoSpaceDN w:val="0"/>
              <w:adjustRightInd w:val="0"/>
              <w:jc w:val="both"/>
              <w:rPr>
                <w:sz w:val="20"/>
                <w:szCs w:val="20"/>
              </w:rPr>
            </w:pPr>
            <w:r w:rsidRPr="00FC1AFF">
              <w:rPr>
                <w:sz w:val="20"/>
                <w:szCs w:val="20"/>
              </w:rPr>
              <w:t>47,000</w:t>
            </w:r>
          </w:p>
        </w:tc>
        <w:tc>
          <w:tcPr>
            <w:tcW w:w="1080" w:type="dxa"/>
            <w:tcBorders>
              <w:top w:val="single" w:sz="4" w:space="0" w:color="auto"/>
              <w:left w:val="single" w:sz="4" w:space="0" w:color="auto"/>
              <w:bottom w:val="single" w:sz="4" w:space="0" w:color="auto"/>
              <w:right w:val="single" w:sz="4" w:space="0" w:color="auto"/>
            </w:tcBorders>
            <w:hideMark/>
          </w:tcPr>
          <w:p w14:paraId="1B982522" w14:textId="77777777" w:rsidR="00FC1AFF" w:rsidRPr="00FC1AFF" w:rsidRDefault="00FC1AFF" w:rsidP="00FC1AFF">
            <w:pPr>
              <w:tabs>
                <w:tab w:val="decimal" w:pos="792"/>
              </w:tabs>
              <w:autoSpaceDE w:val="0"/>
              <w:autoSpaceDN w:val="0"/>
              <w:adjustRightInd w:val="0"/>
              <w:jc w:val="both"/>
              <w:rPr>
                <w:sz w:val="20"/>
                <w:szCs w:val="20"/>
              </w:rPr>
            </w:pPr>
            <w:r w:rsidRPr="00FC1AFF">
              <w:rPr>
                <w:sz w:val="20"/>
                <w:szCs w:val="20"/>
              </w:rPr>
              <w:t>71,750</w:t>
            </w:r>
          </w:p>
        </w:tc>
        <w:tc>
          <w:tcPr>
            <w:tcW w:w="1350" w:type="dxa"/>
            <w:tcBorders>
              <w:top w:val="single" w:sz="4" w:space="0" w:color="auto"/>
              <w:left w:val="single" w:sz="4" w:space="0" w:color="auto"/>
              <w:bottom w:val="single" w:sz="4" w:space="0" w:color="auto"/>
              <w:right w:val="single" w:sz="4" w:space="0" w:color="auto"/>
            </w:tcBorders>
            <w:hideMark/>
          </w:tcPr>
          <w:p w14:paraId="36D53842" w14:textId="77777777" w:rsidR="00FC1AFF" w:rsidRPr="00FC1AFF" w:rsidRDefault="00FC1AFF" w:rsidP="00FC1AFF">
            <w:pPr>
              <w:tabs>
                <w:tab w:val="decimal" w:pos="612"/>
              </w:tabs>
              <w:autoSpaceDE w:val="0"/>
              <w:autoSpaceDN w:val="0"/>
              <w:adjustRightInd w:val="0"/>
              <w:jc w:val="both"/>
              <w:rPr>
                <w:sz w:val="20"/>
                <w:szCs w:val="20"/>
              </w:rPr>
            </w:pPr>
            <w:r w:rsidRPr="00FC1AFF">
              <w:rPr>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14:paraId="2CDC0A94" w14:textId="77777777" w:rsidR="00FC1AFF" w:rsidRPr="00FC1AFF" w:rsidRDefault="00FC1AFF" w:rsidP="00FC1AFF">
            <w:pPr>
              <w:tabs>
                <w:tab w:val="decimal" w:pos="972"/>
              </w:tabs>
              <w:autoSpaceDE w:val="0"/>
              <w:autoSpaceDN w:val="0"/>
              <w:adjustRightInd w:val="0"/>
              <w:jc w:val="both"/>
              <w:rPr>
                <w:sz w:val="20"/>
                <w:szCs w:val="20"/>
              </w:rPr>
            </w:pPr>
            <w:r w:rsidRPr="00FC1AFF">
              <w:rPr>
                <w:sz w:val="20"/>
                <w:szCs w:val="20"/>
              </w:rPr>
              <w:t>-</w:t>
            </w:r>
          </w:p>
        </w:tc>
        <w:tc>
          <w:tcPr>
            <w:tcW w:w="1350" w:type="dxa"/>
            <w:tcBorders>
              <w:top w:val="single" w:sz="4" w:space="0" w:color="auto"/>
              <w:left w:val="single" w:sz="4" w:space="0" w:color="auto"/>
              <w:bottom w:val="single" w:sz="4" w:space="0" w:color="auto"/>
              <w:right w:val="single" w:sz="4" w:space="0" w:color="auto"/>
            </w:tcBorders>
            <w:hideMark/>
          </w:tcPr>
          <w:p w14:paraId="108E9800" w14:textId="77777777" w:rsidR="00FC1AFF" w:rsidRPr="00FC1AFF" w:rsidRDefault="00FC1AFF" w:rsidP="00FC1AFF">
            <w:pPr>
              <w:tabs>
                <w:tab w:val="decimal" w:pos="702"/>
              </w:tabs>
              <w:autoSpaceDE w:val="0"/>
              <w:autoSpaceDN w:val="0"/>
              <w:adjustRightInd w:val="0"/>
              <w:jc w:val="both"/>
              <w:rPr>
                <w:sz w:val="20"/>
                <w:szCs w:val="20"/>
              </w:rPr>
            </w:pPr>
            <w:r w:rsidRPr="00FC1AFF">
              <w:rPr>
                <w:sz w:val="20"/>
                <w:szCs w:val="20"/>
              </w:rPr>
              <w:t>-</w:t>
            </w:r>
          </w:p>
        </w:tc>
        <w:tc>
          <w:tcPr>
            <w:tcW w:w="900" w:type="dxa"/>
            <w:tcBorders>
              <w:top w:val="single" w:sz="4" w:space="0" w:color="auto"/>
              <w:left w:val="single" w:sz="4" w:space="0" w:color="auto"/>
              <w:bottom w:val="single" w:sz="4" w:space="0" w:color="auto"/>
              <w:right w:val="single" w:sz="4" w:space="0" w:color="auto"/>
            </w:tcBorders>
            <w:hideMark/>
          </w:tcPr>
          <w:p w14:paraId="4969EF5F" w14:textId="77777777" w:rsidR="00FC1AFF" w:rsidRPr="00FC1AFF" w:rsidRDefault="00FC1AFF" w:rsidP="00FC1AFF">
            <w:pPr>
              <w:tabs>
                <w:tab w:val="decimal" w:pos="702"/>
              </w:tabs>
              <w:autoSpaceDE w:val="0"/>
              <w:autoSpaceDN w:val="0"/>
              <w:adjustRightInd w:val="0"/>
              <w:jc w:val="both"/>
              <w:rPr>
                <w:sz w:val="20"/>
                <w:szCs w:val="20"/>
              </w:rPr>
            </w:pPr>
            <w:r w:rsidRPr="00FC1AFF">
              <w:rPr>
                <w:sz w:val="20"/>
                <w:szCs w:val="20"/>
              </w:rPr>
              <w:t>118,750</w:t>
            </w:r>
          </w:p>
        </w:tc>
      </w:tr>
    </w:tbl>
    <w:p w14:paraId="252B03FB" w14:textId="77777777" w:rsidR="00FC1AFF" w:rsidRPr="00FC1AFF" w:rsidRDefault="00FC1AFF" w:rsidP="00FC1AFF">
      <w:pPr>
        <w:autoSpaceDE w:val="0"/>
        <w:autoSpaceDN w:val="0"/>
        <w:adjustRightInd w:val="0"/>
        <w:jc w:val="both"/>
        <w:rPr>
          <w:sz w:val="20"/>
          <w:szCs w:val="20"/>
        </w:rPr>
      </w:pPr>
    </w:p>
    <w:p w14:paraId="7E446F86" w14:textId="77777777" w:rsidR="00FC1AFF" w:rsidRPr="00FC1AFF" w:rsidRDefault="00FC1AFF" w:rsidP="00C73E0F">
      <w:pPr>
        <w:numPr>
          <w:ilvl w:val="0"/>
          <w:numId w:val="16"/>
        </w:numPr>
        <w:autoSpaceDE w:val="0"/>
        <w:autoSpaceDN w:val="0"/>
        <w:adjustRightInd w:val="0"/>
        <w:ind w:left="360"/>
        <w:jc w:val="both"/>
        <w:rPr>
          <w:sz w:val="20"/>
          <w:szCs w:val="20"/>
        </w:rPr>
      </w:pPr>
      <w:r w:rsidRPr="00FC1AFF">
        <w:rPr>
          <w:sz w:val="20"/>
          <w:szCs w:val="20"/>
        </w:rPr>
        <w:t>As discussed below under “Director Compensation Plan” directors who are employees of the Company receive no compensation for their service as directors.  As President and CEO, Mr. Dodd therefore receives no compensation for his service as a director; his compensation for service as President and CEO is shown in the “Summary Compensation” table above.</w:t>
      </w:r>
    </w:p>
    <w:p w14:paraId="22777020" w14:textId="77777777" w:rsidR="00FC1AFF" w:rsidRPr="00FC1AFF" w:rsidRDefault="00FC1AFF" w:rsidP="00C73E0F">
      <w:pPr>
        <w:numPr>
          <w:ilvl w:val="0"/>
          <w:numId w:val="16"/>
        </w:numPr>
        <w:autoSpaceDE w:val="0"/>
        <w:autoSpaceDN w:val="0"/>
        <w:adjustRightInd w:val="0"/>
        <w:ind w:left="360"/>
        <w:jc w:val="both"/>
        <w:rPr>
          <w:sz w:val="20"/>
          <w:szCs w:val="20"/>
        </w:rPr>
      </w:pPr>
      <w:r w:rsidRPr="00FC1AFF">
        <w:rPr>
          <w:sz w:val="20"/>
          <w:szCs w:val="20"/>
        </w:rPr>
        <w:t xml:space="preserve">Represents the grant date fair value of stock options granted on December 7, 2021 to each non-employee director for 25,000 shares with an exercise price of $3.82 per share, vesting over a one-year period. </w:t>
      </w:r>
    </w:p>
    <w:p w14:paraId="5B154C9F" w14:textId="77777777" w:rsidR="00FC1AFF" w:rsidRPr="00FC1AFF" w:rsidRDefault="00FC1AFF" w:rsidP="00C73E0F">
      <w:pPr>
        <w:numPr>
          <w:ilvl w:val="0"/>
          <w:numId w:val="16"/>
        </w:numPr>
        <w:autoSpaceDE w:val="0"/>
        <w:autoSpaceDN w:val="0"/>
        <w:adjustRightInd w:val="0"/>
        <w:ind w:left="360"/>
        <w:jc w:val="both"/>
        <w:rPr>
          <w:sz w:val="20"/>
          <w:szCs w:val="20"/>
        </w:rPr>
      </w:pPr>
      <w:r w:rsidRPr="00FC1AFF">
        <w:rPr>
          <w:sz w:val="20"/>
          <w:szCs w:val="20"/>
        </w:rPr>
        <w:t>The table below shows the aggregate numbers of warrants and option awards outstanding for each non-employee director as of December 31, 2021. The table includes warrants granted to our directors upon payment of deferred compensation occurring on September 29, 2020.</w:t>
      </w:r>
    </w:p>
    <w:p w14:paraId="5B295729" w14:textId="77777777" w:rsidR="00FC1AFF" w:rsidRPr="00FC1AFF" w:rsidRDefault="00FC1AFF" w:rsidP="00FC1AFF">
      <w:pPr>
        <w:ind w:left="540"/>
        <w:rPr>
          <w:sz w:val="20"/>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9"/>
        <w:gridCol w:w="2953"/>
      </w:tblGrid>
      <w:tr w:rsidR="00FC1AFF" w:rsidRPr="00FC1AFF" w14:paraId="368046EC" w14:textId="77777777" w:rsidTr="00FC1AFF">
        <w:tc>
          <w:tcPr>
            <w:tcW w:w="6390" w:type="dxa"/>
            <w:tcBorders>
              <w:top w:val="single" w:sz="4" w:space="0" w:color="auto"/>
              <w:left w:val="single" w:sz="4" w:space="0" w:color="auto"/>
              <w:bottom w:val="single" w:sz="4" w:space="0" w:color="auto"/>
              <w:right w:val="single" w:sz="4" w:space="0" w:color="auto"/>
            </w:tcBorders>
          </w:tcPr>
          <w:p w14:paraId="5C01B335" w14:textId="77777777" w:rsidR="00FC1AFF" w:rsidRPr="00FC1AFF" w:rsidRDefault="00FC1AFF" w:rsidP="00FC1AFF">
            <w:pPr>
              <w:rPr>
                <w:sz w:val="20"/>
                <w:szCs w:val="20"/>
              </w:rPr>
            </w:pPr>
          </w:p>
          <w:p w14:paraId="4844E6FF" w14:textId="77777777" w:rsidR="00FC1AFF" w:rsidRPr="00FC1AFF" w:rsidRDefault="00FC1AFF" w:rsidP="00FC1AFF">
            <w:pPr>
              <w:rPr>
                <w:sz w:val="20"/>
                <w:szCs w:val="20"/>
              </w:rPr>
            </w:pPr>
          </w:p>
          <w:p w14:paraId="165EB050" w14:textId="77777777" w:rsidR="00FC1AFF" w:rsidRPr="00FC1AFF" w:rsidRDefault="00FC1AFF" w:rsidP="00FC1AFF">
            <w:pPr>
              <w:rPr>
                <w:sz w:val="20"/>
                <w:szCs w:val="20"/>
              </w:rPr>
            </w:pPr>
          </w:p>
          <w:p w14:paraId="499EA136" w14:textId="77777777" w:rsidR="00FC1AFF" w:rsidRPr="00FC1AFF" w:rsidRDefault="00FC1AFF" w:rsidP="00FC1AFF">
            <w:pPr>
              <w:rPr>
                <w:sz w:val="20"/>
                <w:szCs w:val="20"/>
              </w:rPr>
            </w:pPr>
            <w:r w:rsidRPr="00FC1AFF">
              <w:rPr>
                <w:sz w:val="20"/>
                <w:szCs w:val="20"/>
              </w:rPr>
              <w:t>Name</w:t>
            </w:r>
          </w:p>
        </w:tc>
        <w:tc>
          <w:tcPr>
            <w:tcW w:w="3060" w:type="dxa"/>
            <w:tcBorders>
              <w:top w:val="single" w:sz="4" w:space="0" w:color="auto"/>
              <w:left w:val="single" w:sz="4" w:space="0" w:color="auto"/>
              <w:bottom w:val="single" w:sz="4" w:space="0" w:color="auto"/>
              <w:right w:val="single" w:sz="4" w:space="0" w:color="auto"/>
            </w:tcBorders>
            <w:hideMark/>
          </w:tcPr>
          <w:p w14:paraId="659B7EA4" w14:textId="77777777" w:rsidR="00FC1AFF" w:rsidRPr="00FC1AFF" w:rsidRDefault="00FC1AFF" w:rsidP="00FC1AFF">
            <w:pPr>
              <w:jc w:val="center"/>
              <w:rPr>
                <w:sz w:val="20"/>
                <w:szCs w:val="20"/>
              </w:rPr>
            </w:pPr>
            <w:r w:rsidRPr="00FC1AFF">
              <w:rPr>
                <w:sz w:val="20"/>
                <w:szCs w:val="20"/>
              </w:rPr>
              <w:t>Aggregate Option Awards</w:t>
            </w:r>
          </w:p>
          <w:p w14:paraId="1956343E" w14:textId="77777777" w:rsidR="00FC1AFF" w:rsidRPr="00FC1AFF" w:rsidRDefault="00FC1AFF" w:rsidP="00FC1AFF">
            <w:pPr>
              <w:jc w:val="center"/>
              <w:rPr>
                <w:sz w:val="20"/>
                <w:szCs w:val="20"/>
              </w:rPr>
            </w:pPr>
            <w:r w:rsidRPr="00FC1AFF">
              <w:rPr>
                <w:sz w:val="20"/>
                <w:szCs w:val="20"/>
              </w:rPr>
              <w:t xml:space="preserve">Outstanding </w:t>
            </w:r>
          </w:p>
          <w:p w14:paraId="1B1F001F" w14:textId="77777777" w:rsidR="00FC1AFF" w:rsidRPr="00FC1AFF" w:rsidRDefault="00FC1AFF" w:rsidP="00FC1AFF">
            <w:pPr>
              <w:jc w:val="center"/>
              <w:rPr>
                <w:sz w:val="20"/>
                <w:szCs w:val="20"/>
              </w:rPr>
            </w:pPr>
            <w:r w:rsidRPr="00FC1AFF">
              <w:rPr>
                <w:sz w:val="20"/>
                <w:szCs w:val="20"/>
              </w:rPr>
              <w:t>as of December 31, 2021</w:t>
            </w:r>
          </w:p>
          <w:p w14:paraId="0F5477B0" w14:textId="77777777" w:rsidR="00FC1AFF" w:rsidRPr="00FC1AFF" w:rsidRDefault="00FC1AFF" w:rsidP="00FC1AFF">
            <w:pPr>
              <w:jc w:val="center"/>
              <w:rPr>
                <w:sz w:val="20"/>
                <w:szCs w:val="20"/>
              </w:rPr>
            </w:pPr>
            <w:r w:rsidRPr="00FC1AFF">
              <w:rPr>
                <w:sz w:val="20"/>
                <w:szCs w:val="20"/>
              </w:rPr>
              <w:t>(#)</w:t>
            </w:r>
          </w:p>
        </w:tc>
      </w:tr>
      <w:tr w:rsidR="00FC1AFF" w:rsidRPr="00FC1AFF" w14:paraId="73803F77" w14:textId="77777777" w:rsidTr="00FC1AFF">
        <w:tc>
          <w:tcPr>
            <w:tcW w:w="6390" w:type="dxa"/>
            <w:tcBorders>
              <w:top w:val="single" w:sz="4" w:space="0" w:color="auto"/>
              <w:left w:val="single" w:sz="4" w:space="0" w:color="auto"/>
              <w:bottom w:val="single" w:sz="4" w:space="0" w:color="auto"/>
              <w:right w:val="single" w:sz="4" w:space="0" w:color="auto"/>
            </w:tcBorders>
          </w:tcPr>
          <w:p w14:paraId="722D971C" w14:textId="77777777" w:rsidR="00FC1AFF" w:rsidRPr="00FC1AFF" w:rsidRDefault="00FC1AFF" w:rsidP="00FC1AFF">
            <w:pPr>
              <w:rPr>
                <w:sz w:val="20"/>
                <w:szCs w:val="20"/>
              </w:rPr>
            </w:pPr>
            <w:r w:rsidRPr="00FC1AFF">
              <w:rPr>
                <w:sz w:val="20"/>
                <w:szCs w:val="20"/>
              </w:rPr>
              <w:t>Randal D. Chase</w:t>
            </w:r>
          </w:p>
        </w:tc>
        <w:tc>
          <w:tcPr>
            <w:tcW w:w="3060" w:type="dxa"/>
            <w:tcBorders>
              <w:top w:val="single" w:sz="4" w:space="0" w:color="auto"/>
              <w:left w:val="single" w:sz="4" w:space="0" w:color="auto"/>
              <w:bottom w:val="single" w:sz="4" w:space="0" w:color="auto"/>
              <w:right w:val="single" w:sz="4" w:space="0" w:color="auto"/>
            </w:tcBorders>
          </w:tcPr>
          <w:p w14:paraId="5A0B0308" w14:textId="77777777" w:rsidR="00FC1AFF" w:rsidRPr="00FC1AFF" w:rsidRDefault="00FC1AFF" w:rsidP="00FC1AFF">
            <w:pPr>
              <w:tabs>
                <w:tab w:val="decimal" w:pos="1602"/>
              </w:tabs>
              <w:rPr>
                <w:sz w:val="20"/>
                <w:szCs w:val="20"/>
              </w:rPr>
            </w:pPr>
            <w:r w:rsidRPr="00FC1AFF">
              <w:rPr>
                <w:sz w:val="20"/>
                <w:szCs w:val="20"/>
              </w:rPr>
              <w:t>66,613</w:t>
            </w:r>
          </w:p>
        </w:tc>
      </w:tr>
      <w:tr w:rsidR="00FC1AFF" w:rsidRPr="00FC1AFF" w14:paraId="6254115A" w14:textId="77777777" w:rsidTr="00FC1AFF">
        <w:tc>
          <w:tcPr>
            <w:tcW w:w="6390" w:type="dxa"/>
            <w:tcBorders>
              <w:top w:val="single" w:sz="4" w:space="0" w:color="auto"/>
              <w:left w:val="single" w:sz="4" w:space="0" w:color="auto"/>
              <w:bottom w:val="single" w:sz="4" w:space="0" w:color="auto"/>
              <w:right w:val="single" w:sz="4" w:space="0" w:color="auto"/>
            </w:tcBorders>
            <w:hideMark/>
          </w:tcPr>
          <w:p w14:paraId="1A0FB836" w14:textId="77777777" w:rsidR="00FC1AFF" w:rsidRPr="00FC1AFF" w:rsidRDefault="00FC1AFF" w:rsidP="00FC1AFF">
            <w:pPr>
              <w:rPr>
                <w:sz w:val="20"/>
                <w:szCs w:val="20"/>
              </w:rPr>
            </w:pPr>
            <w:r w:rsidRPr="00FC1AFF">
              <w:rPr>
                <w:sz w:val="20"/>
                <w:szCs w:val="20"/>
              </w:rPr>
              <w:t>Dean G. Kollintzas</w:t>
            </w:r>
          </w:p>
        </w:tc>
        <w:tc>
          <w:tcPr>
            <w:tcW w:w="3060" w:type="dxa"/>
            <w:tcBorders>
              <w:top w:val="single" w:sz="4" w:space="0" w:color="auto"/>
              <w:left w:val="single" w:sz="4" w:space="0" w:color="auto"/>
              <w:bottom w:val="single" w:sz="4" w:space="0" w:color="auto"/>
              <w:right w:val="single" w:sz="4" w:space="0" w:color="auto"/>
            </w:tcBorders>
            <w:hideMark/>
          </w:tcPr>
          <w:p w14:paraId="681AAC62" w14:textId="77777777" w:rsidR="00FC1AFF" w:rsidRPr="00FC1AFF" w:rsidRDefault="00FC1AFF" w:rsidP="00FC1AFF">
            <w:pPr>
              <w:tabs>
                <w:tab w:val="decimal" w:pos="1602"/>
              </w:tabs>
              <w:rPr>
                <w:sz w:val="20"/>
                <w:szCs w:val="20"/>
              </w:rPr>
            </w:pPr>
            <w:r w:rsidRPr="00FC1AFF">
              <w:rPr>
                <w:sz w:val="20"/>
                <w:szCs w:val="20"/>
              </w:rPr>
              <w:t>61,987</w:t>
            </w:r>
          </w:p>
        </w:tc>
      </w:tr>
      <w:tr w:rsidR="00FC1AFF" w:rsidRPr="00FC1AFF" w14:paraId="3A9A6F0C" w14:textId="77777777" w:rsidTr="00FC1AFF">
        <w:tc>
          <w:tcPr>
            <w:tcW w:w="6390" w:type="dxa"/>
            <w:tcBorders>
              <w:top w:val="single" w:sz="4" w:space="0" w:color="auto"/>
              <w:left w:val="single" w:sz="4" w:space="0" w:color="auto"/>
              <w:bottom w:val="single" w:sz="4" w:space="0" w:color="auto"/>
              <w:right w:val="single" w:sz="4" w:space="0" w:color="auto"/>
            </w:tcBorders>
            <w:hideMark/>
          </w:tcPr>
          <w:p w14:paraId="4E2A9D29" w14:textId="77777777" w:rsidR="00FC1AFF" w:rsidRPr="00FC1AFF" w:rsidRDefault="00FC1AFF" w:rsidP="00FC1AFF">
            <w:pPr>
              <w:rPr>
                <w:sz w:val="20"/>
                <w:szCs w:val="20"/>
              </w:rPr>
            </w:pPr>
            <w:r w:rsidRPr="00FC1AFF">
              <w:rPr>
                <w:sz w:val="20"/>
                <w:szCs w:val="20"/>
              </w:rPr>
              <w:t>Robert T. McNally</w:t>
            </w:r>
          </w:p>
        </w:tc>
        <w:tc>
          <w:tcPr>
            <w:tcW w:w="3060" w:type="dxa"/>
            <w:tcBorders>
              <w:top w:val="single" w:sz="4" w:space="0" w:color="auto"/>
              <w:left w:val="single" w:sz="4" w:space="0" w:color="auto"/>
              <w:bottom w:val="single" w:sz="4" w:space="0" w:color="auto"/>
              <w:right w:val="single" w:sz="4" w:space="0" w:color="auto"/>
            </w:tcBorders>
            <w:hideMark/>
          </w:tcPr>
          <w:p w14:paraId="53DC0436" w14:textId="77777777" w:rsidR="00FC1AFF" w:rsidRPr="00FC1AFF" w:rsidRDefault="00FC1AFF" w:rsidP="00FC1AFF">
            <w:pPr>
              <w:tabs>
                <w:tab w:val="decimal" w:pos="1602"/>
              </w:tabs>
              <w:rPr>
                <w:sz w:val="20"/>
                <w:szCs w:val="20"/>
              </w:rPr>
            </w:pPr>
            <w:r w:rsidRPr="00FC1AFF">
              <w:rPr>
                <w:sz w:val="20"/>
                <w:szCs w:val="20"/>
              </w:rPr>
              <w:t>103,925</w:t>
            </w:r>
          </w:p>
        </w:tc>
      </w:tr>
      <w:tr w:rsidR="00FC1AFF" w:rsidRPr="00FC1AFF" w14:paraId="5C0BB8D7" w14:textId="77777777" w:rsidTr="00FC1AFF">
        <w:tc>
          <w:tcPr>
            <w:tcW w:w="6390" w:type="dxa"/>
            <w:tcBorders>
              <w:top w:val="single" w:sz="4" w:space="0" w:color="auto"/>
              <w:left w:val="single" w:sz="4" w:space="0" w:color="auto"/>
              <w:bottom w:val="single" w:sz="4" w:space="0" w:color="auto"/>
              <w:right w:val="single" w:sz="4" w:space="0" w:color="auto"/>
            </w:tcBorders>
            <w:hideMark/>
          </w:tcPr>
          <w:p w14:paraId="51A2FA9F" w14:textId="77777777" w:rsidR="00FC1AFF" w:rsidRPr="00FC1AFF" w:rsidRDefault="00FC1AFF" w:rsidP="00FC1AFF">
            <w:pPr>
              <w:rPr>
                <w:sz w:val="20"/>
                <w:szCs w:val="20"/>
              </w:rPr>
            </w:pPr>
            <w:r w:rsidRPr="00FC1AFF">
              <w:rPr>
                <w:sz w:val="20"/>
                <w:szCs w:val="20"/>
              </w:rPr>
              <w:t>John N. Spencer, Jr.</w:t>
            </w:r>
          </w:p>
        </w:tc>
        <w:tc>
          <w:tcPr>
            <w:tcW w:w="3060" w:type="dxa"/>
            <w:tcBorders>
              <w:top w:val="single" w:sz="4" w:space="0" w:color="auto"/>
              <w:left w:val="single" w:sz="4" w:space="0" w:color="auto"/>
              <w:bottom w:val="single" w:sz="4" w:space="0" w:color="auto"/>
              <w:right w:val="single" w:sz="4" w:space="0" w:color="auto"/>
            </w:tcBorders>
            <w:hideMark/>
          </w:tcPr>
          <w:p w14:paraId="747588BD" w14:textId="77777777" w:rsidR="00FC1AFF" w:rsidRPr="00FC1AFF" w:rsidRDefault="00FC1AFF" w:rsidP="00FC1AFF">
            <w:pPr>
              <w:tabs>
                <w:tab w:val="decimal" w:pos="1602"/>
              </w:tabs>
              <w:rPr>
                <w:sz w:val="20"/>
                <w:szCs w:val="20"/>
              </w:rPr>
            </w:pPr>
            <w:r w:rsidRPr="00FC1AFF">
              <w:rPr>
                <w:sz w:val="20"/>
                <w:szCs w:val="20"/>
              </w:rPr>
              <w:t>71,024</w:t>
            </w:r>
          </w:p>
        </w:tc>
      </w:tr>
    </w:tbl>
    <w:p w14:paraId="48BEE573" w14:textId="77777777" w:rsidR="00FC1AFF" w:rsidRPr="00FC1AFF" w:rsidRDefault="00FC1AFF" w:rsidP="00FC1AFF">
      <w:pPr>
        <w:autoSpaceDE w:val="0"/>
        <w:autoSpaceDN w:val="0"/>
        <w:adjustRightInd w:val="0"/>
        <w:jc w:val="both"/>
        <w:rPr>
          <w:b/>
          <w:sz w:val="20"/>
          <w:szCs w:val="20"/>
        </w:rPr>
      </w:pPr>
    </w:p>
    <w:p w14:paraId="5E754258" w14:textId="77777777" w:rsidR="00FC1AFF" w:rsidRPr="00FC1AFF" w:rsidRDefault="00FC1AFF" w:rsidP="00DC3802">
      <w:pPr>
        <w:autoSpaceDE w:val="0"/>
        <w:autoSpaceDN w:val="0"/>
        <w:adjustRightInd w:val="0"/>
        <w:ind w:firstLine="720"/>
        <w:jc w:val="both"/>
        <w:rPr>
          <w:b/>
          <w:sz w:val="20"/>
          <w:szCs w:val="20"/>
        </w:rPr>
      </w:pPr>
      <w:r w:rsidRPr="00FC1AFF">
        <w:rPr>
          <w:b/>
          <w:i/>
          <w:sz w:val="20"/>
          <w:szCs w:val="20"/>
        </w:rPr>
        <w:t>Director Compensation Plan.</w:t>
      </w:r>
      <w:r w:rsidRPr="00FC1AFF">
        <w:rPr>
          <w:b/>
          <w:sz w:val="20"/>
          <w:szCs w:val="20"/>
        </w:rPr>
        <w:t xml:space="preserve">  </w:t>
      </w:r>
      <w:r w:rsidRPr="00FC1AFF">
        <w:rPr>
          <w:sz w:val="20"/>
          <w:szCs w:val="20"/>
        </w:rPr>
        <w:t>In December 2020, the Board of Directors approved a recommendation from the Compensation Committee for director compensation, which we refer to as the “Director Compensation Plan.” The Director Compensation Plan applies only to non-employee directors. Directors who are employees of the Company receive no compensation for their service as directors or as members of committees.</w:t>
      </w:r>
    </w:p>
    <w:p w14:paraId="537F1471" w14:textId="77777777" w:rsidR="00FC1AFF" w:rsidRPr="00FC1AFF" w:rsidRDefault="00FC1AFF" w:rsidP="00DC3802">
      <w:pPr>
        <w:autoSpaceDE w:val="0"/>
        <w:autoSpaceDN w:val="0"/>
        <w:adjustRightInd w:val="0"/>
        <w:jc w:val="both"/>
        <w:rPr>
          <w:sz w:val="20"/>
          <w:szCs w:val="20"/>
        </w:rPr>
      </w:pPr>
      <w:r w:rsidRPr="00FC1AFF">
        <w:rPr>
          <w:sz w:val="20"/>
          <w:szCs w:val="20"/>
        </w:rPr>
        <w:t> </w:t>
      </w:r>
    </w:p>
    <w:p w14:paraId="4D401129" w14:textId="77777777" w:rsidR="00FC1AFF" w:rsidRPr="00FC1AFF" w:rsidRDefault="00FC1AFF" w:rsidP="00DC3802">
      <w:pPr>
        <w:autoSpaceDE w:val="0"/>
        <w:autoSpaceDN w:val="0"/>
        <w:adjustRightInd w:val="0"/>
        <w:ind w:firstLine="720"/>
        <w:jc w:val="both"/>
        <w:rPr>
          <w:sz w:val="20"/>
          <w:szCs w:val="20"/>
        </w:rPr>
      </w:pPr>
      <w:r w:rsidRPr="00FC1AFF">
        <w:rPr>
          <w:i/>
          <w:sz w:val="20"/>
          <w:szCs w:val="20"/>
        </w:rPr>
        <w:t xml:space="preserve">Cash Fees – </w:t>
      </w:r>
      <w:bookmarkStart w:id="46" w:name="_Hlk64475774"/>
      <w:r w:rsidRPr="00FC1AFF">
        <w:rPr>
          <w:sz w:val="20"/>
          <w:szCs w:val="20"/>
        </w:rPr>
        <w:t>For 2021</w:t>
      </w:r>
      <w:bookmarkEnd w:id="46"/>
      <w:r w:rsidRPr="00FC1AFF">
        <w:rPr>
          <w:sz w:val="20"/>
          <w:szCs w:val="20"/>
        </w:rPr>
        <w:t xml:space="preserve">, </w:t>
      </w:r>
      <w:bookmarkStart w:id="47" w:name="_Hlk94183373"/>
      <w:r w:rsidRPr="00FC1AFF">
        <w:rPr>
          <w:sz w:val="20"/>
          <w:szCs w:val="20"/>
        </w:rPr>
        <w:t>each non-employee director earned an annual retainer (paid quarterly) of $10,000 ($30,000 for a non-employee Chairperson) for service as a member of the Board, $5,000 ($9,000 for the Chairperson) for service as a member of the Audit Committee. and $3,300 ($6,000 for the Chairperson) for service as a member of the Compensation Committee or the Nominating and Corporate Governance Committee. Non-employee directors also earned fees for each Board of Directors or Committee meeting attended as follows: $3,000 for in person Board of Directors meetings ($1,500 for telephonic meetings), $1,000 for in person Committee meeting chaired ($750 for telephonic meetings), and $500 for in person Committee meeting attended as a non-chair member ($400 for telephonic meetings</w:t>
      </w:r>
      <w:bookmarkEnd w:id="47"/>
      <w:r w:rsidRPr="00FC1AFF">
        <w:rPr>
          <w:sz w:val="20"/>
          <w:szCs w:val="20"/>
        </w:rPr>
        <w:t xml:space="preserve">). </w:t>
      </w:r>
    </w:p>
    <w:p w14:paraId="2DDF3121" w14:textId="77777777" w:rsidR="00FC1AFF" w:rsidRPr="00FC1AFF" w:rsidRDefault="00FC1AFF" w:rsidP="00DC3802">
      <w:pPr>
        <w:autoSpaceDE w:val="0"/>
        <w:autoSpaceDN w:val="0"/>
        <w:adjustRightInd w:val="0"/>
        <w:jc w:val="both"/>
        <w:rPr>
          <w:sz w:val="20"/>
          <w:szCs w:val="20"/>
        </w:rPr>
      </w:pPr>
    </w:p>
    <w:p w14:paraId="666C93A8" w14:textId="77777777" w:rsidR="00FC1AFF" w:rsidRPr="00FC1AFF" w:rsidRDefault="00FC1AFF" w:rsidP="00DC3802">
      <w:pPr>
        <w:autoSpaceDE w:val="0"/>
        <w:autoSpaceDN w:val="0"/>
        <w:adjustRightInd w:val="0"/>
        <w:ind w:firstLine="720"/>
        <w:jc w:val="both"/>
        <w:rPr>
          <w:sz w:val="20"/>
          <w:szCs w:val="20"/>
        </w:rPr>
      </w:pPr>
      <w:r w:rsidRPr="00FC1AFF">
        <w:rPr>
          <w:sz w:val="20"/>
          <w:szCs w:val="20"/>
        </w:rPr>
        <w:t xml:space="preserve">In December 2021, the Board of Directors approved a recommendation from the Compensation Committee to amend the Director Compensation Plan, effective January 1, 2022, such that each non-employee director will receive an annual retainer (paid quarterly) of $25,000 ($50,000 for a non-employee Chairperson) for service as a member of the Board. </w:t>
      </w:r>
      <w:r w:rsidRPr="00FC1AFF">
        <w:rPr>
          <w:color w:val="000000"/>
          <w:sz w:val="20"/>
          <w:szCs w:val="20"/>
        </w:rPr>
        <w:t>In the absence of a non-employee Chairperson of the Board, a non-employee director designated as the Lead Director shall receive an annual cash retainer of $35,000.</w:t>
      </w:r>
      <w:r w:rsidRPr="00FC1AFF">
        <w:rPr>
          <w:sz w:val="20"/>
          <w:szCs w:val="20"/>
        </w:rPr>
        <w:t xml:space="preserve"> Each non-employee director will also receive </w:t>
      </w:r>
      <w:r w:rsidRPr="00FC1AFF">
        <w:rPr>
          <w:sz w:val="20"/>
          <w:szCs w:val="20"/>
        </w:rPr>
        <w:lastRenderedPageBreak/>
        <w:t xml:space="preserve">an annual retainer of $7,500 ($15,000 for the Chairperson) for service as a member of the Audit Committee, </w:t>
      </w:r>
      <w:bookmarkStart w:id="48" w:name="_Hlk94183524"/>
      <w:r w:rsidRPr="00FC1AFF">
        <w:rPr>
          <w:sz w:val="20"/>
          <w:szCs w:val="20"/>
        </w:rPr>
        <w:t xml:space="preserve">$5,000 ($10,000 for the Chairperson) for service as a member of </w:t>
      </w:r>
      <w:bookmarkEnd w:id="48"/>
      <w:r w:rsidRPr="00FC1AFF">
        <w:rPr>
          <w:sz w:val="20"/>
          <w:szCs w:val="20"/>
        </w:rPr>
        <w:t>the Compensation Committee, and $5,000 ($7,500 for the Chairperson) for service as a member of the Nominating and Corporate Governance Committee. No additional fees will be paid for meetings attended.</w:t>
      </w:r>
    </w:p>
    <w:p w14:paraId="6E69779C" w14:textId="77777777" w:rsidR="00FC1AFF" w:rsidRPr="00FC1AFF" w:rsidRDefault="00FC1AFF" w:rsidP="00DC3802">
      <w:pPr>
        <w:autoSpaceDE w:val="0"/>
        <w:autoSpaceDN w:val="0"/>
        <w:adjustRightInd w:val="0"/>
        <w:jc w:val="both"/>
        <w:rPr>
          <w:sz w:val="20"/>
          <w:szCs w:val="20"/>
        </w:rPr>
      </w:pPr>
    </w:p>
    <w:p w14:paraId="5F1E84DF" w14:textId="77777777" w:rsidR="00FC1AFF" w:rsidRPr="00FC1AFF" w:rsidRDefault="00FC1AFF" w:rsidP="00DC3802">
      <w:pPr>
        <w:autoSpaceDE w:val="0"/>
        <w:autoSpaceDN w:val="0"/>
        <w:adjustRightInd w:val="0"/>
        <w:ind w:firstLine="720"/>
        <w:jc w:val="both"/>
        <w:rPr>
          <w:i/>
          <w:sz w:val="20"/>
          <w:szCs w:val="20"/>
        </w:rPr>
      </w:pPr>
      <w:r w:rsidRPr="00FC1AFF">
        <w:rPr>
          <w:i/>
          <w:sz w:val="20"/>
          <w:szCs w:val="20"/>
        </w:rPr>
        <w:t>Stock Option Grants –</w:t>
      </w:r>
      <w:r w:rsidRPr="00FC1AFF">
        <w:rPr>
          <w:sz w:val="20"/>
          <w:szCs w:val="20"/>
        </w:rPr>
        <w:t>We currently do not have a formula for determining stock option grants to directors (upon their election to the Board of Directors, or otherwise). Such option grants are currently determined by the Board of Directors, upon recommendation by the Compensation Committee based on the Compensation Committee’s annual deliberations and review of the director compensation structure of similar companies. At its meeting in December 2021, upon a recommendation of the Compensation Committee, the Board of Directors approved an annual stock option grant of 25,000 shares to each of its non-employee members for ongoing service as members of the Board of Directors.</w:t>
      </w:r>
    </w:p>
    <w:p w14:paraId="30DC39C0" w14:textId="77777777" w:rsidR="00FC1AFF" w:rsidRPr="00FC1AFF" w:rsidRDefault="00FC1AFF" w:rsidP="00DC3802">
      <w:pPr>
        <w:autoSpaceDE w:val="0"/>
        <w:autoSpaceDN w:val="0"/>
        <w:adjustRightInd w:val="0"/>
        <w:jc w:val="both"/>
        <w:rPr>
          <w:sz w:val="20"/>
          <w:szCs w:val="20"/>
        </w:rPr>
      </w:pPr>
    </w:p>
    <w:p w14:paraId="0BA05352" w14:textId="77777777" w:rsidR="00FC1AFF" w:rsidRPr="00FC1AFF" w:rsidRDefault="00FC1AFF" w:rsidP="00DC3802">
      <w:pPr>
        <w:autoSpaceDE w:val="0"/>
        <w:autoSpaceDN w:val="0"/>
        <w:adjustRightInd w:val="0"/>
        <w:ind w:firstLine="720"/>
        <w:jc w:val="both"/>
        <w:rPr>
          <w:i/>
          <w:sz w:val="20"/>
          <w:szCs w:val="20"/>
        </w:rPr>
      </w:pPr>
      <w:r w:rsidRPr="00FC1AFF">
        <w:rPr>
          <w:i/>
          <w:sz w:val="20"/>
          <w:szCs w:val="20"/>
        </w:rPr>
        <w:t xml:space="preserve">Expense Reimbursement – </w:t>
      </w:r>
      <w:r w:rsidRPr="00FC1AFF">
        <w:rPr>
          <w:sz w:val="20"/>
          <w:szCs w:val="20"/>
        </w:rPr>
        <w:t>All directors are reimbursed for expenses incurred in connection with attending meetings of the Board of Directors and committees.</w:t>
      </w:r>
      <w:bookmarkStart w:id="49" w:name="gmnh118"/>
      <w:bookmarkEnd w:id="49"/>
    </w:p>
    <w:p w14:paraId="1616C464" w14:textId="77777777" w:rsidR="00E329B2" w:rsidRDefault="00E329B2" w:rsidP="00212B8B">
      <w:pPr>
        <w:ind w:right="144"/>
        <w:jc w:val="both"/>
        <w:rPr>
          <w:sz w:val="20"/>
          <w:szCs w:val="20"/>
        </w:rPr>
      </w:pPr>
    </w:p>
    <w:p w14:paraId="12266A4B" w14:textId="77777777" w:rsidR="00212B8B" w:rsidRPr="00E329B2" w:rsidRDefault="00E329B2" w:rsidP="00E329B2">
      <w:pPr>
        <w:ind w:right="144"/>
        <w:jc w:val="center"/>
        <w:rPr>
          <w:b/>
          <w:sz w:val="20"/>
          <w:szCs w:val="20"/>
        </w:rPr>
      </w:pPr>
      <w:r w:rsidRPr="00E329B2">
        <w:rPr>
          <w:b/>
          <w:sz w:val="20"/>
          <w:szCs w:val="20"/>
        </w:rPr>
        <w:t>CERTAIN RELATIONSHIPS AND RELATED PERSON TRANSACTIONS</w:t>
      </w:r>
    </w:p>
    <w:p w14:paraId="0E86059F" w14:textId="77777777" w:rsidR="001A023A" w:rsidRDefault="001A023A" w:rsidP="00C4728A">
      <w:pPr>
        <w:ind w:firstLine="720"/>
        <w:jc w:val="both"/>
        <w:rPr>
          <w:sz w:val="20"/>
          <w:szCs w:val="20"/>
        </w:rPr>
      </w:pPr>
    </w:p>
    <w:p w14:paraId="35F3D1B4" w14:textId="4555FADF" w:rsidR="00E329B2" w:rsidRDefault="005C4302" w:rsidP="00C4728A">
      <w:pPr>
        <w:ind w:firstLine="720"/>
        <w:jc w:val="both"/>
        <w:rPr>
          <w:sz w:val="20"/>
          <w:szCs w:val="20"/>
        </w:rPr>
      </w:pPr>
      <w:r w:rsidRPr="005C4302">
        <w:rPr>
          <w:sz w:val="20"/>
          <w:szCs w:val="20"/>
        </w:rPr>
        <w:t>Other than compensation arrangements for our Named Executive Officers and directors, we describe below each transaction since January 1, 20</w:t>
      </w:r>
      <w:r>
        <w:rPr>
          <w:sz w:val="20"/>
          <w:szCs w:val="20"/>
        </w:rPr>
        <w:t>21</w:t>
      </w:r>
      <w:r w:rsidRPr="005C4302">
        <w:rPr>
          <w:sz w:val="20"/>
          <w:szCs w:val="20"/>
        </w:rPr>
        <w:t>, to which we were a party or will be a party, in which the amount exceeds $120,000 and in which any “related person” (as defined in paragraph (a) of Item 404 of Regulation S-K) had or will have a direct or indirect material interest. Compensation arrangements for our named executive officers and directors are described above under “Executive Compensation.”</w:t>
      </w:r>
    </w:p>
    <w:p w14:paraId="65C0B763" w14:textId="77777777" w:rsidR="005C4302" w:rsidRDefault="005C4302" w:rsidP="00C4728A">
      <w:pPr>
        <w:ind w:firstLine="720"/>
        <w:jc w:val="both"/>
        <w:rPr>
          <w:sz w:val="20"/>
          <w:szCs w:val="20"/>
        </w:rPr>
      </w:pPr>
    </w:p>
    <w:p w14:paraId="2D48385E" w14:textId="77777777" w:rsidR="005C4302" w:rsidRDefault="005C4302" w:rsidP="00C4728A">
      <w:pPr>
        <w:jc w:val="both"/>
        <w:rPr>
          <w:sz w:val="20"/>
          <w:szCs w:val="20"/>
        </w:rPr>
      </w:pPr>
      <w:r>
        <w:rPr>
          <w:i/>
          <w:sz w:val="20"/>
          <w:szCs w:val="20"/>
        </w:rPr>
        <w:t>Series I Warrants</w:t>
      </w:r>
    </w:p>
    <w:p w14:paraId="46A73B1A" w14:textId="77777777" w:rsidR="005C4302" w:rsidRDefault="005C4302" w:rsidP="00C4728A">
      <w:pPr>
        <w:ind w:firstLine="720"/>
        <w:jc w:val="both"/>
        <w:rPr>
          <w:sz w:val="20"/>
          <w:szCs w:val="20"/>
        </w:rPr>
      </w:pPr>
    </w:p>
    <w:p w14:paraId="18931CD4" w14:textId="77777777" w:rsidR="005C4302" w:rsidRDefault="005C4302" w:rsidP="00C4728A">
      <w:pPr>
        <w:ind w:firstLine="720"/>
        <w:jc w:val="both"/>
        <w:rPr>
          <w:sz w:val="20"/>
          <w:szCs w:val="20"/>
        </w:rPr>
      </w:pPr>
      <w:r w:rsidRPr="005C4302">
        <w:rPr>
          <w:sz w:val="20"/>
          <w:szCs w:val="20"/>
        </w:rPr>
        <w:t xml:space="preserve">On February 25, 2019, we entered into a Securities Purchase Agreement with the </w:t>
      </w:r>
      <w:proofErr w:type="spellStart"/>
      <w:r w:rsidRPr="005C4302">
        <w:rPr>
          <w:sz w:val="20"/>
          <w:szCs w:val="20"/>
        </w:rPr>
        <w:t>Sabby</w:t>
      </w:r>
      <w:proofErr w:type="spellEnd"/>
      <w:r w:rsidRPr="005C4302">
        <w:rPr>
          <w:sz w:val="20"/>
          <w:szCs w:val="20"/>
        </w:rPr>
        <w:t xml:space="preserve"> Healthcare Master Fund, Ltd. and </w:t>
      </w:r>
      <w:proofErr w:type="spellStart"/>
      <w:r w:rsidRPr="005C4302">
        <w:rPr>
          <w:sz w:val="20"/>
          <w:szCs w:val="20"/>
        </w:rPr>
        <w:t>Sabby</w:t>
      </w:r>
      <w:proofErr w:type="spellEnd"/>
      <w:r w:rsidRPr="005C4302">
        <w:rPr>
          <w:sz w:val="20"/>
          <w:szCs w:val="20"/>
        </w:rPr>
        <w:t xml:space="preserve"> Volatility Warrant Master Fund, Ltd. (collectively, “</w:t>
      </w:r>
      <w:proofErr w:type="spellStart"/>
      <w:r>
        <w:rPr>
          <w:sz w:val="20"/>
          <w:szCs w:val="20"/>
        </w:rPr>
        <w:t>Sabby</w:t>
      </w:r>
      <w:proofErr w:type="spellEnd"/>
      <w:r w:rsidRPr="005C4302">
        <w:rPr>
          <w:sz w:val="20"/>
          <w:szCs w:val="20"/>
        </w:rPr>
        <w:t>”) providing for the issuance and sa</w:t>
      </w:r>
      <w:r>
        <w:rPr>
          <w:sz w:val="20"/>
          <w:szCs w:val="20"/>
        </w:rPr>
        <w:t xml:space="preserve">le to </w:t>
      </w:r>
      <w:proofErr w:type="spellStart"/>
      <w:r>
        <w:rPr>
          <w:sz w:val="20"/>
          <w:szCs w:val="20"/>
        </w:rPr>
        <w:t>Sabby</w:t>
      </w:r>
      <w:proofErr w:type="spellEnd"/>
      <w:r>
        <w:rPr>
          <w:sz w:val="20"/>
          <w:szCs w:val="20"/>
        </w:rPr>
        <w:t xml:space="preserve"> </w:t>
      </w:r>
      <w:r w:rsidRPr="005C4302">
        <w:rPr>
          <w:sz w:val="20"/>
          <w:szCs w:val="20"/>
        </w:rPr>
        <w:t xml:space="preserve">of an aggregate of up to 1,000 shares of our Series G Convertible Preferred Stock and related warrants </w:t>
      </w:r>
      <w:r>
        <w:rPr>
          <w:sz w:val="20"/>
          <w:szCs w:val="20"/>
        </w:rPr>
        <w:t xml:space="preserve">(“Series I Warrants”) </w:t>
      </w:r>
      <w:r w:rsidRPr="005C4302">
        <w:rPr>
          <w:sz w:val="20"/>
          <w:szCs w:val="20"/>
        </w:rPr>
        <w:t>for gross proceeds of up to $1.0 million</w:t>
      </w:r>
      <w:r>
        <w:rPr>
          <w:sz w:val="20"/>
          <w:szCs w:val="20"/>
        </w:rPr>
        <w:t xml:space="preserve">. </w:t>
      </w:r>
      <w:r w:rsidRPr="005C4302">
        <w:rPr>
          <w:sz w:val="20"/>
          <w:szCs w:val="20"/>
        </w:rPr>
        <w:t xml:space="preserve">In January 2021, all of the remaining Series I Warrants were converted into 20,196 shares of our </w:t>
      </w:r>
      <w:r>
        <w:rPr>
          <w:sz w:val="20"/>
          <w:szCs w:val="20"/>
        </w:rPr>
        <w:t>c</w:t>
      </w:r>
      <w:r w:rsidRPr="005C4302">
        <w:rPr>
          <w:sz w:val="20"/>
          <w:szCs w:val="20"/>
        </w:rPr>
        <w:t xml:space="preserve">ommon </w:t>
      </w:r>
      <w:r>
        <w:rPr>
          <w:sz w:val="20"/>
          <w:szCs w:val="20"/>
        </w:rPr>
        <w:t>s</w:t>
      </w:r>
      <w:r w:rsidRPr="005C4302">
        <w:rPr>
          <w:sz w:val="20"/>
          <w:szCs w:val="20"/>
        </w:rPr>
        <w:t>tock pursuant to the cashless exercise provisions of the warrants.</w:t>
      </w:r>
    </w:p>
    <w:p w14:paraId="5EC5B653" w14:textId="77777777" w:rsidR="00C4728A" w:rsidRDefault="00C4728A" w:rsidP="00C4728A">
      <w:pPr>
        <w:jc w:val="both"/>
        <w:rPr>
          <w:sz w:val="20"/>
          <w:szCs w:val="20"/>
        </w:rPr>
      </w:pPr>
    </w:p>
    <w:p w14:paraId="61F068AA" w14:textId="77777777" w:rsidR="00C4728A" w:rsidRPr="00C4728A" w:rsidRDefault="00C4728A" w:rsidP="00C4728A">
      <w:pPr>
        <w:jc w:val="both"/>
        <w:rPr>
          <w:i/>
          <w:sz w:val="20"/>
          <w:szCs w:val="20"/>
        </w:rPr>
      </w:pPr>
      <w:r w:rsidRPr="00C4728A">
        <w:rPr>
          <w:i/>
          <w:sz w:val="20"/>
          <w:szCs w:val="20"/>
        </w:rPr>
        <w:t>June 2020 Bridge Financing</w:t>
      </w:r>
    </w:p>
    <w:p w14:paraId="5EEC2BC8" w14:textId="77777777" w:rsidR="00C4728A" w:rsidRPr="00C4728A" w:rsidRDefault="00C4728A" w:rsidP="00C4728A">
      <w:pPr>
        <w:jc w:val="both"/>
        <w:rPr>
          <w:sz w:val="20"/>
          <w:szCs w:val="20"/>
        </w:rPr>
      </w:pPr>
    </w:p>
    <w:p w14:paraId="25587252" w14:textId="77777777" w:rsidR="00C4728A" w:rsidRDefault="00C4728A" w:rsidP="00C4728A">
      <w:pPr>
        <w:ind w:firstLine="720"/>
        <w:jc w:val="both"/>
        <w:rPr>
          <w:sz w:val="20"/>
          <w:szCs w:val="20"/>
        </w:rPr>
      </w:pPr>
      <w:r w:rsidRPr="00C4728A">
        <w:rPr>
          <w:sz w:val="20"/>
          <w:szCs w:val="20"/>
        </w:rPr>
        <w:t>On June 26, 2020, we entered into a Securities Purchase Agreement with Cavalry Fund I LP and Cavalry Special Ops Fund, LLC, pursuant to which the Company received aggregate gross proceeds of $1,050,000 in exchange for the issuance of 5% Original Issue Senior Secured Convertible Debentures in the aggregate principal amount of $1,200,000 and five-year warrants to purchase an aggregate of 2,400,000 shares of our common stock at an exercise price of $0.50 per share, subject to adjustment. On September 29, 2020, the June 26, 2020 5% Original Issue Senior Secured Convertible Debentures mandatorily converted into 303,667 conversion units, of which 177,625 include shares of common stock and 126,042 include pre-funded warrants (the “Conversion Units”). The Conversion Units provide substantially the same terms as the Units issued in September 2020. The pre-funded warrants provide the holder the right to purchase one share of common stock at an exercise price of $0.01 per share, are immediately exercisable and will not expire until exercised in full. These pre-funded warrants were exercised on January 13, 2021. The Company also issued these investors five-year warrants to acquire an additional 303,668 shares of common stock, in the aggregate, at $5.00 per share.</w:t>
      </w:r>
    </w:p>
    <w:p w14:paraId="4D268563" w14:textId="77EED297" w:rsidR="005C4302" w:rsidRDefault="005C4302" w:rsidP="005C4302">
      <w:pPr>
        <w:ind w:right="144"/>
        <w:jc w:val="both"/>
        <w:rPr>
          <w:sz w:val="20"/>
          <w:szCs w:val="20"/>
        </w:rPr>
      </w:pPr>
    </w:p>
    <w:p w14:paraId="2011F0C1" w14:textId="37F7DEC0" w:rsidR="00802F82" w:rsidRPr="00802F82" w:rsidRDefault="00802F82" w:rsidP="005C4302">
      <w:pPr>
        <w:ind w:right="144"/>
        <w:jc w:val="both"/>
        <w:rPr>
          <w:i/>
          <w:sz w:val="20"/>
          <w:szCs w:val="20"/>
        </w:rPr>
      </w:pPr>
      <w:r w:rsidRPr="00802F82">
        <w:rPr>
          <w:i/>
          <w:sz w:val="20"/>
          <w:szCs w:val="20"/>
        </w:rPr>
        <w:t>January 2022 Private Placement</w:t>
      </w:r>
    </w:p>
    <w:p w14:paraId="16789B07" w14:textId="77777777" w:rsidR="00802F82" w:rsidRDefault="00802F82" w:rsidP="005C4302">
      <w:pPr>
        <w:ind w:right="144"/>
        <w:jc w:val="both"/>
        <w:rPr>
          <w:sz w:val="20"/>
          <w:szCs w:val="20"/>
        </w:rPr>
      </w:pPr>
    </w:p>
    <w:p w14:paraId="07E2F6AA" w14:textId="5A5BAE8F" w:rsidR="00802F82" w:rsidRPr="00924AF7" w:rsidRDefault="00802F82" w:rsidP="00802F82">
      <w:pPr>
        <w:ind w:firstLine="720"/>
        <w:jc w:val="both"/>
        <w:rPr>
          <w:sz w:val="20"/>
          <w:szCs w:val="20"/>
        </w:rPr>
      </w:pPr>
      <w:r w:rsidRPr="00F51B7F">
        <w:rPr>
          <w:sz w:val="20"/>
          <w:szCs w:val="20"/>
        </w:rPr>
        <w:t xml:space="preserve">On January 14, 2022, we entered into a Securities Purchase Agreement with </w:t>
      </w:r>
      <w:r w:rsidR="0002579B">
        <w:rPr>
          <w:sz w:val="20"/>
          <w:szCs w:val="20"/>
        </w:rPr>
        <w:t xml:space="preserve">Armistice </w:t>
      </w:r>
      <w:r w:rsidRPr="00F51B7F">
        <w:rPr>
          <w:sz w:val="20"/>
          <w:szCs w:val="20"/>
        </w:rPr>
        <w:t xml:space="preserve">providing for the issuance and sale to </w:t>
      </w:r>
      <w:r w:rsidR="0002579B">
        <w:rPr>
          <w:sz w:val="20"/>
          <w:szCs w:val="20"/>
        </w:rPr>
        <w:t xml:space="preserve">Armistice </w:t>
      </w:r>
      <w:r w:rsidRPr="00F51B7F">
        <w:rPr>
          <w:sz w:val="20"/>
          <w:szCs w:val="20"/>
        </w:rPr>
        <w:t xml:space="preserve">of 707,484 </w:t>
      </w:r>
      <w:r>
        <w:rPr>
          <w:sz w:val="20"/>
          <w:szCs w:val="20"/>
        </w:rPr>
        <w:t>s</w:t>
      </w:r>
      <w:r w:rsidRPr="00F51B7F">
        <w:rPr>
          <w:sz w:val="20"/>
          <w:szCs w:val="20"/>
        </w:rPr>
        <w:t>hares</w:t>
      </w:r>
      <w:r>
        <w:rPr>
          <w:sz w:val="20"/>
          <w:szCs w:val="20"/>
        </w:rPr>
        <w:t xml:space="preserve"> of common stock</w:t>
      </w:r>
      <w:r w:rsidRPr="00F51B7F">
        <w:rPr>
          <w:sz w:val="20"/>
          <w:szCs w:val="20"/>
        </w:rPr>
        <w:t xml:space="preserve">, 2,360,000 shares of common stock issuable upon the exercise of </w:t>
      </w:r>
      <w:r>
        <w:rPr>
          <w:sz w:val="20"/>
          <w:szCs w:val="20"/>
        </w:rPr>
        <w:t>a p</w:t>
      </w:r>
      <w:r w:rsidRPr="00F51B7F">
        <w:rPr>
          <w:sz w:val="20"/>
          <w:szCs w:val="20"/>
        </w:rPr>
        <w:t>re-</w:t>
      </w:r>
      <w:r>
        <w:rPr>
          <w:sz w:val="20"/>
          <w:szCs w:val="20"/>
        </w:rPr>
        <w:t>f</w:t>
      </w:r>
      <w:r w:rsidRPr="00F51B7F">
        <w:rPr>
          <w:sz w:val="20"/>
          <w:szCs w:val="20"/>
        </w:rPr>
        <w:t xml:space="preserve">unded </w:t>
      </w:r>
      <w:r>
        <w:rPr>
          <w:sz w:val="20"/>
          <w:szCs w:val="20"/>
        </w:rPr>
        <w:t>w</w:t>
      </w:r>
      <w:r w:rsidRPr="00F51B7F">
        <w:rPr>
          <w:sz w:val="20"/>
          <w:szCs w:val="20"/>
        </w:rPr>
        <w:t xml:space="preserve">arrant </w:t>
      </w:r>
      <w:r>
        <w:rPr>
          <w:sz w:val="20"/>
          <w:szCs w:val="20"/>
        </w:rPr>
        <w:t xml:space="preserve">(the “January Pre-Funded Warrant”) </w:t>
      </w:r>
      <w:r w:rsidRPr="00F51B7F">
        <w:rPr>
          <w:sz w:val="20"/>
          <w:szCs w:val="20"/>
        </w:rPr>
        <w:t xml:space="preserve">and 3,067,484 shares of common stock issuable upon the exercise of </w:t>
      </w:r>
      <w:r>
        <w:rPr>
          <w:sz w:val="20"/>
          <w:szCs w:val="20"/>
        </w:rPr>
        <w:t>a w</w:t>
      </w:r>
      <w:r w:rsidRPr="00F51B7F">
        <w:rPr>
          <w:sz w:val="20"/>
          <w:szCs w:val="20"/>
        </w:rPr>
        <w:t>arrant</w:t>
      </w:r>
      <w:r>
        <w:rPr>
          <w:sz w:val="20"/>
          <w:szCs w:val="20"/>
        </w:rPr>
        <w:t xml:space="preserve"> (the “Common Warrant” and together with the January Pre-Funded Warrant, the “January Warrants”)</w:t>
      </w:r>
      <w:r w:rsidRPr="00F51B7F">
        <w:rPr>
          <w:sz w:val="20"/>
          <w:szCs w:val="20"/>
        </w:rPr>
        <w:t xml:space="preserve">. The </w:t>
      </w:r>
      <w:r>
        <w:rPr>
          <w:sz w:val="20"/>
          <w:szCs w:val="20"/>
        </w:rPr>
        <w:t xml:space="preserve">January </w:t>
      </w:r>
      <w:r w:rsidRPr="00F51B7F">
        <w:rPr>
          <w:sz w:val="20"/>
          <w:szCs w:val="20"/>
        </w:rPr>
        <w:t xml:space="preserve">Warrants are exercisable immediately and contain price adjustment provisions which may, under certain circumstances, reduce the applicable exercise price; the </w:t>
      </w:r>
      <w:r>
        <w:rPr>
          <w:sz w:val="20"/>
          <w:szCs w:val="20"/>
        </w:rPr>
        <w:t xml:space="preserve">January </w:t>
      </w:r>
      <w:r w:rsidRPr="00F51B7F">
        <w:rPr>
          <w:sz w:val="20"/>
          <w:szCs w:val="20"/>
        </w:rPr>
        <w:t xml:space="preserve">Pre-Funded Warrant shall terminate when fully exercised and the Common Warrant shall terminate on the fifth anniversary of the effective date </w:t>
      </w:r>
      <w:r w:rsidRPr="002B375E">
        <w:rPr>
          <w:sz w:val="20"/>
          <w:szCs w:val="20"/>
        </w:rPr>
        <w:lastRenderedPageBreak/>
        <w:t xml:space="preserve">of the Resale Registration Statement. The Private Placement closed on January 20, 2022. The January Pre-Funded Warrant </w:t>
      </w:r>
      <w:r w:rsidR="002B375E" w:rsidRPr="002B375E">
        <w:rPr>
          <w:sz w:val="20"/>
          <w:szCs w:val="20"/>
        </w:rPr>
        <w:t xml:space="preserve">was </w:t>
      </w:r>
      <w:r w:rsidRPr="002B375E">
        <w:rPr>
          <w:sz w:val="20"/>
          <w:szCs w:val="20"/>
        </w:rPr>
        <w:t>exercised during the first quarter of 2022.</w:t>
      </w:r>
    </w:p>
    <w:p w14:paraId="79E62056" w14:textId="05473EDE" w:rsidR="00802F82" w:rsidRDefault="00802F82" w:rsidP="005C4302">
      <w:pPr>
        <w:ind w:right="144"/>
        <w:jc w:val="both"/>
        <w:rPr>
          <w:sz w:val="20"/>
          <w:szCs w:val="20"/>
        </w:rPr>
      </w:pPr>
    </w:p>
    <w:p w14:paraId="194373C9" w14:textId="3152E486" w:rsidR="00802F82" w:rsidRPr="00802F82" w:rsidRDefault="00802F82" w:rsidP="005C4302">
      <w:pPr>
        <w:ind w:right="144"/>
        <w:jc w:val="both"/>
        <w:rPr>
          <w:i/>
          <w:sz w:val="20"/>
          <w:szCs w:val="20"/>
        </w:rPr>
      </w:pPr>
      <w:r w:rsidRPr="00802F82">
        <w:rPr>
          <w:i/>
          <w:sz w:val="20"/>
          <w:szCs w:val="20"/>
        </w:rPr>
        <w:t>May 2022 Registered Direct and Private Placement</w:t>
      </w:r>
    </w:p>
    <w:p w14:paraId="2D3D83C7" w14:textId="77777777" w:rsidR="00802F82" w:rsidRDefault="00802F82" w:rsidP="005C4302">
      <w:pPr>
        <w:ind w:right="144"/>
        <w:jc w:val="both"/>
        <w:rPr>
          <w:sz w:val="20"/>
          <w:szCs w:val="20"/>
        </w:rPr>
      </w:pPr>
    </w:p>
    <w:p w14:paraId="4400ED51" w14:textId="3B5C8C96" w:rsidR="00802F82" w:rsidRDefault="00802F82" w:rsidP="00802F82">
      <w:pPr>
        <w:ind w:firstLine="720"/>
        <w:rPr>
          <w:bCs/>
          <w:sz w:val="20"/>
          <w:szCs w:val="20"/>
        </w:rPr>
      </w:pPr>
      <w:r w:rsidRPr="007C1EE1">
        <w:rPr>
          <w:bCs/>
          <w:sz w:val="20"/>
          <w:szCs w:val="20"/>
        </w:rPr>
        <w:t xml:space="preserve">On May 25, 2022, we entered into a Securities Purchase Agreement (the “PIPE Securities Purchase Agreement”) with </w:t>
      </w:r>
      <w:r w:rsidR="0002579B">
        <w:rPr>
          <w:bCs/>
          <w:sz w:val="20"/>
          <w:szCs w:val="20"/>
        </w:rPr>
        <w:t xml:space="preserve">Armistice </w:t>
      </w:r>
      <w:r w:rsidRPr="007C1EE1">
        <w:rPr>
          <w:bCs/>
          <w:sz w:val="20"/>
          <w:szCs w:val="20"/>
        </w:rPr>
        <w:t xml:space="preserve">providing for the issuance and sale to </w:t>
      </w:r>
      <w:r w:rsidR="0002579B">
        <w:rPr>
          <w:bCs/>
          <w:sz w:val="20"/>
          <w:szCs w:val="20"/>
        </w:rPr>
        <w:t xml:space="preserve">Armistice </w:t>
      </w:r>
      <w:r w:rsidRPr="007C1EE1">
        <w:rPr>
          <w:bCs/>
          <w:sz w:val="20"/>
          <w:szCs w:val="20"/>
        </w:rPr>
        <w:t xml:space="preserve">in a private placement offering of 9,090,910 shares of our common stock </w:t>
      </w:r>
      <w:r>
        <w:rPr>
          <w:bCs/>
          <w:sz w:val="20"/>
          <w:szCs w:val="20"/>
        </w:rPr>
        <w:t>issuable upon exercise of a p</w:t>
      </w:r>
      <w:r w:rsidRPr="007C1EE1">
        <w:rPr>
          <w:bCs/>
          <w:sz w:val="20"/>
          <w:szCs w:val="20"/>
        </w:rPr>
        <w:t>re-</w:t>
      </w:r>
      <w:r>
        <w:rPr>
          <w:bCs/>
          <w:sz w:val="20"/>
          <w:szCs w:val="20"/>
        </w:rPr>
        <w:t>f</w:t>
      </w:r>
      <w:r w:rsidRPr="007C1EE1">
        <w:rPr>
          <w:bCs/>
          <w:sz w:val="20"/>
          <w:szCs w:val="20"/>
        </w:rPr>
        <w:t xml:space="preserve">unded </w:t>
      </w:r>
      <w:r>
        <w:rPr>
          <w:bCs/>
          <w:sz w:val="20"/>
          <w:szCs w:val="20"/>
        </w:rPr>
        <w:t>w</w:t>
      </w:r>
      <w:r w:rsidRPr="007C1EE1">
        <w:rPr>
          <w:bCs/>
          <w:sz w:val="20"/>
          <w:szCs w:val="20"/>
        </w:rPr>
        <w:t>arrant and a preferred investment option to purchase up to 9,090,910 shares of common stock</w:t>
      </w:r>
      <w:r>
        <w:rPr>
          <w:bCs/>
          <w:sz w:val="20"/>
          <w:szCs w:val="20"/>
        </w:rPr>
        <w:t xml:space="preserve">. </w:t>
      </w:r>
      <w:r w:rsidRPr="007C1EE1">
        <w:rPr>
          <w:bCs/>
          <w:sz w:val="20"/>
          <w:szCs w:val="20"/>
        </w:rPr>
        <w:t xml:space="preserve">Concurrently with the entrance into the PIPE Securities Purchase Agreement, we entered into another Securities Purchase Agreement (the “RD Securities Purchase Agreement”) with </w:t>
      </w:r>
      <w:r w:rsidR="0002579B">
        <w:rPr>
          <w:bCs/>
          <w:sz w:val="20"/>
          <w:szCs w:val="20"/>
        </w:rPr>
        <w:t xml:space="preserve">Armistice </w:t>
      </w:r>
      <w:r w:rsidRPr="007C1EE1">
        <w:rPr>
          <w:bCs/>
          <w:sz w:val="20"/>
          <w:szCs w:val="20"/>
        </w:rPr>
        <w:t xml:space="preserve">providing for the issuance and sale to </w:t>
      </w:r>
      <w:r w:rsidR="0002579B">
        <w:rPr>
          <w:bCs/>
          <w:sz w:val="20"/>
          <w:szCs w:val="20"/>
        </w:rPr>
        <w:t xml:space="preserve">Armistice </w:t>
      </w:r>
      <w:r w:rsidRPr="007C1EE1">
        <w:rPr>
          <w:bCs/>
          <w:sz w:val="20"/>
          <w:szCs w:val="20"/>
        </w:rPr>
        <w:t>in a registered direct offering of 1,050,000 shares of our common stock</w:t>
      </w:r>
      <w:r>
        <w:rPr>
          <w:bCs/>
          <w:sz w:val="20"/>
          <w:szCs w:val="20"/>
        </w:rPr>
        <w:t xml:space="preserve">, </w:t>
      </w:r>
      <w:r w:rsidRPr="007C1EE1">
        <w:rPr>
          <w:bCs/>
          <w:sz w:val="20"/>
          <w:szCs w:val="20"/>
        </w:rPr>
        <w:t>a pre-funded warrant to purchase up to 1,980,304 shares of our common stock and a preferred investment option to purchase up to 3,030,304 shares of common stock</w:t>
      </w:r>
      <w:r>
        <w:rPr>
          <w:bCs/>
          <w:sz w:val="20"/>
          <w:szCs w:val="20"/>
        </w:rPr>
        <w:t>.  A</w:t>
      </w:r>
      <w:r w:rsidRPr="007C1EE1">
        <w:rPr>
          <w:bCs/>
          <w:sz w:val="20"/>
          <w:szCs w:val="20"/>
        </w:rPr>
        <w:t xml:space="preserve">ggregate gross proceeds from the private placement and registered direct offerings to the Company </w:t>
      </w:r>
      <w:r>
        <w:rPr>
          <w:bCs/>
          <w:sz w:val="20"/>
          <w:szCs w:val="20"/>
        </w:rPr>
        <w:t>were</w:t>
      </w:r>
      <w:r w:rsidRPr="007C1EE1">
        <w:rPr>
          <w:bCs/>
          <w:sz w:val="20"/>
          <w:szCs w:val="20"/>
        </w:rPr>
        <w:t xml:space="preserve"> approximately $20.0 million.  </w:t>
      </w:r>
    </w:p>
    <w:p w14:paraId="66D240B3" w14:textId="5B7086E3" w:rsidR="00B73392" w:rsidRDefault="00B73392" w:rsidP="00802F82">
      <w:pPr>
        <w:ind w:firstLine="720"/>
        <w:rPr>
          <w:bCs/>
          <w:sz w:val="20"/>
          <w:szCs w:val="20"/>
        </w:rPr>
      </w:pPr>
    </w:p>
    <w:p w14:paraId="06F39A05" w14:textId="77777777" w:rsidR="00B73392" w:rsidRPr="007C1EE1" w:rsidRDefault="00B73392" w:rsidP="00802F82">
      <w:pPr>
        <w:ind w:firstLine="720"/>
        <w:rPr>
          <w:bCs/>
          <w:sz w:val="20"/>
          <w:szCs w:val="20"/>
        </w:rPr>
      </w:pPr>
    </w:p>
    <w:p w14:paraId="4D871D4F" w14:textId="77777777" w:rsidR="006D3AC2" w:rsidRPr="006D3AC2" w:rsidRDefault="006D3AC2" w:rsidP="006D3AC2">
      <w:pPr>
        <w:ind w:firstLine="720"/>
        <w:rPr>
          <w:sz w:val="20"/>
          <w:szCs w:val="20"/>
        </w:rPr>
      </w:pPr>
    </w:p>
    <w:p w14:paraId="537C5171" w14:textId="77777777" w:rsidR="00C4728A" w:rsidRDefault="00C4728A" w:rsidP="006D3AC2">
      <w:pPr>
        <w:rPr>
          <w:b/>
          <w:sz w:val="20"/>
          <w:szCs w:val="20"/>
        </w:rPr>
        <w:sectPr w:rsidR="00C4728A" w:rsidSect="00AE0555">
          <w:pgSz w:w="12240" w:h="15840"/>
          <w:pgMar w:top="1440" w:right="1440" w:bottom="1440" w:left="1440" w:header="720" w:footer="720" w:gutter="0"/>
          <w:cols w:space="720"/>
          <w:docGrid w:linePitch="326"/>
        </w:sectPr>
      </w:pPr>
    </w:p>
    <w:p w14:paraId="634D2B8C" w14:textId="77777777" w:rsidR="00C4728A" w:rsidRDefault="00C4728A" w:rsidP="00C4728A">
      <w:pPr>
        <w:ind w:left="144" w:right="144"/>
        <w:jc w:val="center"/>
        <w:rPr>
          <w:sz w:val="20"/>
          <w:szCs w:val="20"/>
        </w:rPr>
      </w:pPr>
      <w:r>
        <w:rPr>
          <w:b/>
          <w:bCs/>
          <w:sz w:val="20"/>
          <w:szCs w:val="20"/>
        </w:rPr>
        <w:lastRenderedPageBreak/>
        <w:t>SECURITY OWNERSHIP OF</w:t>
      </w:r>
      <w:r>
        <w:rPr>
          <w:b/>
          <w:bCs/>
          <w:sz w:val="20"/>
          <w:szCs w:val="20"/>
        </w:rPr>
        <w:br/>
        <w:t>PRINCIPAL STOCKHOLDERS, DIRECTORS AND OFFICERS</w:t>
      </w:r>
    </w:p>
    <w:p w14:paraId="228C8F59" w14:textId="75E7E3B6" w:rsidR="00C4728A" w:rsidRDefault="00C4728A" w:rsidP="00C4728A">
      <w:pPr>
        <w:ind w:left="144" w:right="144" w:firstLine="720"/>
        <w:jc w:val="both"/>
        <w:rPr>
          <w:sz w:val="20"/>
          <w:szCs w:val="20"/>
        </w:rPr>
      </w:pPr>
    </w:p>
    <w:p w14:paraId="05641BFB" w14:textId="15D1DD3A" w:rsidR="00C4728A" w:rsidRDefault="00C4728A" w:rsidP="00C4728A">
      <w:pPr>
        <w:ind w:firstLine="720"/>
        <w:jc w:val="both"/>
        <w:rPr>
          <w:sz w:val="20"/>
          <w:szCs w:val="20"/>
        </w:rPr>
      </w:pPr>
      <w:r>
        <w:rPr>
          <w:sz w:val="20"/>
          <w:szCs w:val="20"/>
        </w:rPr>
        <w:t xml:space="preserve">Based solely upon information made available to us, the following table sets forth information with respect to the beneficial ownership of our </w:t>
      </w:r>
      <w:r w:rsidR="00BE56FF">
        <w:rPr>
          <w:sz w:val="20"/>
          <w:szCs w:val="20"/>
        </w:rPr>
        <w:t>c</w:t>
      </w:r>
      <w:r>
        <w:rPr>
          <w:sz w:val="20"/>
          <w:szCs w:val="20"/>
        </w:rPr>
        <w:t xml:space="preserve">ommon </w:t>
      </w:r>
      <w:r w:rsidR="00BE56FF">
        <w:rPr>
          <w:sz w:val="20"/>
          <w:szCs w:val="20"/>
        </w:rPr>
        <w:t>s</w:t>
      </w:r>
      <w:r w:rsidR="004D4D36">
        <w:rPr>
          <w:sz w:val="20"/>
          <w:szCs w:val="20"/>
        </w:rPr>
        <w:t xml:space="preserve">tock as of </w:t>
      </w:r>
      <w:r w:rsidR="005404CB">
        <w:rPr>
          <w:sz w:val="20"/>
          <w:szCs w:val="20"/>
        </w:rPr>
        <w:t>June</w:t>
      </w:r>
      <w:r w:rsidR="002015FE">
        <w:rPr>
          <w:sz w:val="20"/>
          <w:szCs w:val="20"/>
        </w:rPr>
        <w:t xml:space="preserve"> </w:t>
      </w:r>
      <w:r w:rsidR="0039388C">
        <w:rPr>
          <w:sz w:val="20"/>
          <w:szCs w:val="20"/>
        </w:rPr>
        <w:t>10</w:t>
      </w:r>
      <w:r>
        <w:rPr>
          <w:sz w:val="20"/>
          <w:szCs w:val="20"/>
        </w:rPr>
        <w:t xml:space="preserve">, 2022 by (i) each director; (ii) each of the executive officers named in the summary compensation table; and (iii) all executive officers and directors as a group. </w:t>
      </w:r>
      <w:r w:rsidR="00AE1A3D">
        <w:rPr>
          <w:sz w:val="20"/>
          <w:szCs w:val="20"/>
        </w:rPr>
        <w:t xml:space="preserve">Other than </w:t>
      </w:r>
      <w:r w:rsidR="0002579B">
        <w:rPr>
          <w:sz w:val="20"/>
          <w:szCs w:val="20"/>
        </w:rPr>
        <w:t>Armistice</w:t>
      </w:r>
      <w:r w:rsidR="00AE1A3D">
        <w:rPr>
          <w:sz w:val="20"/>
          <w:szCs w:val="20"/>
        </w:rPr>
        <w:t>, w</w:t>
      </w:r>
      <w:r>
        <w:rPr>
          <w:sz w:val="20"/>
          <w:szCs w:val="20"/>
        </w:rPr>
        <w:t xml:space="preserve">e do not know of any person who beneficially owns more than 5% of our </w:t>
      </w:r>
      <w:r w:rsidR="00BE56FF">
        <w:rPr>
          <w:sz w:val="20"/>
          <w:szCs w:val="20"/>
        </w:rPr>
        <w:t>c</w:t>
      </w:r>
      <w:r>
        <w:rPr>
          <w:sz w:val="20"/>
          <w:szCs w:val="20"/>
        </w:rPr>
        <w:t xml:space="preserve">ommon </w:t>
      </w:r>
      <w:r w:rsidR="00BE56FF">
        <w:rPr>
          <w:sz w:val="20"/>
          <w:szCs w:val="20"/>
        </w:rPr>
        <w:t>s</w:t>
      </w:r>
      <w:r>
        <w:rPr>
          <w:sz w:val="20"/>
          <w:szCs w:val="20"/>
        </w:rPr>
        <w:t>tock</w:t>
      </w:r>
      <w:r w:rsidR="004D4D36">
        <w:rPr>
          <w:sz w:val="20"/>
          <w:szCs w:val="20"/>
        </w:rPr>
        <w:t xml:space="preserve"> as of </w:t>
      </w:r>
      <w:r w:rsidR="005404CB">
        <w:rPr>
          <w:sz w:val="20"/>
          <w:szCs w:val="20"/>
        </w:rPr>
        <w:t>June</w:t>
      </w:r>
      <w:r w:rsidR="002015FE">
        <w:rPr>
          <w:sz w:val="20"/>
          <w:szCs w:val="20"/>
        </w:rPr>
        <w:t xml:space="preserve"> </w:t>
      </w:r>
      <w:r w:rsidR="0039388C">
        <w:rPr>
          <w:sz w:val="20"/>
          <w:szCs w:val="20"/>
        </w:rPr>
        <w:t>10</w:t>
      </w:r>
      <w:r w:rsidR="00BE56FF">
        <w:rPr>
          <w:sz w:val="20"/>
          <w:szCs w:val="20"/>
        </w:rPr>
        <w:t>, 2022</w:t>
      </w:r>
      <w:r>
        <w:rPr>
          <w:sz w:val="20"/>
          <w:szCs w:val="20"/>
        </w:rPr>
        <w:t xml:space="preserve">. Except as otherwise indicated in footnotes to this table or, where applicable, to the extent authority is shared by spouses under community property laws, to our knowledge, the holders listed below have sole voting and investment power with respect to all shares of </w:t>
      </w:r>
      <w:r w:rsidR="00BE56FF">
        <w:rPr>
          <w:sz w:val="20"/>
          <w:szCs w:val="20"/>
        </w:rPr>
        <w:t>c</w:t>
      </w:r>
      <w:r>
        <w:rPr>
          <w:sz w:val="20"/>
          <w:szCs w:val="20"/>
        </w:rPr>
        <w:t xml:space="preserve">ommon </w:t>
      </w:r>
      <w:r w:rsidR="00BE56FF">
        <w:rPr>
          <w:sz w:val="20"/>
          <w:szCs w:val="20"/>
        </w:rPr>
        <w:t>s</w:t>
      </w:r>
      <w:r>
        <w:rPr>
          <w:sz w:val="20"/>
          <w:szCs w:val="20"/>
        </w:rPr>
        <w:t>tock beneficially owned by them.</w:t>
      </w:r>
    </w:p>
    <w:p w14:paraId="7FD0D026" w14:textId="48F46ABD" w:rsidR="005404CB" w:rsidRPr="005404CB" w:rsidRDefault="005404CB" w:rsidP="005404CB">
      <w:pPr>
        <w:autoSpaceDE w:val="0"/>
        <w:autoSpaceDN w:val="0"/>
        <w:adjustRightInd w:val="0"/>
        <w:rPr>
          <w:sz w:val="20"/>
          <w:szCs w:val="20"/>
        </w:rPr>
      </w:pPr>
    </w:p>
    <w:tbl>
      <w:tblPr>
        <w:tblStyle w:val="finTable1"/>
        <w:tblW w:w="5000" w:type="pct"/>
        <w:tblCellSpacing w:w="0" w:type="dxa"/>
        <w:tblInd w:w="144" w:type="dxa"/>
        <w:tblCellMar>
          <w:left w:w="0" w:type="dxa"/>
          <w:right w:w="0" w:type="dxa"/>
        </w:tblCellMar>
        <w:tblLook w:val="05E0" w:firstRow="1" w:lastRow="1" w:firstColumn="1" w:lastColumn="1" w:noHBand="0" w:noVBand="1"/>
      </w:tblPr>
      <w:tblGrid>
        <w:gridCol w:w="5870"/>
        <w:gridCol w:w="222"/>
        <w:gridCol w:w="222"/>
        <w:gridCol w:w="1190"/>
        <w:gridCol w:w="222"/>
        <w:gridCol w:w="222"/>
        <w:gridCol w:w="1190"/>
        <w:gridCol w:w="222"/>
      </w:tblGrid>
      <w:tr w:rsidR="005404CB" w:rsidRPr="005404CB" w14:paraId="69292999" w14:textId="77777777" w:rsidTr="004F5282">
        <w:trPr>
          <w:cantSplit/>
          <w:tblCellSpacing w:w="0" w:type="dxa"/>
        </w:trPr>
        <w:tc>
          <w:tcPr>
            <w:tcW w:w="3136" w:type="pct"/>
            <w:tcBorders>
              <w:bottom w:val="single" w:sz="12" w:space="0" w:color="000000"/>
            </w:tcBorders>
            <w:shd w:val="clear" w:color="auto" w:fill="auto"/>
            <w:tcMar>
              <w:top w:w="0" w:type="dxa"/>
              <w:left w:w="0" w:type="dxa"/>
              <w:bottom w:w="15" w:type="dxa"/>
              <w:right w:w="0" w:type="dxa"/>
            </w:tcMar>
            <w:vAlign w:val="bottom"/>
            <w:hideMark/>
          </w:tcPr>
          <w:p w14:paraId="08CE43F5" w14:textId="77777777" w:rsidR="005404CB" w:rsidRPr="005404CB" w:rsidRDefault="005404CB" w:rsidP="005404CB">
            <w:pPr>
              <w:autoSpaceDE w:val="0"/>
              <w:autoSpaceDN w:val="0"/>
              <w:adjustRightInd w:val="0"/>
              <w:rPr>
                <w:color w:val="000000"/>
                <w:sz w:val="20"/>
                <w:szCs w:val="20"/>
              </w:rPr>
            </w:pPr>
            <w:r w:rsidRPr="005404CB">
              <w:rPr>
                <w:b/>
                <w:bCs/>
                <w:color w:val="000000"/>
                <w:sz w:val="20"/>
                <w:szCs w:val="20"/>
              </w:rPr>
              <w:t>Name of Beneficial Owner</w:t>
            </w:r>
          </w:p>
        </w:tc>
        <w:tc>
          <w:tcPr>
            <w:tcW w:w="119" w:type="pct"/>
            <w:shd w:val="clear" w:color="auto" w:fill="auto"/>
            <w:tcMar>
              <w:top w:w="0" w:type="dxa"/>
              <w:left w:w="0" w:type="dxa"/>
              <w:bottom w:w="0" w:type="dxa"/>
              <w:right w:w="0" w:type="dxa"/>
            </w:tcMar>
            <w:vAlign w:val="bottom"/>
            <w:hideMark/>
          </w:tcPr>
          <w:p w14:paraId="6C11D51C" w14:textId="77777777" w:rsidR="005404CB" w:rsidRPr="005404CB" w:rsidRDefault="005404CB" w:rsidP="005404CB">
            <w:pPr>
              <w:autoSpaceDE w:val="0"/>
              <w:autoSpaceDN w:val="0"/>
              <w:adjustRightInd w:val="0"/>
              <w:rPr>
                <w:color w:val="000000"/>
                <w:sz w:val="20"/>
                <w:szCs w:val="20"/>
              </w:rPr>
            </w:pPr>
          </w:p>
        </w:tc>
        <w:tc>
          <w:tcPr>
            <w:tcW w:w="754" w:type="pct"/>
            <w:gridSpan w:val="2"/>
            <w:tcBorders>
              <w:bottom w:val="single" w:sz="12" w:space="0" w:color="auto"/>
            </w:tcBorders>
            <w:shd w:val="clear" w:color="auto" w:fill="auto"/>
            <w:tcMar>
              <w:top w:w="0" w:type="dxa"/>
              <w:left w:w="0" w:type="dxa"/>
              <w:bottom w:w="8" w:type="dxa"/>
              <w:right w:w="0" w:type="dxa"/>
            </w:tcMar>
            <w:vAlign w:val="bottom"/>
            <w:hideMark/>
          </w:tcPr>
          <w:p w14:paraId="03297B7A" w14:textId="77777777" w:rsidR="005404CB" w:rsidRPr="005404CB" w:rsidRDefault="005404CB" w:rsidP="005404CB">
            <w:pPr>
              <w:autoSpaceDE w:val="0"/>
              <w:autoSpaceDN w:val="0"/>
              <w:adjustRightInd w:val="0"/>
              <w:rPr>
                <w:color w:val="000000"/>
                <w:sz w:val="20"/>
                <w:szCs w:val="20"/>
              </w:rPr>
            </w:pPr>
            <w:r w:rsidRPr="005404CB">
              <w:rPr>
                <w:b/>
                <w:bCs/>
                <w:color w:val="000000"/>
                <w:sz w:val="20"/>
                <w:szCs w:val="20"/>
              </w:rPr>
              <w:t>Amount and Nature of</w:t>
            </w:r>
          </w:p>
          <w:p w14:paraId="6972A4CD" w14:textId="77777777" w:rsidR="005404CB" w:rsidRPr="005404CB" w:rsidRDefault="005404CB" w:rsidP="005404CB">
            <w:pPr>
              <w:autoSpaceDE w:val="0"/>
              <w:autoSpaceDN w:val="0"/>
              <w:adjustRightInd w:val="0"/>
              <w:rPr>
                <w:color w:val="000000"/>
                <w:sz w:val="20"/>
                <w:szCs w:val="20"/>
              </w:rPr>
            </w:pPr>
            <w:r w:rsidRPr="005404CB">
              <w:rPr>
                <w:b/>
                <w:bCs/>
                <w:color w:val="000000"/>
                <w:sz w:val="20"/>
                <w:szCs w:val="20"/>
              </w:rPr>
              <w:t>Beneficial Ownership</w:t>
            </w:r>
          </w:p>
        </w:tc>
        <w:tc>
          <w:tcPr>
            <w:tcW w:w="119" w:type="pct"/>
            <w:tcBorders>
              <w:bottom w:val="single" w:sz="12" w:space="0" w:color="000000"/>
            </w:tcBorders>
            <w:shd w:val="clear" w:color="auto" w:fill="auto"/>
            <w:tcMar>
              <w:top w:w="0" w:type="dxa"/>
              <w:left w:w="0" w:type="dxa"/>
              <w:bottom w:w="30" w:type="dxa"/>
              <w:right w:w="0" w:type="dxa"/>
            </w:tcMar>
            <w:vAlign w:val="bottom"/>
            <w:hideMark/>
          </w:tcPr>
          <w:p w14:paraId="6E293021" w14:textId="77777777" w:rsidR="005404CB" w:rsidRPr="005404CB" w:rsidRDefault="005404CB" w:rsidP="005404CB">
            <w:pPr>
              <w:autoSpaceDE w:val="0"/>
              <w:autoSpaceDN w:val="0"/>
              <w:adjustRightInd w:val="0"/>
              <w:rPr>
                <w:color w:val="000000"/>
                <w:sz w:val="20"/>
                <w:szCs w:val="20"/>
              </w:rPr>
            </w:pPr>
          </w:p>
        </w:tc>
        <w:tc>
          <w:tcPr>
            <w:tcW w:w="119" w:type="pct"/>
            <w:tcBorders>
              <w:bottom w:val="single" w:sz="12" w:space="0" w:color="000000"/>
            </w:tcBorders>
            <w:shd w:val="clear" w:color="auto" w:fill="auto"/>
            <w:tcMar>
              <w:top w:w="0" w:type="dxa"/>
              <w:left w:w="0" w:type="dxa"/>
              <w:bottom w:w="30" w:type="dxa"/>
              <w:right w:w="0" w:type="dxa"/>
            </w:tcMar>
            <w:vAlign w:val="bottom"/>
            <w:hideMark/>
          </w:tcPr>
          <w:p w14:paraId="3D2842CC" w14:textId="77777777" w:rsidR="005404CB" w:rsidRPr="005404CB" w:rsidRDefault="005404CB" w:rsidP="005404CB">
            <w:pPr>
              <w:autoSpaceDE w:val="0"/>
              <w:autoSpaceDN w:val="0"/>
              <w:adjustRightInd w:val="0"/>
              <w:rPr>
                <w:color w:val="000000"/>
                <w:sz w:val="20"/>
                <w:szCs w:val="20"/>
              </w:rPr>
            </w:pPr>
          </w:p>
        </w:tc>
        <w:tc>
          <w:tcPr>
            <w:tcW w:w="636" w:type="pct"/>
            <w:tcBorders>
              <w:bottom w:val="single" w:sz="12" w:space="0" w:color="000000"/>
            </w:tcBorders>
            <w:shd w:val="clear" w:color="auto" w:fill="auto"/>
            <w:tcMar>
              <w:top w:w="0" w:type="dxa"/>
              <w:left w:w="0" w:type="dxa"/>
              <w:bottom w:w="30" w:type="dxa"/>
              <w:right w:w="0" w:type="dxa"/>
            </w:tcMar>
            <w:vAlign w:val="bottom"/>
            <w:hideMark/>
          </w:tcPr>
          <w:p w14:paraId="4C9759A9" w14:textId="77777777" w:rsidR="005404CB" w:rsidRPr="005404CB" w:rsidRDefault="005404CB" w:rsidP="005404CB">
            <w:pPr>
              <w:autoSpaceDE w:val="0"/>
              <w:autoSpaceDN w:val="0"/>
              <w:adjustRightInd w:val="0"/>
              <w:rPr>
                <w:color w:val="000000"/>
                <w:sz w:val="20"/>
                <w:szCs w:val="20"/>
              </w:rPr>
            </w:pPr>
            <w:r w:rsidRPr="005404CB">
              <w:rPr>
                <w:b/>
                <w:bCs/>
                <w:color w:val="000000"/>
                <w:sz w:val="20"/>
                <w:szCs w:val="20"/>
              </w:rPr>
              <w:t>Percent of</w:t>
            </w:r>
            <w:r w:rsidRPr="005404CB">
              <w:rPr>
                <w:b/>
                <w:bCs/>
                <w:color w:val="000000"/>
                <w:sz w:val="20"/>
                <w:szCs w:val="20"/>
              </w:rPr>
              <w:br/>
              <w:t>Class (1)</w:t>
            </w:r>
          </w:p>
        </w:tc>
        <w:tc>
          <w:tcPr>
            <w:tcW w:w="119" w:type="pct"/>
            <w:tcBorders>
              <w:bottom w:val="single" w:sz="12" w:space="0" w:color="000000"/>
            </w:tcBorders>
            <w:shd w:val="clear" w:color="auto" w:fill="auto"/>
            <w:tcMar>
              <w:top w:w="0" w:type="dxa"/>
              <w:left w:w="0" w:type="dxa"/>
              <w:bottom w:w="30" w:type="dxa"/>
              <w:right w:w="0" w:type="dxa"/>
            </w:tcMar>
            <w:vAlign w:val="bottom"/>
            <w:hideMark/>
          </w:tcPr>
          <w:p w14:paraId="65578228" w14:textId="77777777" w:rsidR="005404CB" w:rsidRPr="005404CB" w:rsidRDefault="005404CB" w:rsidP="005404CB">
            <w:pPr>
              <w:autoSpaceDE w:val="0"/>
              <w:autoSpaceDN w:val="0"/>
              <w:adjustRightInd w:val="0"/>
              <w:rPr>
                <w:color w:val="000000"/>
                <w:sz w:val="20"/>
                <w:szCs w:val="20"/>
              </w:rPr>
            </w:pPr>
          </w:p>
        </w:tc>
      </w:tr>
      <w:tr w:rsidR="005404CB" w:rsidRPr="005404CB" w14:paraId="0CF460E0" w14:textId="77777777" w:rsidTr="004F5282">
        <w:trPr>
          <w:cantSplit/>
          <w:tblCellSpacing w:w="0" w:type="dxa"/>
        </w:trPr>
        <w:tc>
          <w:tcPr>
            <w:tcW w:w="3136" w:type="pct"/>
            <w:shd w:val="clear" w:color="auto" w:fill="auto"/>
            <w:tcMar>
              <w:top w:w="0" w:type="dxa"/>
              <w:left w:w="0" w:type="dxa"/>
              <w:bottom w:w="0" w:type="dxa"/>
              <w:right w:w="0" w:type="dxa"/>
            </w:tcMar>
            <w:vAlign w:val="bottom"/>
            <w:hideMark/>
          </w:tcPr>
          <w:p w14:paraId="6B2DB017" w14:textId="77777777" w:rsidR="005404CB" w:rsidRPr="005404CB" w:rsidRDefault="005404CB" w:rsidP="005404CB">
            <w:pPr>
              <w:autoSpaceDE w:val="0"/>
              <w:autoSpaceDN w:val="0"/>
              <w:adjustRightInd w:val="0"/>
              <w:rPr>
                <w:color w:val="000000"/>
                <w:sz w:val="20"/>
                <w:szCs w:val="20"/>
              </w:rPr>
            </w:pPr>
            <w:r w:rsidRPr="005404CB">
              <w:rPr>
                <w:b/>
                <w:bCs/>
                <w:color w:val="000000"/>
                <w:sz w:val="20"/>
                <w:szCs w:val="20"/>
              </w:rPr>
              <w:t>Principal Stockholders</w:t>
            </w:r>
          </w:p>
        </w:tc>
        <w:tc>
          <w:tcPr>
            <w:tcW w:w="119" w:type="pct"/>
            <w:shd w:val="clear" w:color="auto" w:fill="auto"/>
            <w:tcMar>
              <w:top w:w="0" w:type="dxa"/>
              <w:left w:w="0" w:type="dxa"/>
              <w:bottom w:w="0" w:type="dxa"/>
              <w:right w:w="0" w:type="dxa"/>
            </w:tcMar>
            <w:vAlign w:val="bottom"/>
            <w:hideMark/>
          </w:tcPr>
          <w:p w14:paraId="52C95692"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110AEE64"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6B683383"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178D29D8"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1D8B03AF"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79191D99"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53916C4B" w14:textId="77777777" w:rsidR="005404CB" w:rsidRPr="005404CB" w:rsidRDefault="005404CB" w:rsidP="005404CB">
            <w:pPr>
              <w:autoSpaceDE w:val="0"/>
              <w:autoSpaceDN w:val="0"/>
              <w:adjustRightInd w:val="0"/>
              <w:rPr>
                <w:color w:val="000000"/>
                <w:sz w:val="20"/>
                <w:szCs w:val="20"/>
              </w:rPr>
            </w:pPr>
          </w:p>
        </w:tc>
      </w:tr>
      <w:tr w:rsidR="005404CB" w:rsidRPr="005404CB" w14:paraId="212CEDE5" w14:textId="77777777" w:rsidTr="004F5282">
        <w:tblPrEx>
          <w:tblCellSpacing w:w="0" w:type="nil"/>
          <w:tblCellMar>
            <w:left w:w="108" w:type="dxa"/>
            <w:right w:w="108" w:type="dxa"/>
          </w:tblCellMar>
          <w:tblLook w:val="04A0" w:firstRow="1" w:lastRow="0" w:firstColumn="1" w:lastColumn="0" w:noHBand="0" w:noVBand="1"/>
        </w:tblPrEx>
        <w:tc>
          <w:tcPr>
            <w:tcW w:w="3136" w:type="pct"/>
            <w:hideMark/>
          </w:tcPr>
          <w:p w14:paraId="16352CDF" w14:textId="77777777" w:rsidR="005404CB" w:rsidRPr="005404CB" w:rsidRDefault="005404CB" w:rsidP="005404CB">
            <w:pPr>
              <w:autoSpaceDE w:val="0"/>
              <w:autoSpaceDN w:val="0"/>
              <w:adjustRightInd w:val="0"/>
              <w:ind w:left="20"/>
              <w:rPr>
                <w:color w:val="000000"/>
                <w:sz w:val="20"/>
                <w:szCs w:val="20"/>
              </w:rPr>
            </w:pPr>
            <w:r w:rsidRPr="005404CB">
              <w:rPr>
                <w:color w:val="000000"/>
                <w:sz w:val="20"/>
                <w:szCs w:val="20"/>
              </w:rPr>
              <w:t>Armistice Capital Master Fund Ltd. (2)</w:t>
            </w:r>
          </w:p>
        </w:tc>
        <w:tc>
          <w:tcPr>
            <w:tcW w:w="119" w:type="pct"/>
            <w:hideMark/>
          </w:tcPr>
          <w:p w14:paraId="11072308" w14:textId="77777777" w:rsidR="005404CB" w:rsidRPr="005404CB" w:rsidRDefault="005404CB" w:rsidP="005404CB">
            <w:pPr>
              <w:autoSpaceDE w:val="0"/>
              <w:autoSpaceDN w:val="0"/>
              <w:adjustRightInd w:val="0"/>
              <w:rPr>
                <w:color w:val="000000"/>
                <w:sz w:val="20"/>
                <w:szCs w:val="20"/>
              </w:rPr>
            </w:pPr>
          </w:p>
        </w:tc>
        <w:tc>
          <w:tcPr>
            <w:tcW w:w="119" w:type="pct"/>
            <w:hideMark/>
          </w:tcPr>
          <w:p w14:paraId="59D7B056" w14:textId="77777777" w:rsidR="005404CB" w:rsidRPr="005404CB" w:rsidRDefault="005404CB" w:rsidP="005404CB">
            <w:pPr>
              <w:autoSpaceDE w:val="0"/>
              <w:autoSpaceDN w:val="0"/>
              <w:adjustRightInd w:val="0"/>
              <w:rPr>
                <w:color w:val="000000"/>
                <w:sz w:val="20"/>
                <w:szCs w:val="20"/>
              </w:rPr>
            </w:pPr>
          </w:p>
        </w:tc>
        <w:tc>
          <w:tcPr>
            <w:tcW w:w="636" w:type="pct"/>
            <w:hideMark/>
          </w:tcPr>
          <w:p w14:paraId="4294C98E" w14:textId="395E9D9E" w:rsidR="005404CB" w:rsidRPr="005404CB" w:rsidRDefault="0041130F" w:rsidP="005404CB">
            <w:pPr>
              <w:autoSpaceDE w:val="0"/>
              <w:autoSpaceDN w:val="0"/>
              <w:adjustRightInd w:val="0"/>
              <w:rPr>
                <w:color w:val="000000"/>
                <w:sz w:val="20"/>
                <w:szCs w:val="20"/>
              </w:rPr>
            </w:pPr>
            <w:r>
              <w:rPr>
                <w:color w:val="000000"/>
                <w:sz w:val="20"/>
                <w:szCs w:val="20"/>
              </w:rPr>
              <w:t>1,253,500</w:t>
            </w:r>
          </w:p>
        </w:tc>
        <w:tc>
          <w:tcPr>
            <w:tcW w:w="119" w:type="pct"/>
            <w:noWrap/>
            <w:hideMark/>
          </w:tcPr>
          <w:p w14:paraId="61051F28" w14:textId="77777777" w:rsidR="005404CB" w:rsidRPr="005404CB" w:rsidRDefault="005404CB" w:rsidP="005404CB">
            <w:pPr>
              <w:autoSpaceDE w:val="0"/>
              <w:autoSpaceDN w:val="0"/>
              <w:adjustRightInd w:val="0"/>
              <w:jc w:val="right"/>
              <w:rPr>
                <w:color w:val="000000"/>
                <w:sz w:val="20"/>
                <w:szCs w:val="20"/>
              </w:rPr>
            </w:pPr>
          </w:p>
        </w:tc>
        <w:tc>
          <w:tcPr>
            <w:tcW w:w="119" w:type="pct"/>
            <w:noWrap/>
            <w:hideMark/>
          </w:tcPr>
          <w:p w14:paraId="1C8921D1" w14:textId="77777777" w:rsidR="005404CB" w:rsidRPr="005404CB" w:rsidRDefault="005404CB" w:rsidP="005404CB">
            <w:pPr>
              <w:autoSpaceDE w:val="0"/>
              <w:autoSpaceDN w:val="0"/>
              <w:adjustRightInd w:val="0"/>
              <w:rPr>
                <w:color w:val="000000"/>
                <w:sz w:val="20"/>
                <w:szCs w:val="20"/>
              </w:rPr>
            </w:pPr>
          </w:p>
        </w:tc>
        <w:tc>
          <w:tcPr>
            <w:tcW w:w="636" w:type="pct"/>
            <w:noWrap/>
            <w:hideMark/>
          </w:tcPr>
          <w:p w14:paraId="53E31210" w14:textId="77777777" w:rsidR="005404CB" w:rsidRPr="005404CB" w:rsidRDefault="005404CB" w:rsidP="005404CB">
            <w:pPr>
              <w:autoSpaceDE w:val="0"/>
              <w:autoSpaceDN w:val="0"/>
              <w:adjustRightInd w:val="0"/>
              <w:jc w:val="right"/>
              <w:rPr>
                <w:color w:val="000000"/>
                <w:sz w:val="20"/>
                <w:szCs w:val="20"/>
              </w:rPr>
            </w:pPr>
            <w:r w:rsidRPr="005404CB">
              <w:rPr>
                <w:color w:val="000000"/>
                <w:sz w:val="20"/>
                <w:szCs w:val="20"/>
              </w:rPr>
              <w:t>9.99%</w:t>
            </w:r>
          </w:p>
        </w:tc>
        <w:tc>
          <w:tcPr>
            <w:tcW w:w="119" w:type="pct"/>
            <w:noWrap/>
            <w:hideMark/>
          </w:tcPr>
          <w:p w14:paraId="4938C00F" w14:textId="77777777" w:rsidR="005404CB" w:rsidRPr="005404CB" w:rsidRDefault="005404CB" w:rsidP="005404CB">
            <w:pPr>
              <w:autoSpaceDE w:val="0"/>
              <w:autoSpaceDN w:val="0"/>
              <w:adjustRightInd w:val="0"/>
              <w:rPr>
                <w:color w:val="000000"/>
                <w:sz w:val="20"/>
                <w:szCs w:val="20"/>
              </w:rPr>
            </w:pPr>
          </w:p>
        </w:tc>
      </w:tr>
      <w:tr w:rsidR="005404CB" w:rsidRPr="005404CB" w14:paraId="4ED5E46B" w14:textId="77777777" w:rsidTr="004F5282">
        <w:trPr>
          <w:cantSplit/>
          <w:tblCellSpacing w:w="0" w:type="dxa"/>
        </w:trPr>
        <w:tc>
          <w:tcPr>
            <w:tcW w:w="3136" w:type="pct"/>
            <w:shd w:val="clear" w:color="auto" w:fill="auto"/>
            <w:tcMar>
              <w:top w:w="0" w:type="dxa"/>
              <w:left w:w="0" w:type="dxa"/>
              <w:bottom w:w="0" w:type="dxa"/>
              <w:right w:w="0" w:type="dxa"/>
            </w:tcMar>
            <w:vAlign w:val="bottom"/>
          </w:tcPr>
          <w:p w14:paraId="53AF39FD" w14:textId="77777777" w:rsidR="005404CB" w:rsidRPr="005404CB" w:rsidRDefault="005404CB" w:rsidP="005404CB">
            <w:pPr>
              <w:autoSpaceDE w:val="0"/>
              <w:autoSpaceDN w:val="0"/>
              <w:adjustRightInd w:val="0"/>
              <w:rPr>
                <w:b/>
                <w:bCs/>
                <w:color w:val="000000"/>
                <w:sz w:val="20"/>
                <w:szCs w:val="20"/>
              </w:rPr>
            </w:pPr>
            <w:r w:rsidRPr="005404CB">
              <w:rPr>
                <w:b/>
                <w:bCs/>
                <w:color w:val="000000"/>
                <w:sz w:val="20"/>
                <w:szCs w:val="20"/>
              </w:rPr>
              <w:t xml:space="preserve">Directors and Executive Officers: </w:t>
            </w:r>
            <w:r w:rsidRPr="005404CB">
              <w:rPr>
                <w:color w:val="000000"/>
                <w:sz w:val="20"/>
                <w:szCs w:val="20"/>
              </w:rPr>
              <w:t>(3)</w:t>
            </w:r>
          </w:p>
        </w:tc>
        <w:tc>
          <w:tcPr>
            <w:tcW w:w="119" w:type="pct"/>
            <w:shd w:val="clear" w:color="auto" w:fill="auto"/>
            <w:tcMar>
              <w:top w:w="0" w:type="dxa"/>
              <w:left w:w="0" w:type="dxa"/>
              <w:bottom w:w="0" w:type="dxa"/>
              <w:right w:w="0" w:type="dxa"/>
            </w:tcMar>
            <w:vAlign w:val="bottom"/>
          </w:tcPr>
          <w:p w14:paraId="045089E9"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tcPr>
          <w:p w14:paraId="20C771CF"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tcPr>
          <w:p w14:paraId="1E65D497"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tcPr>
          <w:p w14:paraId="439955C9"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tcPr>
          <w:p w14:paraId="6C7CCAF2"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tcPr>
          <w:p w14:paraId="0A829855"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tcPr>
          <w:p w14:paraId="4F1AB671" w14:textId="77777777" w:rsidR="005404CB" w:rsidRPr="005404CB" w:rsidRDefault="005404CB" w:rsidP="005404CB">
            <w:pPr>
              <w:autoSpaceDE w:val="0"/>
              <w:autoSpaceDN w:val="0"/>
              <w:adjustRightInd w:val="0"/>
              <w:rPr>
                <w:color w:val="000000"/>
                <w:sz w:val="20"/>
                <w:szCs w:val="20"/>
              </w:rPr>
            </w:pPr>
          </w:p>
        </w:tc>
      </w:tr>
      <w:tr w:rsidR="005404CB" w:rsidRPr="005404CB" w14:paraId="6920F62F" w14:textId="77777777" w:rsidTr="004F5282">
        <w:trPr>
          <w:cantSplit/>
          <w:tblCellSpacing w:w="0" w:type="dxa"/>
        </w:trPr>
        <w:tc>
          <w:tcPr>
            <w:tcW w:w="3136" w:type="pct"/>
            <w:shd w:val="clear" w:color="auto" w:fill="auto"/>
            <w:tcMar>
              <w:top w:w="0" w:type="dxa"/>
              <w:left w:w="0" w:type="dxa"/>
              <w:bottom w:w="0" w:type="dxa"/>
              <w:right w:w="0" w:type="dxa"/>
            </w:tcMar>
            <w:vAlign w:val="bottom"/>
            <w:hideMark/>
          </w:tcPr>
          <w:p w14:paraId="7EA8AEC4" w14:textId="77777777" w:rsidR="005404CB" w:rsidRPr="005404CB" w:rsidRDefault="005404CB" w:rsidP="005404CB">
            <w:pPr>
              <w:autoSpaceDE w:val="0"/>
              <w:autoSpaceDN w:val="0"/>
              <w:adjustRightInd w:val="0"/>
              <w:ind w:left="180"/>
              <w:rPr>
                <w:color w:val="000000"/>
                <w:sz w:val="20"/>
                <w:szCs w:val="20"/>
              </w:rPr>
            </w:pPr>
            <w:bookmarkStart w:id="50" w:name="_Hlk96963511"/>
            <w:r w:rsidRPr="005404CB">
              <w:rPr>
                <w:color w:val="000000"/>
                <w:sz w:val="20"/>
                <w:szCs w:val="20"/>
              </w:rPr>
              <w:t>Randal Chase (4)</w:t>
            </w:r>
          </w:p>
        </w:tc>
        <w:tc>
          <w:tcPr>
            <w:tcW w:w="119" w:type="pct"/>
            <w:shd w:val="clear" w:color="auto" w:fill="auto"/>
            <w:tcMar>
              <w:top w:w="0" w:type="dxa"/>
              <w:left w:w="0" w:type="dxa"/>
              <w:bottom w:w="0" w:type="dxa"/>
              <w:right w:w="0" w:type="dxa"/>
            </w:tcMar>
            <w:vAlign w:val="bottom"/>
            <w:hideMark/>
          </w:tcPr>
          <w:p w14:paraId="28458380"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0DD2875E"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609FC7A9"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41,559</w:t>
            </w:r>
          </w:p>
        </w:tc>
        <w:tc>
          <w:tcPr>
            <w:tcW w:w="119" w:type="pct"/>
            <w:shd w:val="clear" w:color="auto" w:fill="auto"/>
            <w:noWrap/>
            <w:tcMar>
              <w:top w:w="0" w:type="dxa"/>
              <w:left w:w="0" w:type="dxa"/>
              <w:bottom w:w="0" w:type="dxa"/>
              <w:right w:w="0" w:type="dxa"/>
            </w:tcMar>
            <w:vAlign w:val="bottom"/>
            <w:hideMark/>
          </w:tcPr>
          <w:p w14:paraId="6CBB862B" w14:textId="77777777" w:rsidR="005404CB" w:rsidRPr="005404CB" w:rsidRDefault="005404CB" w:rsidP="005404CB">
            <w:pPr>
              <w:autoSpaceDE w:val="0"/>
              <w:autoSpaceDN w:val="0"/>
              <w:adjustRightInd w:val="0"/>
              <w:jc w:val="right"/>
              <w:rPr>
                <w:color w:val="000000"/>
                <w:sz w:val="20"/>
                <w:szCs w:val="20"/>
              </w:rPr>
            </w:pPr>
          </w:p>
        </w:tc>
        <w:tc>
          <w:tcPr>
            <w:tcW w:w="119" w:type="pct"/>
            <w:shd w:val="clear" w:color="auto" w:fill="auto"/>
            <w:noWrap/>
            <w:tcMar>
              <w:top w:w="0" w:type="dxa"/>
              <w:left w:w="0" w:type="dxa"/>
              <w:bottom w:w="0" w:type="dxa"/>
              <w:right w:w="0" w:type="dxa"/>
            </w:tcMar>
            <w:vAlign w:val="bottom"/>
            <w:hideMark/>
          </w:tcPr>
          <w:p w14:paraId="71170F69"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noWrap/>
            <w:tcMar>
              <w:top w:w="0" w:type="dxa"/>
              <w:left w:w="0" w:type="dxa"/>
              <w:bottom w:w="0" w:type="dxa"/>
              <w:right w:w="0" w:type="dxa"/>
            </w:tcMar>
            <w:vAlign w:val="bottom"/>
            <w:hideMark/>
          </w:tcPr>
          <w:p w14:paraId="1CB72FA6" w14:textId="77777777" w:rsidR="005404CB" w:rsidRPr="005404CB" w:rsidRDefault="005404CB" w:rsidP="005404CB">
            <w:pPr>
              <w:autoSpaceDE w:val="0"/>
              <w:autoSpaceDN w:val="0"/>
              <w:adjustRightInd w:val="0"/>
              <w:jc w:val="right"/>
              <w:rPr>
                <w:color w:val="000000"/>
                <w:sz w:val="20"/>
                <w:szCs w:val="20"/>
              </w:rPr>
            </w:pPr>
            <w:r w:rsidRPr="005404CB">
              <w:rPr>
                <w:color w:val="000000"/>
                <w:sz w:val="20"/>
                <w:szCs w:val="20"/>
              </w:rPr>
              <w:t>*</w:t>
            </w:r>
          </w:p>
        </w:tc>
        <w:tc>
          <w:tcPr>
            <w:tcW w:w="119" w:type="pct"/>
            <w:shd w:val="clear" w:color="auto" w:fill="auto"/>
            <w:noWrap/>
            <w:tcMar>
              <w:top w:w="0" w:type="dxa"/>
              <w:left w:w="0" w:type="dxa"/>
              <w:bottom w:w="0" w:type="dxa"/>
              <w:right w:w="0" w:type="dxa"/>
            </w:tcMar>
            <w:vAlign w:val="bottom"/>
            <w:hideMark/>
          </w:tcPr>
          <w:p w14:paraId="3AABBA90" w14:textId="77777777" w:rsidR="005404CB" w:rsidRPr="005404CB" w:rsidRDefault="005404CB" w:rsidP="005404CB">
            <w:pPr>
              <w:autoSpaceDE w:val="0"/>
              <w:autoSpaceDN w:val="0"/>
              <w:adjustRightInd w:val="0"/>
              <w:rPr>
                <w:color w:val="000000"/>
                <w:sz w:val="20"/>
                <w:szCs w:val="20"/>
              </w:rPr>
            </w:pPr>
          </w:p>
        </w:tc>
      </w:tr>
      <w:bookmarkEnd w:id="50"/>
      <w:tr w:rsidR="005404CB" w:rsidRPr="005404CB" w14:paraId="4811346F" w14:textId="77777777" w:rsidTr="004F5282">
        <w:trPr>
          <w:cantSplit/>
          <w:tblCellSpacing w:w="0" w:type="dxa"/>
        </w:trPr>
        <w:tc>
          <w:tcPr>
            <w:tcW w:w="3136" w:type="pct"/>
            <w:shd w:val="clear" w:color="auto" w:fill="auto"/>
            <w:tcMar>
              <w:top w:w="0" w:type="dxa"/>
              <w:left w:w="0" w:type="dxa"/>
              <w:bottom w:w="0" w:type="dxa"/>
              <w:right w:w="0" w:type="dxa"/>
            </w:tcMar>
            <w:vAlign w:val="bottom"/>
            <w:hideMark/>
          </w:tcPr>
          <w:p w14:paraId="30915B0B" w14:textId="77777777" w:rsidR="005404CB" w:rsidRPr="005404CB" w:rsidRDefault="005404CB" w:rsidP="005404CB">
            <w:pPr>
              <w:autoSpaceDE w:val="0"/>
              <w:autoSpaceDN w:val="0"/>
              <w:adjustRightInd w:val="0"/>
              <w:ind w:left="180"/>
              <w:rPr>
                <w:color w:val="000000"/>
                <w:sz w:val="20"/>
                <w:szCs w:val="20"/>
              </w:rPr>
            </w:pPr>
            <w:r w:rsidRPr="005404CB">
              <w:rPr>
                <w:color w:val="000000"/>
                <w:sz w:val="20"/>
                <w:szCs w:val="20"/>
              </w:rPr>
              <w:t>David A. Dodd (5)</w:t>
            </w:r>
          </w:p>
        </w:tc>
        <w:tc>
          <w:tcPr>
            <w:tcW w:w="119" w:type="pct"/>
            <w:shd w:val="clear" w:color="auto" w:fill="auto"/>
            <w:tcMar>
              <w:top w:w="0" w:type="dxa"/>
              <w:left w:w="0" w:type="dxa"/>
              <w:bottom w:w="0" w:type="dxa"/>
              <w:right w:w="0" w:type="dxa"/>
            </w:tcMar>
            <w:vAlign w:val="bottom"/>
            <w:hideMark/>
          </w:tcPr>
          <w:p w14:paraId="535E7309"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69700964"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0A253B77"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254,740</w:t>
            </w:r>
          </w:p>
        </w:tc>
        <w:tc>
          <w:tcPr>
            <w:tcW w:w="119" w:type="pct"/>
            <w:shd w:val="clear" w:color="auto" w:fill="auto"/>
            <w:noWrap/>
            <w:tcMar>
              <w:top w:w="0" w:type="dxa"/>
              <w:left w:w="0" w:type="dxa"/>
              <w:bottom w:w="0" w:type="dxa"/>
              <w:right w:w="0" w:type="dxa"/>
            </w:tcMar>
            <w:vAlign w:val="bottom"/>
            <w:hideMark/>
          </w:tcPr>
          <w:p w14:paraId="5166FA8E"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noWrap/>
            <w:tcMar>
              <w:top w:w="0" w:type="dxa"/>
              <w:left w:w="0" w:type="dxa"/>
              <w:bottom w:w="0" w:type="dxa"/>
              <w:right w:w="0" w:type="dxa"/>
            </w:tcMar>
            <w:vAlign w:val="bottom"/>
            <w:hideMark/>
          </w:tcPr>
          <w:p w14:paraId="76A6E782"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noWrap/>
            <w:tcMar>
              <w:top w:w="0" w:type="dxa"/>
              <w:left w:w="0" w:type="dxa"/>
              <w:bottom w:w="0" w:type="dxa"/>
              <w:right w:w="0" w:type="dxa"/>
            </w:tcMar>
            <w:vAlign w:val="bottom"/>
            <w:hideMark/>
          </w:tcPr>
          <w:p w14:paraId="7C0C62D4" w14:textId="007241DF" w:rsidR="005404CB" w:rsidRPr="005404CB" w:rsidRDefault="005404CB" w:rsidP="005404CB">
            <w:pPr>
              <w:autoSpaceDE w:val="0"/>
              <w:autoSpaceDN w:val="0"/>
              <w:adjustRightInd w:val="0"/>
              <w:jc w:val="right"/>
              <w:rPr>
                <w:color w:val="000000"/>
                <w:sz w:val="20"/>
                <w:szCs w:val="20"/>
              </w:rPr>
            </w:pPr>
            <w:r w:rsidRPr="005404CB">
              <w:rPr>
                <w:color w:val="000000"/>
                <w:sz w:val="20"/>
                <w:szCs w:val="20"/>
              </w:rPr>
              <w:t>2.</w:t>
            </w:r>
            <w:r w:rsidR="002B375E">
              <w:rPr>
                <w:color w:val="000000"/>
                <w:sz w:val="20"/>
                <w:szCs w:val="20"/>
              </w:rPr>
              <w:t>0</w:t>
            </w:r>
            <w:r w:rsidRPr="005404CB">
              <w:rPr>
                <w:color w:val="000000"/>
                <w:sz w:val="20"/>
                <w:szCs w:val="20"/>
              </w:rPr>
              <w:t>%</w:t>
            </w:r>
          </w:p>
        </w:tc>
        <w:tc>
          <w:tcPr>
            <w:tcW w:w="119" w:type="pct"/>
            <w:shd w:val="clear" w:color="auto" w:fill="auto"/>
            <w:noWrap/>
            <w:tcMar>
              <w:top w:w="0" w:type="dxa"/>
              <w:left w:w="0" w:type="dxa"/>
              <w:bottom w:w="0" w:type="dxa"/>
              <w:right w:w="0" w:type="dxa"/>
            </w:tcMar>
            <w:vAlign w:val="bottom"/>
            <w:hideMark/>
          </w:tcPr>
          <w:p w14:paraId="023861EB" w14:textId="77777777" w:rsidR="005404CB" w:rsidRPr="005404CB" w:rsidRDefault="005404CB" w:rsidP="005404CB">
            <w:pPr>
              <w:autoSpaceDE w:val="0"/>
              <w:autoSpaceDN w:val="0"/>
              <w:adjustRightInd w:val="0"/>
              <w:rPr>
                <w:color w:val="000000"/>
                <w:sz w:val="20"/>
                <w:szCs w:val="20"/>
              </w:rPr>
            </w:pPr>
          </w:p>
        </w:tc>
      </w:tr>
      <w:tr w:rsidR="005404CB" w:rsidRPr="005404CB" w14:paraId="4CAB73CD" w14:textId="77777777" w:rsidTr="004F5282">
        <w:trPr>
          <w:cantSplit/>
          <w:tblCellSpacing w:w="0" w:type="dxa"/>
        </w:trPr>
        <w:tc>
          <w:tcPr>
            <w:tcW w:w="3136" w:type="pct"/>
            <w:shd w:val="clear" w:color="auto" w:fill="auto"/>
            <w:tcMar>
              <w:top w:w="0" w:type="dxa"/>
              <w:left w:w="0" w:type="dxa"/>
              <w:bottom w:w="0" w:type="dxa"/>
              <w:right w:w="0" w:type="dxa"/>
            </w:tcMar>
            <w:vAlign w:val="bottom"/>
            <w:hideMark/>
          </w:tcPr>
          <w:p w14:paraId="57156BC7" w14:textId="77777777" w:rsidR="005404CB" w:rsidRPr="005404CB" w:rsidRDefault="005404CB" w:rsidP="005404CB">
            <w:pPr>
              <w:autoSpaceDE w:val="0"/>
              <w:autoSpaceDN w:val="0"/>
              <w:adjustRightInd w:val="0"/>
              <w:ind w:left="180"/>
              <w:rPr>
                <w:color w:val="000000"/>
                <w:sz w:val="20"/>
                <w:szCs w:val="20"/>
              </w:rPr>
            </w:pPr>
            <w:r w:rsidRPr="005404CB">
              <w:rPr>
                <w:color w:val="000000"/>
                <w:sz w:val="20"/>
                <w:szCs w:val="20"/>
              </w:rPr>
              <w:t>Dean G. Kollintzas (6)</w:t>
            </w:r>
          </w:p>
        </w:tc>
        <w:tc>
          <w:tcPr>
            <w:tcW w:w="119" w:type="pct"/>
            <w:shd w:val="clear" w:color="auto" w:fill="auto"/>
            <w:tcMar>
              <w:top w:w="0" w:type="dxa"/>
              <w:left w:w="0" w:type="dxa"/>
              <w:bottom w:w="0" w:type="dxa"/>
              <w:right w:w="0" w:type="dxa"/>
            </w:tcMar>
            <w:vAlign w:val="bottom"/>
            <w:hideMark/>
          </w:tcPr>
          <w:p w14:paraId="6BD49FE3"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5706A533"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34FC785C"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32,307</w:t>
            </w:r>
          </w:p>
        </w:tc>
        <w:tc>
          <w:tcPr>
            <w:tcW w:w="119" w:type="pct"/>
            <w:shd w:val="clear" w:color="auto" w:fill="auto"/>
            <w:noWrap/>
            <w:tcMar>
              <w:top w:w="0" w:type="dxa"/>
              <w:left w:w="0" w:type="dxa"/>
              <w:bottom w:w="0" w:type="dxa"/>
              <w:right w:w="0" w:type="dxa"/>
            </w:tcMar>
            <w:vAlign w:val="bottom"/>
            <w:hideMark/>
          </w:tcPr>
          <w:p w14:paraId="54A22B4D" w14:textId="77777777" w:rsidR="005404CB" w:rsidRPr="005404CB" w:rsidRDefault="005404CB" w:rsidP="005404CB">
            <w:pPr>
              <w:autoSpaceDE w:val="0"/>
              <w:autoSpaceDN w:val="0"/>
              <w:adjustRightInd w:val="0"/>
              <w:jc w:val="right"/>
              <w:rPr>
                <w:color w:val="000000"/>
                <w:sz w:val="20"/>
                <w:szCs w:val="20"/>
              </w:rPr>
            </w:pPr>
          </w:p>
        </w:tc>
        <w:tc>
          <w:tcPr>
            <w:tcW w:w="119" w:type="pct"/>
            <w:shd w:val="clear" w:color="auto" w:fill="auto"/>
            <w:noWrap/>
            <w:tcMar>
              <w:top w:w="0" w:type="dxa"/>
              <w:left w:w="0" w:type="dxa"/>
              <w:bottom w:w="0" w:type="dxa"/>
              <w:right w:w="0" w:type="dxa"/>
            </w:tcMar>
            <w:vAlign w:val="bottom"/>
            <w:hideMark/>
          </w:tcPr>
          <w:p w14:paraId="6C64068E"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noWrap/>
            <w:tcMar>
              <w:top w:w="0" w:type="dxa"/>
              <w:left w:w="0" w:type="dxa"/>
              <w:bottom w:w="0" w:type="dxa"/>
              <w:right w:w="0" w:type="dxa"/>
            </w:tcMar>
            <w:vAlign w:val="bottom"/>
            <w:hideMark/>
          </w:tcPr>
          <w:p w14:paraId="545C70C4" w14:textId="77777777" w:rsidR="005404CB" w:rsidRPr="005404CB" w:rsidRDefault="005404CB" w:rsidP="005404CB">
            <w:pPr>
              <w:autoSpaceDE w:val="0"/>
              <w:autoSpaceDN w:val="0"/>
              <w:adjustRightInd w:val="0"/>
              <w:jc w:val="right"/>
              <w:rPr>
                <w:color w:val="000000"/>
                <w:sz w:val="20"/>
                <w:szCs w:val="20"/>
              </w:rPr>
            </w:pPr>
            <w:r w:rsidRPr="005404CB">
              <w:rPr>
                <w:color w:val="000000"/>
                <w:sz w:val="20"/>
                <w:szCs w:val="20"/>
              </w:rPr>
              <w:t>*</w:t>
            </w:r>
          </w:p>
        </w:tc>
        <w:tc>
          <w:tcPr>
            <w:tcW w:w="119" w:type="pct"/>
            <w:shd w:val="clear" w:color="auto" w:fill="auto"/>
            <w:noWrap/>
            <w:tcMar>
              <w:top w:w="0" w:type="dxa"/>
              <w:left w:w="0" w:type="dxa"/>
              <w:bottom w:w="0" w:type="dxa"/>
              <w:right w:w="0" w:type="dxa"/>
            </w:tcMar>
            <w:vAlign w:val="bottom"/>
            <w:hideMark/>
          </w:tcPr>
          <w:p w14:paraId="795F00B7" w14:textId="77777777" w:rsidR="005404CB" w:rsidRPr="005404CB" w:rsidRDefault="005404CB" w:rsidP="005404CB">
            <w:pPr>
              <w:autoSpaceDE w:val="0"/>
              <w:autoSpaceDN w:val="0"/>
              <w:adjustRightInd w:val="0"/>
              <w:rPr>
                <w:color w:val="000000"/>
                <w:sz w:val="20"/>
                <w:szCs w:val="20"/>
              </w:rPr>
            </w:pPr>
          </w:p>
        </w:tc>
      </w:tr>
      <w:tr w:rsidR="005404CB" w:rsidRPr="005404CB" w14:paraId="38216136" w14:textId="77777777" w:rsidTr="004F5282">
        <w:trPr>
          <w:cantSplit/>
          <w:tblCellSpacing w:w="0" w:type="dxa"/>
        </w:trPr>
        <w:tc>
          <w:tcPr>
            <w:tcW w:w="3136" w:type="pct"/>
            <w:shd w:val="clear" w:color="auto" w:fill="auto"/>
            <w:tcMar>
              <w:top w:w="0" w:type="dxa"/>
              <w:left w:w="0" w:type="dxa"/>
              <w:bottom w:w="0" w:type="dxa"/>
              <w:right w:w="0" w:type="dxa"/>
            </w:tcMar>
            <w:vAlign w:val="bottom"/>
            <w:hideMark/>
          </w:tcPr>
          <w:p w14:paraId="68865B1C" w14:textId="77777777" w:rsidR="005404CB" w:rsidRPr="005404CB" w:rsidRDefault="005404CB" w:rsidP="005404CB">
            <w:pPr>
              <w:autoSpaceDE w:val="0"/>
              <w:autoSpaceDN w:val="0"/>
              <w:adjustRightInd w:val="0"/>
              <w:ind w:left="180"/>
              <w:rPr>
                <w:color w:val="000000"/>
                <w:sz w:val="20"/>
                <w:szCs w:val="20"/>
              </w:rPr>
            </w:pPr>
            <w:r w:rsidRPr="005404CB">
              <w:rPr>
                <w:color w:val="000000"/>
                <w:sz w:val="20"/>
                <w:szCs w:val="20"/>
              </w:rPr>
              <w:t>Robert T. McNally (7)</w:t>
            </w:r>
          </w:p>
        </w:tc>
        <w:tc>
          <w:tcPr>
            <w:tcW w:w="119" w:type="pct"/>
            <w:shd w:val="clear" w:color="auto" w:fill="auto"/>
            <w:tcMar>
              <w:top w:w="0" w:type="dxa"/>
              <w:left w:w="0" w:type="dxa"/>
              <w:bottom w:w="0" w:type="dxa"/>
              <w:right w:w="0" w:type="dxa"/>
            </w:tcMar>
            <w:vAlign w:val="bottom"/>
            <w:hideMark/>
          </w:tcPr>
          <w:p w14:paraId="056220A2"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208AAA11"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02AAFF08"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116,183</w:t>
            </w:r>
          </w:p>
        </w:tc>
        <w:tc>
          <w:tcPr>
            <w:tcW w:w="119" w:type="pct"/>
            <w:shd w:val="clear" w:color="auto" w:fill="auto"/>
            <w:noWrap/>
            <w:tcMar>
              <w:top w:w="0" w:type="dxa"/>
              <w:left w:w="0" w:type="dxa"/>
              <w:bottom w:w="0" w:type="dxa"/>
              <w:right w:w="0" w:type="dxa"/>
            </w:tcMar>
            <w:vAlign w:val="bottom"/>
            <w:hideMark/>
          </w:tcPr>
          <w:p w14:paraId="750699DD"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noWrap/>
            <w:tcMar>
              <w:top w:w="0" w:type="dxa"/>
              <w:left w:w="0" w:type="dxa"/>
              <w:bottom w:w="0" w:type="dxa"/>
              <w:right w:w="0" w:type="dxa"/>
            </w:tcMar>
            <w:vAlign w:val="bottom"/>
            <w:hideMark/>
          </w:tcPr>
          <w:p w14:paraId="1949A9D4"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noWrap/>
            <w:tcMar>
              <w:top w:w="0" w:type="dxa"/>
              <w:left w:w="0" w:type="dxa"/>
              <w:bottom w:w="0" w:type="dxa"/>
              <w:right w:w="0" w:type="dxa"/>
            </w:tcMar>
            <w:vAlign w:val="bottom"/>
            <w:hideMark/>
          </w:tcPr>
          <w:p w14:paraId="3A04DBD8" w14:textId="33E2832E" w:rsidR="005404CB" w:rsidRPr="005404CB" w:rsidRDefault="002B375E" w:rsidP="005404CB">
            <w:pPr>
              <w:autoSpaceDE w:val="0"/>
              <w:autoSpaceDN w:val="0"/>
              <w:adjustRightInd w:val="0"/>
              <w:jc w:val="right"/>
              <w:rPr>
                <w:color w:val="000000"/>
                <w:sz w:val="20"/>
                <w:szCs w:val="20"/>
              </w:rPr>
            </w:pPr>
            <w:r>
              <w:rPr>
                <w:color w:val="000000"/>
                <w:sz w:val="20"/>
                <w:szCs w:val="20"/>
              </w:rPr>
              <w:t>*</w:t>
            </w:r>
          </w:p>
        </w:tc>
        <w:tc>
          <w:tcPr>
            <w:tcW w:w="119" w:type="pct"/>
            <w:shd w:val="clear" w:color="auto" w:fill="auto"/>
            <w:noWrap/>
            <w:tcMar>
              <w:top w:w="0" w:type="dxa"/>
              <w:left w:w="0" w:type="dxa"/>
              <w:bottom w:w="0" w:type="dxa"/>
              <w:right w:w="0" w:type="dxa"/>
            </w:tcMar>
            <w:vAlign w:val="bottom"/>
            <w:hideMark/>
          </w:tcPr>
          <w:p w14:paraId="6772BF4A" w14:textId="77777777" w:rsidR="005404CB" w:rsidRPr="005404CB" w:rsidRDefault="005404CB" w:rsidP="005404CB">
            <w:pPr>
              <w:autoSpaceDE w:val="0"/>
              <w:autoSpaceDN w:val="0"/>
              <w:adjustRightInd w:val="0"/>
              <w:rPr>
                <w:color w:val="000000"/>
                <w:sz w:val="20"/>
                <w:szCs w:val="20"/>
              </w:rPr>
            </w:pPr>
          </w:p>
        </w:tc>
      </w:tr>
      <w:tr w:rsidR="005404CB" w:rsidRPr="005404CB" w14:paraId="266D93BD" w14:textId="77777777" w:rsidTr="004F5282">
        <w:trPr>
          <w:cantSplit/>
          <w:tblCellSpacing w:w="0" w:type="dxa"/>
        </w:trPr>
        <w:tc>
          <w:tcPr>
            <w:tcW w:w="3136" w:type="pct"/>
            <w:shd w:val="clear" w:color="auto" w:fill="auto"/>
            <w:tcMar>
              <w:top w:w="0" w:type="dxa"/>
              <w:left w:w="0" w:type="dxa"/>
              <w:bottom w:w="0" w:type="dxa"/>
              <w:right w:w="0" w:type="dxa"/>
            </w:tcMar>
            <w:vAlign w:val="bottom"/>
          </w:tcPr>
          <w:p w14:paraId="739B1A99" w14:textId="77777777" w:rsidR="005404CB" w:rsidRPr="005404CB" w:rsidRDefault="005404CB" w:rsidP="005404CB">
            <w:pPr>
              <w:autoSpaceDE w:val="0"/>
              <w:autoSpaceDN w:val="0"/>
              <w:adjustRightInd w:val="0"/>
              <w:ind w:left="180"/>
              <w:rPr>
                <w:color w:val="000000"/>
                <w:sz w:val="20"/>
                <w:szCs w:val="20"/>
              </w:rPr>
            </w:pPr>
            <w:r w:rsidRPr="005404CB">
              <w:rPr>
                <w:color w:val="000000"/>
                <w:sz w:val="20"/>
                <w:szCs w:val="20"/>
              </w:rPr>
              <w:t>Kelly T. McKee</w:t>
            </w:r>
          </w:p>
        </w:tc>
        <w:tc>
          <w:tcPr>
            <w:tcW w:w="119" w:type="pct"/>
            <w:shd w:val="clear" w:color="auto" w:fill="auto"/>
            <w:tcMar>
              <w:top w:w="0" w:type="dxa"/>
              <w:left w:w="0" w:type="dxa"/>
              <w:bottom w:w="0" w:type="dxa"/>
              <w:right w:w="0" w:type="dxa"/>
            </w:tcMar>
            <w:vAlign w:val="bottom"/>
          </w:tcPr>
          <w:p w14:paraId="20585273"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tcPr>
          <w:p w14:paraId="775FCAC9"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tcPr>
          <w:p w14:paraId="30F36606"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14,721</w:t>
            </w:r>
          </w:p>
        </w:tc>
        <w:tc>
          <w:tcPr>
            <w:tcW w:w="119" w:type="pct"/>
            <w:shd w:val="clear" w:color="auto" w:fill="auto"/>
            <w:noWrap/>
            <w:tcMar>
              <w:top w:w="0" w:type="dxa"/>
              <w:left w:w="0" w:type="dxa"/>
              <w:bottom w:w="0" w:type="dxa"/>
              <w:right w:w="0" w:type="dxa"/>
            </w:tcMar>
            <w:vAlign w:val="bottom"/>
          </w:tcPr>
          <w:p w14:paraId="049DC854" w14:textId="77777777" w:rsidR="005404CB" w:rsidRPr="005404CB" w:rsidRDefault="005404CB" w:rsidP="005404CB">
            <w:pPr>
              <w:autoSpaceDE w:val="0"/>
              <w:autoSpaceDN w:val="0"/>
              <w:adjustRightInd w:val="0"/>
              <w:jc w:val="right"/>
              <w:rPr>
                <w:color w:val="000000"/>
                <w:sz w:val="20"/>
                <w:szCs w:val="20"/>
              </w:rPr>
            </w:pPr>
          </w:p>
        </w:tc>
        <w:tc>
          <w:tcPr>
            <w:tcW w:w="119" w:type="pct"/>
            <w:shd w:val="clear" w:color="auto" w:fill="auto"/>
            <w:noWrap/>
            <w:tcMar>
              <w:top w:w="0" w:type="dxa"/>
              <w:left w:w="0" w:type="dxa"/>
              <w:bottom w:w="0" w:type="dxa"/>
              <w:right w:w="0" w:type="dxa"/>
            </w:tcMar>
            <w:vAlign w:val="bottom"/>
          </w:tcPr>
          <w:p w14:paraId="341AF151"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noWrap/>
            <w:tcMar>
              <w:top w:w="0" w:type="dxa"/>
              <w:left w:w="0" w:type="dxa"/>
              <w:bottom w:w="0" w:type="dxa"/>
              <w:right w:w="0" w:type="dxa"/>
            </w:tcMar>
            <w:vAlign w:val="bottom"/>
          </w:tcPr>
          <w:p w14:paraId="08A8901D" w14:textId="77777777" w:rsidR="005404CB" w:rsidRPr="005404CB" w:rsidRDefault="005404CB" w:rsidP="005404CB">
            <w:pPr>
              <w:autoSpaceDE w:val="0"/>
              <w:autoSpaceDN w:val="0"/>
              <w:adjustRightInd w:val="0"/>
              <w:jc w:val="right"/>
              <w:rPr>
                <w:color w:val="000000"/>
                <w:sz w:val="20"/>
                <w:szCs w:val="20"/>
              </w:rPr>
            </w:pPr>
            <w:r w:rsidRPr="005404CB">
              <w:rPr>
                <w:color w:val="000000"/>
                <w:sz w:val="20"/>
                <w:szCs w:val="20"/>
              </w:rPr>
              <w:t>*</w:t>
            </w:r>
          </w:p>
        </w:tc>
        <w:tc>
          <w:tcPr>
            <w:tcW w:w="119" w:type="pct"/>
            <w:shd w:val="clear" w:color="auto" w:fill="auto"/>
            <w:noWrap/>
            <w:tcMar>
              <w:top w:w="0" w:type="dxa"/>
              <w:left w:w="0" w:type="dxa"/>
              <w:bottom w:w="0" w:type="dxa"/>
              <w:right w:w="0" w:type="dxa"/>
            </w:tcMar>
            <w:vAlign w:val="bottom"/>
          </w:tcPr>
          <w:p w14:paraId="45AD5A4A" w14:textId="77777777" w:rsidR="005404CB" w:rsidRPr="005404CB" w:rsidRDefault="005404CB" w:rsidP="005404CB">
            <w:pPr>
              <w:autoSpaceDE w:val="0"/>
              <w:autoSpaceDN w:val="0"/>
              <w:adjustRightInd w:val="0"/>
              <w:rPr>
                <w:color w:val="000000"/>
                <w:sz w:val="20"/>
                <w:szCs w:val="20"/>
              </w:rPr>
            </w:pPr>
          </w:p>
        </w:tc>
      </w:tr>
      <w:tr w:rsidR="005404CB" w:rsidRPr="005404CB" w14:paraId="38737364" w14:textId="77777777" w:rsidTr="004F5282">
        <w:trPr>
          <w:cantSplit/>
          <w:tblCellSpacing w:w="0" w:type="dxa"/>
        </w:trPr>
        <w:tc>
          <w:tcPr>
            <w:tcW w:w="3136" w:type="pct"/>
            <w:shd w:val="clear" w:color="auto" w:fill="auto"/>
            <w:tcMar>
              <w:top w:w="0" w:type="dxa"/>
              <w:left w:w="0" w:type="dxa"/>
              <w:bottom w:w="0" w:type="dxa"/>
              <w:right w:w="0" w:type="dxa"/>
            </w:tcMar>
            <w:vAlign w:val="bottom"/>
            <w:hideMark/>
          </w:tcPr>
          <w:p w14:paraId="54C97EBE" w14:textId="77777777" w:rsidR="005404CB" w:rsidRPr="005404CB" w:rsidRDefault="005404CB" w:rsidP="005404CB">
            <w:pPr>
              <w:autoSpaceDE w:val="0"/>
              <w:autoSpaceDN w:val="0"/>
              <w:adjustRightInd w:val="0"/>
              <w:ind w:left="180"/>
              <w:rPr>
                <w:color w:val="000000"/>
                <w:sz w:val="20"/>
                <w:szCs w:val="20"/>
              </w:rPr>
            </w:pPr>
            <w:r w:rsidRPr="005404CB">
              <w:rPr>
                <w:color w:val="000000"/>
                <w:sz w:val="20"/>
                <w:szCs w:val="20"/>
              </w:rPr>
              <w:t>Mark J. Newman (8)</w:t>
            </w:r>
          </w:p>
        </w:tc>
        <w:tc>
          <w:tcPr>
            <w:tcW w:w="119" w:type="pct"/>
            <w:shd w:val="clear" w:color="auto" w:fill="auto"/>
            <w:tcMar>
              <w:top w:w="0" w:type="dxa"/>
              <w:left w:w="0" w:type="dxa"/>
              <w:bottom w:w="0" w:type="dxa"/>
              <w:right w:w="0" w:type="dxa"/>
            </w:tcMar>
            <w:vAlign w:val="bottom"/>
            <w:hideMark/>
          </w:tcPr>
          <w:p w14:paraId="51102AFF"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744E48A8"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7A4654EE"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11,666</w:t>
            </w:r>
          </w:p>
        </w:tc>
        <w:tc>
          <w:tcPr>
            <w:tcW w:w="119" w:type="pct"/>
            <w:shd w:val="clear" w:color="auto" w:fill="auto"/>
            <w:noWrap/>
            <w:tcMar>
              <w:top w:w="0" w:type="dxa"/>
              <w:left w:w="0" w:type="dxa"/>
              <w:bottom w:w="0" w:type="dxa"/>
              <w:right w:w="0" w:type="dxa"/>
            </w:tcMar>
            <w:vAlign w:val="bottom"/>
            <w:hideMark/>
          </w:tcPr>
          <w:p w14:paraId="7735310F" w14:textId="77777777" w:rsidR="005404CB" w:rsidRPr="005404CB" w:rsidRDefault="005404CB" w:rsidP="005404CB">
            <w:pPr>
              <w:autoSpaceDE w:val="0"/>
              <w:autoSpaceDN w:val="0"/>
              <w:adjustRightInd w:val="0"/>
              <w:jc w:val="right"/>
              <w:rPr>
                <w:color w:val="000000"/>
                <w:sz w:val="20"/>
                <w:szCs w:val="20"/>
              </w:rPr>
            </w:pPr>
          </w:p>
        </w:tc>
        <w:tc>
          <w:tcPr>
            <w:tcW w:w="119" w:type="pct"/>
            <w:shd w:val="clear" w:color="auto" w:fill="auto"/>
            <w:noWrap/>
            <w:tcMar>
              <w:top w:w="0" w:type="dxa"/>
              <w:left w:w="0" w:type="dxa"/>
              <w:bottom w:w="0" w:type="dxa"/>
              <w:right w:w="0" w:type="dxa"/>
            </w:tcMar>
            <w:vAlign w:val="bottom"/>
            <w:hideMark/>
          </w:tcPr>
          <w:p w14:paraId="4EA7FD5E"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noWrap/>
            <w:tcMar>
              <w:top w:w="0" w:type="dxa"/>
              <w:left w:w="0" w:type="dxa"/>
              <w:bottom w:w="0" w:type="dxa"/>
              <w:right w:w="0" w:type="dxa"/>
            </w:tcMar>
            <w:vAlign w:val="bottom"/>
            <w:hideMark/>
          </w:tcPr>
          <w:p w14:paraId="1DAFCECD" w14:textId="77777777" w:rsidR="005404CB" w:rsidRPr="005404CB" w:rsidRDefault="005404CB" w:rsidP="005404CB">
            <w:pPr>
              <w:autoSpaceDE w:val="0"/>
              <w:autoSpaceDN w:val="0"/>
              <w:adjustRightInd w:val="0"/>
              <w:jc w:val="right"/>
              <w:rPr>
                <w:color w:val="000000"/>
                <w:sz w:val="20"/>
                <w:szCs w:val="20"/>
              </w:rPr>
            </w:pPr>
            <w:r w:rsidRPr="005404CB">
              <w:rPr>
                <w:color w:val="000000"/>
                <w:sz w:val="20"/>
                <w:szCs w:val="20"/>
              </w:rPr>
              <w:t>*</w:t>
            </w:r>
          </w:p>
        </w:tc>
        <w:tc>
          <w:tcPr>
            <w:tcW w:w="119" w:type="pct"/>
            <w:shd w:val="clear" w:color="auto" w:fill="auto"/>
            <w:noWrap/>
            <w:tcMar>
              <w:top w:w="0" w:type="dxa"/>
              <w:left w:w="0" w:type="dxa"/>
              <w:bottom w:w="0" w:type="dxa"/>
              <w:right w:w="0" w:type="dxa"/>
            </w:tcMar>
            <w:vAlign w:val="bottom"/>
            <w:hideMark/>
          </w:tcPr>
          <w:p w14:paraId="7C9D452B" w14:textId="77777777" w:rsidR="005404CB" w:rsidRPr="005404CB" w:rsidRDefault="005404CB" w:rsidP="005404CB">
            <w:pPr>
              <w:autoSpaceDE w:val="0"/>
              <w:autoSpaceDN w:val="0"/>
              <w:adjustRightInd w:val="0"/>
              <w:rPr>
                <w:color w:val="000000"/>
                <w:sz w:val="20"/>
                <w:szCs w:val="20"/>
              </w:rPr>
            </w:pPr>
          </w:p>
        </w:tc>
      </w:tr>
      <w:tr w:rsidR="005404CB" w:rsidRPr="005404CB" w14:paraId="12681C8D" w14:textId="77777777" w:rsidTr="004F5282">
        <w:trPr>
          <w:cantSplit/>
          <w:tblCellSpacing w:w="0" w:type="dxa"/>
        </w:trPr>
        <w:tc>
          <w:tcPr>
            <w:tcW w:w="3136" w:type="pct"/>
            <w:shd w:val="clear" w:color="auto" w:fill="auto"/>
            <w:tcMar>
              <w:top w:w="0" w:type="dxa"/>
              <w:left w:w="0" w:type="dxa"/>
              <w:bottom w:w="0" w:type="dxa"/>
              <w:right w:w="0" w:type="dxa"/>
            </w:tcMar>
            <w:vAlign w:val="bottom"/>
            <w:hideMark/>
          </w:tcPr>
          <w:p w14:paraId="401E850A" w14:textId="77777777" w:rsidR="005404CB" w:rsidRPr="005404CB" w:rsidRDefault="005404CB" w:rsidP="005404CB">
            <w:pPr>
              <w:autoSpaceDE w:val="0"/>
              <w:autoSpaceDN w:val="0"/>
              <w:adjustRightInd w:val="0"/>
              <w:ind w:left="180"/>
              <w:rPr>
                <w:color w:val="000000"/>
                <w:sz w:val="20"/>
                <w:szCs w:val="20"/>
              </w:rPr>
            </w:pPr>
            <w:r w:rsidRPr="005404CB">
              <w:rPr>
                <w:color w:val="000000"/>
                <w:sz w:val="20"/>
                <w:szCs w:val="20"/>
              </w:rPr>
              <w:t>Mark W. Reynolds (9)</w:t>
            </w:r>
          </w:p>
        </w:tc>
        <w:tc>
          <w:tcPr>
            <w:tcW w:w="119" w:type="pct"/>
            <w:shd w:val="clear" w:color="auto" w:fill="auto"/>
            <w:tcMar>
              <w:top w:w="0" w:type="dxa"/>
              <w:left w:w="0" w:type="dxa"/>
              <w:bottom w:w="0" w:type="dxa"/>
              <w:right w:w="0" w:type="dxa"/>
            </w:tcMar>
            <w:vAlign w:val="bottom"/>
            <w:hideMark/>
          </w:tcPr>
          <w:p w14:paraId="6DE2B5EF"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2D6A81D8"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6A040439"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163,034</w:t>
            </w:r>
          </w:p>
        </w:tc>
        <w:tc>
          <w:tcPr>
            <w:tcW w:w="119" w:type="pct"/>
            <w:shd w:val="clear" w:color="auto" w:fill="auto"/>
            <w:noWrap/>
            <w:tcMar>
              <w:top w:w="0" w:type="dxa"/>
              <w:left w:w="0" w:type="dxa"/>
              <w:bottom w:w="0" w:type="dxa"/>
              <w:right w:w="0" w:type="dxa"/>
            </w:tcMar>
            <w:vAlign w:val="bottom"/>
            <w:hideMark/>
          </w:tcPr>
          <w:p w14:paraId="3722E6DC"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noWrap/>
            <w:tcMar>
              <w:top w:w="0" w:type="dxa"/>
              <w:left w:w="0" w:type="dxa"/>
              <w:bottom w:w="0" w:type="dxa"/>
              <w:right w:w="0" w:type="dxa"/>
            </w:tcMar>
            <w:vAlign w:val="bottom"/>
            <w:hideMark/>
          </w:tcPr>
          <w:p w14:paraId="50FF4BD4"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noWrap/>
            <w:tcMar>
              <w:top w:w="0" w:type="dxa"/>
              <w:left w:w="0" w:type="dxa"/>
              <w:bottom w:w="0" w:type="dxa"/>
              <w:right w:w="0" w:type="dxa"/>
            </w:tcMar>
            <w:vAlign w:val="bottom"/>
            <w:hideMark/>
          </w:tcPr>
          <w:p w14:paraId="6D0CEFE9" w14:textId="031B1DB6" w:rsidR="005404CB" w:rsidRPr="005404CB" w:rsidRDefault="005404CB" w:rsidP="005404CB">
            <w:pPr>
              <w:autoSpaceDE w:val="0"/>
              <w:autoSpaceDN w:val="0"/>
              <w:adjustRightInd w:val="0"/>
              <w:jc w:val="right"/>
              <w:rPr>
                <w:color w:val="000000"/>
                <w:sz w:val="20"/>
                <w:szCs w:val="20"/>
              </w:rPr>
            </w:pPr>
            <w:r w:rsidRPr="005404CB">
              <w:rPr>
                <w:color w:val="000000"/>
                <w:sz w:val="20"/>
                <w:szCs w:val="20"/>
              </w:rPr>
              <w:t>1.</w:t>
            </w:r>
            <w:r w:rsidR="00FD5114">
              <w:rPr>
                <w:color w:val="000000"/>
                <w:sz w:val="20"/>
                <w:szCs w:val="20"/>
              </w:rPr>
              <w:t>3</w:t>
            </w:r>
            <w:r w:rsidRPr="005404CB">
              <w:rPr>
                <w:color w:val="000000"/>
                <w:sz w:val="20"/>
                <w:szCs w:val="20"/>
              </w:rPr>
              <w:t>%</w:t>
            </w:r>
          </w:p>
        </w:tc>
        <w:tc>
          <w:tcPr>
            <w:tcW w:w="119" w:type="pct"/>
            <w:shd w:val="clear" w:color="auto" w:fill="auto"/>
            <w:noWrap/>
            <w:tcMar>
              <w:top w:w="0" w:type="dxa"/>
              <w:left w:w="0" w:type="dxa"/>
              <w:bottom w:w="0" w:type="dxa"/>
              <w:right w:w="0" w:type="dxa"/>
            </w:tcMar>
            <w:vAlign w:val="bottom"/>
            <w:hideMark/>
          </w:tcPr>
          <w:p w14:paraId="245CAD11" w14:textId="77777777" w:rsidR="005404CB" w:rsidRPr="005404CB" w:rsidRDefault="005404CB" w:rsidP="005404CB">
            <w:pPr>
              <w:autoSpaceDE w:val="0"/>
              <w:autoSpaceDN w:val="0"/>
              <w:adjustRightInd w:val="0"/>
              <w:rPr>
                <w:color w:val="000000"/>
                <w:sz w:val="20"/>
                <w:szCs w:val="20"/>
              </w:rPr>
            </w:pPr>
          </w:p>
        </w:tc>
      </w:tr>
      <w:tr w:rsidR="005404CB" w:rsidRPr="005404CB" w14:paraId="04466F17" w14:textId="77777777" w:rsidTr="004F5282">
        <w:trPr>
          <w:cantSplit/>
          <w:tblCellSpacing w:w="0" w:type="dxa"/>
        </w:trPr>
        <w:tc>
          <w:tcPr>
            <w:tcW w:w="3136" w:type="pct"/>
            <w:shd w:val="clear" w:color="auto" w:fill="auto"/>
            <w:tcMar>
              <w:top w:w="0" w:type="dxa"/>
              <w:left w:w="0" w:type="dxa"/>
              <w:bottom w:w="0" w:type="dxa"/>
              <w:right w:w="0" w:type="dxa"/>
            </w:tcMar>
            <w:vAlign w:val="bottom"/>
            <w:hideMark/>
          </w:tcPr>
          <w:p w14:paraId="3F1C099E" w14:textId="77777777" w:rsidR="005404CB" w:rsidRPr="005404CB" w:rsidRDefault="005404CB" w:rsidP="005404CB">
            <w:pPr>
              <w:autoSpaceDE w:val="0"/>
              <w:autoSpaceDN w:val="0"/>
              <w:adjustRightInd w:val="0"/>
              <w:ind w:left="180"/>
              <w:rPr>
                <w:color w:val="000000"/>
                <w:sz w:val="20"/>
                <w:szCs w:val="20"/>
              </w:rPr>
            </w:pPr>
            <w:r w:rsidRPr="005404CB">
              <w:rPr>
                <w:color w:val="000000"/>
                <w:sz w:val="20"/>
                <w:szCs w:val="20"/>
              </w:rPr>
              <w:t>John N. Spencer, Jr. (10)</w:t>
            </w:r>
          </w:p>
        </w:tc>
        <w:tc>
          <w:tcPr>
            <w:tcW w:w="119" w:type="pct"/>
            <w:shd w:val="clear" w:color="auto" w:fill="auto"/>
            <w:tcMar>
              <w:top w:w="0" w:type="dxa"/>
              <w:left w:w="0" w:type="dxa"/>
              <w:bottom w:w="0" w:type="dxa"/>
              <w:right w:w="0" w:type="dxa"/>
            </w:tcMar>
            <w:vAlign w:val="bottom"/>
            <w:hideMark/>
          </w:tcPr>
          <w:p w14:paraId="31A9B550"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569D7968"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72475F39"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50,381</w:t>
            </w:r>
          </w:p>
        </w:tc>
        <w:tc>
          <w:tcPr>
            <w:tcW w:w="119" w:type="pct"/>
            <w:shd w:val="clear" w:color="auto" w:fill="auto"/>
            <w:noWrap/>
            <w:tcMar>
              <w:top w:w="0" w:type="dxa"/>
              <w:left w:w="0" w:type="dxa"/>
              <w:bottom w:w="0" w:type="dxa"/>
              <w:right w:w="0" w:type="dxa"/>
            </w:tcMar>
            <w:vAlign w:val="bottom"/>
            <w:hideMark/>
          </w:tcPr>
          <w:p w14:paraId="371D02BF" w14:textId="77777777" w:rsidR="005404CB" w:rsidRPr="005404CB" w:rsidRDefault="005404CB" w:rsidP="005404CB">
            <w:pPr>
              <w:autoSpaceDE w:val="0"/>
              <w:autoSpaceDN w:val="0"/>
              <w:adjustRightInd w:val="0"/>
              <w:jc w:val="right"/>
              <w:rPr>
                <w:color w:val="000000"/>
                <w:sz w:val="20"/>
                <w:szCs w:val="20"/>
              </w:rPr>
            </w:pPr>
          </w:p>
        </w:tc>
        <w:tc>
          <w:tcPr>
            <w:tcW w:w="119" w:type="pct"/>
            <w:shd w:val="clear" w:color="auto" w:fill="auto"/>
            <w:noWrap/>
            <w:tcMar>
              <w:top w:w="0" w:type="dxa"/>
              <w:left w:w="0" w:type="dxa"/>
              <w:bottom w:w="0" w:type="dxa"/>
              <w:right w:w="0" w:type="dxa"/>
            </w:tcMar>
            <w:vAlign w:val="bottom"/>
            <w:hideMark/>
          </w:tcPr>
          <w:p w14:paraId="6EFF28BC"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noWrap/>
            <w:tcMar>
              <w:top w:w="0" w:type="dxa"/>
              <w:left w:w="0" w:type="dxa"/>
              <w:bottom w:w="0" w:type="dxa"/>
              <w:right w:w="0" w:type="dxa"/>
            </w:tcMar>
            <w:vAlign w:val="bottom"/>
            <w:hideMark/>
          </w:tcPr>
          <w:p w14:paraId="4DCA9BD9" w14:textId="77777777" w:rsidR="005404CB" w:rsidRPr="005404CB" w:rsidRDefault="005404CB" w:rsidP="005404CB">
            <w:pPr>
              <w:autoSpaceDE w:val="0"/>
              <w:autoSpaceDN w:val="0"/>
              <w:adjustRightInd w:val="0"/>
              <w:jc w:val="right"/>
              <w:rPr>
                <w:color w:val="000000"/>
                <w:sz w:val="20"/>
                <w:szCs w:val="20"/>
              </w:rPr>
            </w:pPr>
            <w:r w:rsidRPr="005404CB">
              <w:rPr>
                <w:color w:val="000000"/>
                <w:sz w:val="20"/>
                <w:szCs w:val="20"/>
              </w:rPr>
              <w:t>*</w:t>
            </w:r>
          </w:p>
        </w:tc>
        <w:tc>
          <w:tcPr>
            <w:tcW w:w="119" w:type="pct"/>
            <w:shd w:val="clear" w:color="auto" w:fill="auto"/>
            <w:noWrap/>
            <w:tcMar>
              <w:top w:w="0" w:type="dxa"/>
              <w:left w:w="0" w:type="dxa"/>
              <w:bottom w:w="0" w:type="dxa"/>
              <w:right w:w="0" w:type="dxa"/>
            </w:tcMar>
            <w:vAlign w:val="bottom"/>
            <w:hideMark/>
          </w:tcPr>
          <w:p w14:paraId="70C9AEDE" w14:textId="77777777" w:rsidR="005404CB" w:rsidRPr="005404CB" w:rsidRDefault="005404CB" w:rsidP="005404CB">
            <w:pPr>
              <w:autoSpaceDE w:val="0"/>
              <w:autoSpaceDN w:val="0"/>
              <w:adjustRightInd w:val="0"/>
              <w:rPr>
                <w:color w:val="000000"/>
                <w:sz w:val="20"/>
                <w:szCs w:val="20"/>
              </w:rPr>
            </w:pPr>
          </w:p>
        </w:tc>
      </w:tr>
      <w:tr w:rsidR="005404CB" w:rsidRPr="005404CB" w14:paraId="454805F3" w14:textId="77777777" w:rsidTr="004F5282">
        <w:trPr>
          <w:cantSplit/>
          <w:tblCellSpacing w:w="0" w:type="dxa"/>
        </w:trPr>
        <w:tc>
          <w:tcPr>
            <w:tcW w:w="3136" w:type="pct"/>
            <w:shd w:val="clear" w:color="auto" w:fill="auto"/>
            <w:tcMar>
              <w:top w:w="0" w:type="dxa"/>
              <w:left w:w="0" w:type="dxa"/>
              <w:bottom w:w="0" w:type="dxa"/>
              <w:right w:w="0" w:type="dxa"/>
            </w:tcMar>
            <w:vAlign w:val="bottom"/>
            <w:hideMark/>
          </w:tcPr>
          <w:p w14:paraId="1D208353"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All executive officers and directors as a group (8 persons) (11)</w:t>
            </w:r>
          </w:p>
        </w:tc>
        <w:tc>
          <w:tcPr>
            <w:tcW w:w="119" w:type="pct"/>
            <w:shd w:val="clear" w:color="auto" w:fill="auto"/>
            <w:tcMar>
              <w:top w:w="0" w:type="dxa"/>
              <w:left w:w="0" w:type="dxa"/>
              <w:bottom w:w="0" w:type="dxa"/>
              <w:right w:w="0" w:type="dxa"/>
            </w:tcMar>
            <w:vAlign w:val="bottom"/>
            <w:hideMark/>
          </w:tcPr>
          <w:p w14:paraId="035AC2F3"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tcMar>
              <w:top w:w="0" w:type="dxa"/>
              <w:left w:w="0" w:type="dxa"/>
              <w:bottom w:w="0" w:type="dxa"/>
              <w:right w:w="0" w:type="dxa"/>
            </w:tcMar>
            <w:vAlign w:val="bottom"/>
            <w:hideMark/>
          </w:tcPr>
          <w:p w14:paraId="4BF595CE"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tcMar>
              <w:top w:w="0" w:type="dxa"/>
              <w:left w:w="0" w:type="dxa"/>
              <w:bottom w:w="0" w:type="dxa"/>
              <w:right w:w="0" w:type="dxa"/>
            </w:tcMar>
            <w:vAlign w:val="bottom"/>
            <w:hideMark/>
          </w:tcPr>
          <w:p w14:paraId="2780DC26" w14:textId="77777777" w:rsidR="005404CB" w:rsidRPr="005404CB" w:rsidRDefault="005404CB" w:rsidP="005404CB">
            <w:pPr>
              <w:autoSpaceDE w:val="0"/>
              <w:autoSpaceDN w:val="0"/>
              <w:adjustRightInd w:val="0"/>
              <w:rPr>
                <w:color w:val="000000"/>
                <w:sz w:val="20"/>
                <w:szCs w:val="20"/>
              </w:rPr>
            </w:pPr>
            <w:r w:rsidRPr="005404CB">
              <w:rPr>
                <w:color w:val="000000"/>
                <w:sz w:val="20"/>
                <w:szCs w:val="20"/>
              </w:rPr>
              <w:t>684,591</w:t>
            </w:r>
          </w:p>
        </w:tc>
        <w:tc>
          <w:tcPr>
            <w:tcW w:w="119" w:type="pct"/>
            <w:shd w:val="clear" w:color="auto" w:fill="auto"/>
            <w:noWrap/>
            <w:tcMar>
              <w:top w:w="0" w:type="dxa"/>
              <w:left w:w="0" w:type="dxa"/>
              <w:bottom w:w="0" w:type="dxa"/>
              <w:right w:w="0" w:type="dxa"/>
            </w:tcMar>
            <w:vAlign w:val="bottom"/>
            <w:hideMark/>
          </w:tcPr>
          <w:p w14:paraId="158A6F41" w14:textId="77777777" w:rsidR="005404CB" w:rsidRPr="005404CB" w:rsidRDefault="005404CB" w:rsidP="005404CB">
            <w:pPr>
              <w:autoSpaceDE w:val="0"/>
              <w:autoSpaceDN w:val="0"/>
              <w:adjustRightInd w:val="0"/>
              <w:rPr>
                <w:color w:val="000000"/>
                <w:sz w:val="20"/>
                <w:szCs w:val="20"/>
              </w:rPr>
            </w:pPr>
          </w:p>
        </w:tc>
        <w:tc>
          <w:tcPr>
            <w:tcW w:w="119" w:type="pct"/>
            <w:shd w:val="clear" w:color="auto" w:fill="auto"/>
            <w:noWrap/>
            <w:tcMar>
              <w:top w:w="0" w:type="dxa"/>
              <w:left w:w="0" w:type="dxa"/>
              <w:bottom w:w="0" w:type="dxa"/>
              <w:right w:w="0" w:type="dxa"/>
            </w:tcMar>
            <w:vAlign w:val="bottom"/>
            <w:hideMark/>
          </w:tcPr>
          <w:p w14:paraId="7ADAD518" w14:textId="77777777" w:rsidR="005404CB" w:rsidRPr="005404CB" w:rsidRDefault="005404CB" w:rsidP="005404CB">
            <w:pPr>
              <w:autoSpaceDE w:val="0"/>
              <w:autoSpaceDN w:val="0"/>
              <w:adjustRightInd w:val="0"/>
              <w:rPr>
                <w:color w:val="000000"/>
                <w:sz w:val="20"/>
                <w:szCs w:val="20"/>
              </w:rPr>
            </w:pPr>
          </w:p>
        </w:tc>
        <w:tc>
          <w:tcPr>
            <w:tcW w:w="636" w:type="pct"/>
            <w:shd w:val="clear" w:color="auto" w:fill="auto"/>
            <w:noWrap/>
            <w:tcMar>
              <w:top w:w="0" w:type="dxa"/>
              <w:left w:w="0" w:type="dxa"/>
              <w:bottom w:w="0" w:type="dxa"/>
              <w:right w:w="0" w:type="dxa"/>
            </w:tcMar>
            <w:vAlign w:val="bottom"/>
            <w:hideMark/>
          </w:tcPr>
          <w:p w14:paraId="382DFAAC" w14:textId="424F8AE9" w:rsidR="005404CB" w:rsidRPr="005404CB" w:rsidRDefault="00FD5114" w:rsidP="005404CB">
            <w:pPr>
              <w:autoSpaceDE w:val="0"/>
              <w:autoSpaceDN w:val="0"/>
              <w:adjustRightInd w:val="0"/>
              <w:jc w:val="right"/>
              <w:rPr>
                <w:color w:val="000000"/>
                <w:sz w:val="20"/>
                <w:szCs w:val="20"/>
              </w:rPr>
            </w:pPr>
            <w:r>
              <w:rPr>
                <w:color w:val="000000"/>
                <w:sz w:val="20"/>
                <w:szCs w:val="20"/>
              </w:rPr>
              <w:t>5.3</w:t>
            </w:r>
            <w:r w:rsidR="005404CB" w:rsidRPr="005404CB">
              <w:rPr>
                <w:color w:val="000000"/>
                <w:sz w:val="20"/>
                <w:szCs w:val="20"/>
              </w:rPr>
              <w:t>%</w:t>
            </w:r>
          </w:p>
        </w:tc>
        <w:tc>
          <w:tcPr>
            <w:tcW w:w="119" w:type="pct"/>
            <w:shd w:val="clear" w:color="auto" w:fill="auto"/>
            <w:noWrap/>
            <w:tcMar>
              <w:top w:w="0" w:type="dxa"/>
              <w:left w:w="0" w:type="dxa"/>
              <w:bottom w:w="0" w:type="dxa"/>
              <w:right w:w="0" w:type="dxa"/>
            </w:tcMar>
            <w:vAlign w:val="bottom"/>
            <w:hideMark/>
          </w:tcPr>
          <w:p w14:paraId="56F66330" w14:textId="77777777" w:rsidR="005404CB" w:rsidRPr="005404CB" w:rsidRDefault="005404CB" w:rsidP="005404CB">
            <w:pPr>
              <w:autoSpaceDE w:val="0"/>
              <w:autoSpaceDN w:val="0"/>
              <w:adjustRightInd w:val="0"/>
              <w:rPr>
                <w:color w:val="000000"/>
                <w:sz w:val="20"/>
                <w:szCs w:val="20"/>
              </w:rPr>
            </w:pPr>
          </w:p>
        </w:tc>
      </w:tr>
    </w:tbl>
    <w:p w14:paraId="77190920" w14:textId="77777777" w:rsidR="005404CB" w:rsidRPr="005404CB" w:rsidRDefault="005404CB" w:rsidP="005404CB">
      <w:pPr>
        <w:autoSpaceDE w:val="0"/>
        <w:autoSpaceDN w:val="0"/>
        <w:adjustRightInd w:val="0"/>
        <w:ind w:left="144" w:right="144"/>
        <w:jc w:val="both"/>
        <w:rPr>
          <w:sz w:val="20"/>
          <w:szCs w:val="20"/>
        </w:rPr>
      </w:pPr>
      <w:bookmarkStart w:id="51" w:name="_Hlk98925261"/>
      <w:r w:rsidRPr="005404CB">
        <w:rPr>
          <w:sz w:val="20"/>
          <w:szCs w:val="20"/>
        </w:rPr>
        <w:t>______________________</w:t>
      </w:r>
    </w:p>
    <w:bookmarkEnd w:id="51"/>
    <w:p w14:paraId="16800644" w14:textId="77777777" w:rsidR="005404CB" w:rsidRPr="005404CB" w:rsidRDefault="005404CB" w:rsidP="005404CB">
      <w:pPr>
        <w:autoSpaceDE w:val="0"/>
        <w:autoSpaceDN w:val="0"/>
        <w:adjustRightInd w:val="0"/>
        <w:ind w:left="144" w:right="144"/>
        <w:rPr>
          <w:sz w:val="20"/>
          <w:szCs w:val="20"/>
        </w:rPr>
      </w:pPr>
      <w:r w:rsidRPr="005404CB">
        <w:rPr>
          <w:b/>
          <w:bCs/>
          <w:sz w:val="20"/>
          <w:szCs w:val="20"/>
        </w:rPr>
        <w:t xml:space="preserve">* </w:t>
      </w:r>
      <w:r w:rsidRPr="005404CB">
        <w:rPr>
          <w:sz w:val="20"/>
          <w:szCs w:val="20"/>
        </w:rPr>
        <w:t>Less than 1%</w:t>
      </w:r>
    </w:p>
    <w:tbl>
      <w:tblPr>
        <w:tblW w:w="5000" w:type="pct"/>
        <w:tblCellSpacing w:w="0" w:type="dxa"/>
        <w:tblInd w:w="144" w:type="dxa"/>
        <w:tblCellMar>
          <w:left w:w="0" w:type="dxa"/>
          <w:right w:w="0" w:type="dxa"/>
        </w:tblCellMar>
        <w:tblLook w:val="04A0" w:firstRow="1" w:lastRow="0" w:firstColumn="1" w:lastColumn="0" w:noHBand="0" w:noVBand="1"/>
      </w:tblPr>
      <w:tblGrid>
        <w:gridCol w:w="360"/>
        <w:gridCol w:w="9000"/>
      </w:tblGrid>
      <w:tr w:rsidR="005404CB" w:rsidRPr="005404CB" w14:paraId="2E13D6EF" w14:textId="77777777" w:rsidTr="004F5282">
        <w:trPr>
          <w:cantSplit/>
          <w:tblCellSpacing w:w="0" w:type="dxa"/>
        </w:trPr>
        <w:tc>
          <w:tcPr>
            <w:tcW w:w="360" w:type="dxa"/>
            <w:tcMar>
              <w:top w:w="0" w:type="dxa"/>
              <w:left w:w="0" w:type="dxa"/>
              <w:bottom w:w="0" w:type="dxa"/>
              <w:right w:w="0" w:type="dxa"/>
            </w:tcMar>
            <w:hideMark/>
          </w:tcPr>
          <w:p w14:paraId="487D1912"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(1)</w:t>
            </w:r>
          </w:p>
        </w:tc>
        <w:tc>
          <w:tcPr>
            <w:tcW w:w="0" w:type="auto"/>
            <w:tcMar>
              <w:top w:w="0" w:type="dxa"/>
              <w:left w:w="0" w:type="dxa"/>
              <w:bottom w:w="0" w:type="dxa"/>
              <w:right w:w="0" w:type="dxa"/>
            </w:tcMar>
            <w:hideMark/>
          </w:tcPr>
          <w:p w14:paraId="0237B47D" w14:textId="12A6316F" w:rsidR="005404CB" w:rsidRPr="005404CB" w:rsidRDefault="005404CB" w:rsidP="005404CB">
            <w:pPr>
              <w:autoSpaceDE w:val="0"/>
              <w:autoSpaceDN w:val="0"/>
              <w:adjustRightInd w:val="0"/>
              <w:rPr>
                <w:color w:val="000000"/>
                <w:sz w:val="18"/>
                <w:szCs w:val="18"/>
              </w:rPr>
            </w:pPr>
            <w:r w:rsidRPr="005404CB">
              <w:rPr>
                <w:color w:val="000000"/>
                <w:sz w:val="18"/>
                <w:szCs w:val="18"/>
              </w:rPr>
              <w:t xml:space="preserve">This table is based upon information supplied by officers and directors, and with respect to principal stockholders, any Schedules 13D and 13G filed with the SEC. Beneficial ownership is determined in accordance with the rules of the SEC. Applicable percentage ownership is based on </w:t>
            </w:r>
            <w:r w:rsidR="0041130F">
              <w:rPr>
                <w:color w:val="000000"/>
                <w:sz w:val="18"/>
                <w:szCs w:val="18"/>
              </w:rPr>
              <w:t>12,547,829</w:t>
            </w:r>
            <w:r w:rsidRPr="005404CB">
              <w:rPr>
                <w:color w:val="000000"/>
                <w:sz w:val="18"/>
                <w:szCs w:val="18"/>
              </w:rPr>
              <w:t xml:space="preserve"> shares of Common Stock outstanding as of </w:t>
            </w:r>
            <w:r w:rsidR="0041130F">
              <w:rPr>
                <w:color w:val="000000"/>
                <w:sz w:val="18"/>
                <w:szCs w:val="18"/>
              </w:rPr>
              <w:t xml:space="preserve">June </w:t>
            </w:r>
            <w:r w:rsidR="0039388C">
              <w:rPr>
                <w:color w:val="000000"/>
                <w:sz w:val="18"/>
                <w:szCs w:val="18"/>
              </w:rPr>
              <w:t>10</w:t>
            </w:r>
            <w:r w:rsidRPr="005404CB">
              <w:rPr>
                <w:color w:val="000000"/>
                <w:sz w:val="18"/>
                <w:szCs w:val="18"/>
              </w:rPr>
              <w:t xml:space="preserve">, 2022. In computing the number of shares beneficially owned by a person and the percentage ownership of that person, shares of Common Stock subject to options or warrants currently exercisable, or exercisable within 60 days after </w:t>
            </w:r>
            <w:r w:rsidR="0041130F">
              <w:rPr>
                <w:color w:val="000000"/>
                <w:sz w:val="18"/>
                <w:szCs w:val="18"/>
              </w:rPr>
              <w:t>June</w:t>
            </w:r>
            <w:r w:rsidRPr="005404CB">
              <w:rPr>
                <w:color w:val="000000"/>
                <w:sz w:val="18"/>
                <w:szCs w:val="18"/>
              </w:rPr>
              <w:t xml:space="preserve"> </w:t>
            </w:r>
            <w:r w:rsidR="0039388C">
              <w:rPr>
                <w:color w:val="000000"/>
                <w:sz w:val="18"/>
                <w:szCs w:val="18"/>
              </w:rPr>
              <w:t>10</w:t>
            </w:r>
            <w:r w:rsidRPr="005404CB">
              <w:rPr>
                <w:color w:val="000000"/>
                <w:sz w:val="18"/>
                <w:szCs w:val="18"/>
              </w:rPr>
              <w:t>, 2022 (subject to specified limits), at any time at the option of the holder, are deemed outstanding.</w:t>
            </w:r>
          </w:p>
        </w:tc>
      </w:tr>
      <w:tr w:rsidR="005404CB" w:rsidRPr="005404CB" w14:paraId="63F61547" w14:textId="77777777" w:rsidTr="004F5282">
        <w:trPr>
          <w:cantSplit/>
          <w:tblCellSpacing w:w="0" w:type="dxa"/>
        </w:trPr>
        <w:tc>
          <w:tcPr>
            <w:tcW w:w="360" w:type="dxa"/>
            <w:tcMar>
              <w:top w:w="0" w:type="dxa"/>
              <w:left w:w="0" w:type="dxa"/>
              <w:bottom w:w="0" w:type="dxa"/>
              <w:right w:w="0" w:type="dxa"/>
            </w:tcMar>
          </w:tcPr>
          <w:p w14:paraId="4A295928"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(2)</w:t>
            </w:r>
          </w:p>
        </w:tc>
        <w:tc>
          <w:tcPr>
            <w:tcW w:w="0" w:type="auto"/>
            <w:tcMar>
              <w:top w:w="0" w:type="dxa"/>
              <w:left w:w="0" w:type="dxa"/>
              <w:bottom w:w="0" w:type="dxa"/>
              <w:right w:w="0" w:type="dxa"/>
            </w:tcMar>
          </w:tcPr>
          <w:p w14:paraId="3513924F" w14:textId="77777777" w:rsidR="00FD5C46" w:rsidRDefault="005404CB" w:rsidP="005404CB">
            <w:pPr>
              <w:autoSpaceDE w:val="0"/>
              <w:autoSpaceDN w:val="0"/>
              <w:adjustRightInd w:val="0"/>
              <w:rPr>
                <w:color w:val="000000"/>
                <w:sz w:val="18"/>
                <w:szCs w:val="18"/>
              </w:rPr>
            </w:pPr>
            <w:r w:rsidRPr="005404CB">
              <w:rPr>
                <w:color w:val="000000"/>
                <w:sz w:val="18"/>
                <w:szCs w:val="18"/>
              </w:rPr>
              <w:t xml:space="preserve">The shares are directly held by Armistice may be deemed to be indirectly beneficially owned by: (i) Armistice Capital, LLC (“Armistice Capital”), as the investment manager of Armistice; and (ii) Steven Boyd, as the Managing Member of Armistice Capital. Armistice Capital and Steven Boyd disclaim beneficial ownership of the securities except to the extent of their respective pecuniary interests therein. </w:t>
            </w:r>
          </w:p>
          <w:p w14:paraId="2F4E2534" w14:textId="7F2C1A19" w:rsidR="005404CB" w:rsidRPr="005404CB" w:rsidRDefault="005404CB" w:rsidP="00B73392">
            <w:pPr>
              <w:autoSpaceDE w:val="0"/>
              <w:autoSpaceDN w:val="0"/>
              <w:adjustRightInd w:val="0"/>
              <w:rPr>
                <w:color w:val="000000"/>
                <w:sz w:val="18"/>
                <w:szCs w:val="18"/>
              </w:rPr>
            </w:pPr>
            <w:r w:rsidRPr="005404CB">
              <w:rPr>
                <w:color w:val="000000"/>
                <w:sz w:val="18"/>
                <w:szCs w:val="18"/>
              </w:rPr>
              <w:t xml:space="preserve">The number of shares beneficially owned includes </w:t>
            </w:r>
            <w:r w:rsidR="0041130F">
              <w:rPr>
                <w:color w:val="000000"/>
                <w:sz w:val="18"/>
                <w:szCs w:val="18"/>
              </w:rPr>
              <w:t xml:space="preserve">(i) 9,090,910 shares of common stock issuable upon the exercise of the Pre-Funded Warrants, (ii) 12,121,214 shares of common stock issuable upon exercise of the Preferred Investment Options, </w:t>
            </w:r>
            <w:r w:rsidR="00006444">
              <w:rPr>
                <w:color w:val="000000"/>
                <w:sz w:val="18"/>
                <w:szCs w:val="18"/>
              </w:rPr>
              <w:t xml:space="preserve">and </w:t>
            </w:r>
            <w:r w:rsidR="0041130F">
              <w:rPr>
                <w:color w:val="000000"/>
                <w:sz w:val="18"/>
                <w:szCs w:val="18"/>
              </w:rPr>
              <w:t>(iii)</w:t>
            </w:r>
            <w:r w:rsidR="00006444">
              <w:rPr>
                <w:color w:val="000000"/>
                <w:sz w:val="18"/>
                <w:szCs w:val="18"/>
              </w:rPr>
              <w:t xml:space="preserve"> </w:t>
            </w:r>
            <w:r w:rsidRPr="005404CB">
              <w:rPr>
                <w:color w:val="000000"/>
                <w:sz w:val="18"/>
                <w:szCs w:val="18"/>
              </w:rPr>
              <w:t xml:space="preserve">3,067,484 shares of common stock issuable upon the exercise of common warrants, </w:t>
            </w:r>
            <w:r w:rsidR="00006444">
              <w:rPr>
                <w:color w:val="000000"/>
                <w:sz w:val="18"/>
                <w:szCs w:val="18"/>
              </w:rPr>
              <w:t xml:space="preserve">each of </w:t>
            </w:r>
            <w:r w:rsidRPr="005404CB">
              <w:rPr>
                <w:color w:val="000000"/>
                <w:sz w:val="18"/>
                <w:szCs w:val="18"/>
              </w:rPr>
              <w:t>which are subject to beneficial ownership limitations that prohibit Armistice from exercising any portion of a warrant</w:t>
            </w:r>
            <w:r w:rsidR="00006444">
              <w:rPr>
                <w:color w:val="000000"/>
                <w:sz w:val="18"/>
                <w:szCs w:val="18"/>
              </w:rPr>
              <w:t xml:space="preserve"> and/or preferred investment option</w:t>
            </w:r>
            <w:r w:rsidRPr="005404CB">
              <w:rPr>
                <w:color w:val="000000"/>
                <w:sz w:val="18"/>
                <w:szCs w:val="18"/>
              </w:rPr>
              <w:t xml:space="preserve"> </w:t>
            </w:r>
            <w:r w:rsidR="00FD5C46">
              <w:rPr>
                <w:color w:val="000000"/>
                <w:sz w:val="18"/>
                <w:szCs w:val="18"/>
              </w:rPr>
              <w:t xml:space="preserve">that </w:t>
            </w:r>
            <w:r w:rsidRPr="005404CB">
              <w:rPr>
                <w:color w:val="000000"/>
                <w:sz w:val="18"/>
                <w:szCs w:val="18"/>
              </w:rPr>
              <w:t>would result in Armistice owning a percentage of our outstanding common stock exceeding the ownership limitation</w:t>
            </w:r>
            <w:r w:rsidR="00006444">
              <w:rPr>
                <w:color w:val="000000"/>
                <w:sz w:val="18"/>
                <w:szCs w:val="18"/>
              </w:rPr>
              <w:t xml:space="preserve">s </w:t>
            </w:r>
            <w:r w:rsidR="00FD5C46">
              <w:rPr>
                <w:color w:val="000000"/>
                <w:sz w:val="18"/>
                <w:szCs w:val="18"/>
              </w:rPr>
              <w:t xml:space="preserve">contained within each instrument </w:t>
            </w:r>
            <w:r w:rsidR="00006444">
              <w:rPr>
                <w:color w:val="000000"/>
                <w:sz w:val="18"/>
                <w:szCs w:val="18"/>
              </w:rPr>
              <w:t>(</w:t>
            </w:r>
            <w:r w:rsidR="000A4834">
              <w:rPr>
                <w:color w:val="000000"/>
                <w:sz w:val="18"/>
                <w:szCs w:val="18"/>
              </w:rPr>
              <w:t>9</w:t>
            </w:r>
            <w:r w:rsidR="00006444">
              <w:rPr>
                <w:color w:val="000000"/>
                <w:sz w:val="18"/>
                <w:szCs w:val="18"/>
              </w:rPr>
              <w:t>.99%</w:t>
            </w:r>
            <w:r w:rsidR="00FD5C46">
              <w:rPr>
                <w:color w:val="000000"/>
                <w:sz w:val="18"/>
                <w:szCs w:val="18"/>
              </w:rPr>
              <w:t>, 4.99% and</w:t>
            </w:r>
            <w:r w:rsidR="00006444">
              <w:rPr>
                <w:color w:val="000000"/>
                <w:sz w:val="18"/>
                <w:szCs w:val="18"/>
              </w:rPr>
              <w:t xml:space="preserve"> </w:t>
            </w:r>
            <w:r w:rsidR="000A4834">
              <w:rPr>
                <w:color w:val="000000"/>
                <w:sz w:val="18"/>
                <w:szCs w:val="18"/>
              </w:rPr>
              <w:t>4</w:t>
            </w:r>
            <w:r w:rsidR="00006444">
              <w:rPr>
                <w:color w:val="000000"/>
                <w:sz w:val="18"/>
                <w:szCs w:val="18"/>
              </w:rPr>
              <w:t>.99%</w:t>
            </w:r>
            <w:r w:rsidR="00FD5C46">
              <w:rPr>
                <w:color w:val="000000"/>
                <w:sz w:val="18"/>
                <w:szCs w:val="18"/>
              </w:rPr>
              <w:t>, respectively</w:t>
            </w:r>
            <w:r w:rsidR="00006444">
              <w:rPr>
                <w:color w:val="000000"/>
                <w:sz w:val="18"/>
                <w:szCs w:val="18"/>
              </w:rPr>
              <w:t xml:space="preserve">) </w:t>
            </w:r>
            <w:r w:rsidRPr="005404CB">
              <w:rPr>
                <w:color w:val="000000"/>
                <w:sz w:val="18"/>
                <w:szCs w:val="18"/>
              </w:rPr>
              <w:t>after giving effect to the issuance of common stock in connection with Armistice’s exercise. The percentage of shares owned assumes the exercise of all warrants held by Armistice, up to the beneficial ownership limitations described above. The address of Armistice Capital Master Fund Ltd. is c/o Armistice Capital, LLC, 510 Madison Avenue, 7th Floor, New York, NY 10022.</w:t>
            </w:r>
          </w:p>
        </w:tc>
      </w:tr>
      <w:tr w:rsidR="005404CB" w:rsidRPr="005404CB" w14:paraId="244CDF1D" w14:textId="77777777" w:rsidTr="004F5282">
        <w:trPr>
          <w:cantSplit/>
          <w:tblCellSpacing w:w="0" w:type="dxa"/>
        </w:trPr>
        <w:tc>
          <w:tcPr>
            <w:tcW w:w="360" w:type="dxa"/>
            <w:tcMar>
              <w:top w:w="0" w:type="dxa"/>
              <w:left w:w="0" w:type="dxa"/>
              <w:bottom w:w="0" w:type="dxa"/>
              <w:right w:w="0" w:type="dxa"/>
            </w:tcMar>
            <w:hideMark/>
          </w:tcPr>
          <w:p w14:paraId="729B3961"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(3)</w:t>
            </w:r>
          </w:p>
        </w:tc>
        <w:tc>
          <w:tcPr>
            <w:tcW w:w="0" w:type="auto"/>
            <w:tcMar>
              <w:top w:w="0" w:type="dxa"/>
              <w:left w:w="0" w:type="dxa"/>
              <w:bottom w:w="0" w:type="dxa"/>
              <w:right w:w="0" w:type="dxa"/>
            </w:tcMar>
            <w:hideMark/>
          </w:tcPr>
          <w:p w14:paraId="47F5305B" w14:textId="77777777" w:rsidR="005404CB" w:rsidRPr="005404CB" w:rsidRDefault="005404CB" w:rsidP="005404CB">
            <w:pPr>
              <w:autoSpaceDE w:val="0"/>
              <w:autoSpaceDN w:val="0"/>
              <w:adjustRightInd w:val="0"/>
              <w:rPr>
                <w:color w:val="000000"/>
                <w:sz w:val="18"/>
                <w:szCs w:val="18"/>
              </w:rPr>
            </w:pPr>
            <w:r w:rsidRPr="005404CB">
              <w:rPr>
                <w:color w:val="000000"/>
                <w:sz w:val="18"/>
                <w:szCs w:val="18"/>
              </w:rPr>
              <w:t xml:space="preserve">Except as otherwise indicated, the business address of each director and executive officer listed is c/o </w:t>
            </w:r>
            <w:proofErr w:type="spellStart"/>
            <w:r w:rsidRPr="005404CB">
              <w:rPr>
                <w:color w:val="000000"/>
                <w:sz w:val="18"/>
                <w:szCs w:val="18"/>
              </w:rPr>
              <w:t>GeoVax</w:t>
            </w:r>
            <w:proofErr w:type="spellEnd"/>
            <w:r w:rsidRPr="005404CB">
              <w:rPr>
                <w:color w:val="000000"/>
                <w:sz w:val="18"/>
                <w:szCs w:val="18"/>
              </w:rPr>
              <w:t xml:space="preserve"> Labs, Inc., 1900 Lake Park Drive, Suite 380, Smyrna, Georgia 30080.</w:t>
            </w:r>
          </w:p>
        </w:tc>
      </w:tr>
      <w:tr w:rsidR="005404CB" w:rsidRPr="005404CB" w14:paraId="4F79E6C8" w14:textId="77777777" w:rsidTr="004F5282">
        <w:trPr>
          <w:cantSplit/>
          <w:tblCellSpacing w:w="0" w:type="dxa"/>
        </w:trPr>
        <w:tc>
          <w:tcPr>
            <w:tcW w:w="360" w:type="dxa"/>
            <w:tcMar>
              <w:top w:w="0" w:type="dxa"/>
              <w:left w:w="0" w:type="dxa"/>
              <w:bottom w:w="0" w:type="dxa"/>
              <w:right w:w="0" w:type="dxa"/>
            </w:tcMar>
            <w:hideMark/>
          </w:tcPr>
          <w:p w14:paraId="34181D06"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(4)</w:t>
            </w:r>
          </w:p>
        </w:tc>
        <w:tc>
          <w:tcPr>
            <w:tcW w:w="0" w:type="auto"/>
            <w:tcMar>
              <w:top w:w="0" w:type="dxa"/>
              <w:left w:w="0" w:type="dxa"/>
              <w:bottom w:w="0" w:type="dxa"/>
              <w:right w:w="0" w:type="dxa"/>
            </w:tcMar>
            <w:hideMark/>
          </w:tcPr>
          <w:p w14:paraId="1C1E3F95" w14:textId="77777777" w:rsidR="005404CB" w:rsidRPr="005404CB" w:rsidRDefault="005404CB" w:rsidP="005404CB">
            <w:pPr>
              <w:autoSpaceDE w:val="0"/>
              <w:autoSpaceDN w:val="0"/>
              <w:adjustRightInd w:val="0"/>
              <w:rPr>
                <w:color w:val="000000"/>
                <w:sz w:val="18"/>
                <w:szCs w:val="18"/>
              </w:rPr>
            </w:pPr>
            <w:r w:rsidRPr="005404CB">
              <w:rPr>
                <w:color w:val="000000"/>
                <w:sz w:val="18"/>
                <w:szCs w:val="18"/>
              </w:rPr>
              <w:t>Includes 16,613 shares of Common Stock and stock options/warrants to purchase 24,946 shares of common stock exercisable within 60 days.</w:t>
            </w:r>
          </w:p>
        </w:tc>
      </w:tr>
      <w:tr w:rsidR="005404CB" w:rsidRPr="005404CB" w14:paraId="1C64EE4A" w14:textId="77777777" w:rsidTr="004F5282">
        <w:trPr>
          <w:cantSplit/>
          <w:tblCellSpacing w:w="0" w:type="dxa"/>
        </w:trPr>
        <w:tc>
          <w:tcPr>
            <w:tcW w:w="360" w:type="dxa"/>
            <w:tcMar>
              <w:top w:w="0" w:type="dxa"/>
              <w:left w:w="0" w:type="dxa"/>
              <w:bottom w:w="0" w:type="dxa"/>
              <w:right w:w="0" w:type="dxa"/>
            </w:tcMar>
            <w:hideMark/>
          </w:tcPr>
          <w:p w14:paraId="12977494"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(5)</w:t>
            </w:r>
          </w:p>
        </w:tc>
        <w:tc>
          <w:tcPr>
            <w:tcW w:w="0" w:type="auto"/>
            <w:tcMar>
              <w:top w:w="0" w:type="dxa"/>
              <w:left w:w="0" w:type="dxa"/>
              <w:bottom w:w="0" w:type="dxa"/>
              <w:right w:w="0" w:type="dxa"/>
            </w:tcMar>
            <w:hideMark/>
          </w:tcPr>
          <w:p w14:paraId="57601726" w14:textId="77777777" w:rsidR="005404CB" w:rsidRPr="005404CB" w:rsidRDefault="005404CB" w:rsidP="005404CB">
            <w:pPr>
              <w:autoSpaceDE w:val="0"/>
              <w:autoSpaceDN w:val="0"/>
              <w:adjustRightInd w:val="0"/>
              <w:rPr>
                <w:color w:val="000000"/>
                <w:sz w:val="18"/>
                <w:szCs w:val="18"/>
              </w:rPr>
            </w:pPr>
            <w:r w:rsidRPr="005404CB">
              <w:rPr>
                <w:color w:val="000000"/>
                <w:sz w:val="18"/>
                <w:szCs w:val="18"/>
              </w:rPr>
              <w:t>Includes 81,870 shares of Common Stock and stock options/warrants to purchase 172,870 shares of common stock exercisable within 60 days.</w:t>
            </w:r>
          </w:p>
        </w:tc>
      </w:tr>
      <w:tr w:rsidR="005404CB" w:rsidRPr="005404CB" w14:paraId="5EBD9981" w14:textId="77777777" w:rsidTr="004F5282">
        <w:trPr>
          <w:cantSplit/>
          <w:tblCellSpacing w:w="0" w:type="dxa"/>
        </w:trPr>
        <w:tc>
          <w:tcPr>
            <w:tcW w:w="360" w:type="dxa"/>
            <w:tcMar>
              <w:top w:w="0" w:type="dxa"/>
              <w:left w:w="0" w:type="dxa"/>
              <w:bottom w:w="0" w:type="dxa"/>
              <w:right w:w="0" w:type="dxa"/>
            </w:tcMar>
            <w:hideMark/>
          </w:tcPr>
          <w:p w14:paraId="67164C6C"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(6)</w:t>
            </w:r>
          </w:p>
        </w:tc>
        <w:tc>
          <w:tcPr>
            <w:tcW w:w="0" w:type="auto"/>
            <w:tcMar>
              <w:top w:w="0" w:type="dxa"/>
              <w:left w:w="0" w:type="dxa"/>
              <w:bottom w:w="0" w:type="dxa"/>
              <w:right w:w="0" w:type="dxa"/>
            </w:tcMar>
            <w:hideMark/>
          </w:tcPr>
          <w:p w14:paraId="5D7EA645" w14:textId="77777777" w:rsidR="005404CB" w:rsidRPr="005404CB" w:rsidRDefault="005404CB" w:rsidP="005404CB">
            <w:pPr>
              <w:autoSpaceDE w:val="0"/>
              <w:autoSpaceDN w:val="0"/>
              <w:adjustRightInd w:val="0"/>
              <w:rPr>
                <w:color w:val="000000"/>
                <w:sz w:val="18"/>
                <w:szCs w:val="18"/>
              </w:rPr>
            </w:pPr>
            <w:r w:rsidRPr="005404CB">
              <w:rPr>
                <w:color w:val="000000"/>
                <w:sz w:val="18"/>
                <w:szCs w:val="18"/>
              </w:rPr>
              <w:t>Includes 11,987 shares of Common Stock and stock options/warrants to purchase 20,320 shares of common stock exercisable within 60 days.</w:t>
            </w:r>
          </w:p>
        </w:tc>
      </w:tr>
      <w:tr w:rsidR="005404CB" w:rsidRPr="005404CB" w14:paraId="47112E1D" w14:textId="77777777" w:rsidTr="004F5282">
        <w:trPr>
          <w:cantSplit/>
          <w:tblCellSpacing w:w="0" w:type="dxa"/>
        </w:trPr>
        <w:tc>
          <w:tcPr>
            <w:tcW w:w="360" w:type="dxa"/>
            <w:tcMar>
              <w:top w:w="0" w:type="dxa"/>
              <w:left w:w="0" w:type="dxa"/>
              <w:bottom w:w="0" w:type="dxa"/>
              <w:right w:w="0" w:type="dxa"/>
            </w:tcMar>
            <w:hideMark/>
          </w:tcPr>
          <w:p w14:paraId="2AB6CE0B"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(7)</w:t>
            </w:r>
          </w:p>
        </w:tc>
        <w:tc>
          <w:tcPr>
            <w:tcW w:w="0" w:type="auto"/>
            <w:tcMar>
              <w:top w:w="0" w:type="dxa"/>
              <w:left w:w="0" w:type="dxa"/>
              <w:bottom w:w="0" w:type="dxa"/>
              <w:right w:w="0" w:type="dxa"/>
            </w:tcMar>
            <w:hideMark/>
          </w:tcPr>
          <w:p w14:paraId="420B5037" w14:textId="77777777" w:rsidR="005404CB" w:rsidRPr="005404CB" w:rsidRDefault="005404CB" w:rsidP="005404CB">
            <w:pPr>
              <w:autoSpaceDE w:val="0"/>
              <w:autoSpaceDN w:val="0"/>
              <w:adjustRightInd w:val="0"/>
              <w:rPr>
                <w:color w:val="000000"/>
                <w:sz w:val="18"/>
                <w:szCs w:val="18"/>
              </w:rPr>
            </w:pPr>
            <w:r w:rsidRPr="005404CB">
              <w:rPr>
                <w:color w:val="000000"/>
                <w:sz w:val="18"/>
                <w:szCs w:val="18"/>
              </w:rPr>
              <w:t>Includes 53,925 shares of Common Stock and stock options/warrants to purchase 62,258 shares of common stock exercisable within 60 days.</w:t>
            </w:r>
          </w:p>
        </w:tc>
      </w:tr>
      <w:tr w:rsidR="005404CB" w:rsidRPr="005404CB" w14:paraId="5FBF63CF" w14:textId="77777777" w:rsidTr="004F5282">
        <w:trPr>
          <w:cantSplit/>
          <w:tblCellSpacing w:w="0" w:type="dxa"/>
        </w:trPr>
        <w:tc>
          <w:tcPr>
            <w:tcW w:w="360" w:type="dxa"/>
            <w:tcMar>
              <w:top w:w="0" w:type="dxa"/>
              <w:left w:w="0" w:type="dxa"/>
              <w:bottom w:w="0" w:type="dxa"/>
              <w:right w:w="0" w:type="dxa"/>
            </w:tcMar>
            <w:hideMark/>
          </w:tcPr>
          <w:p w14:paraId="7922EA18"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(8)</w:t>
            </w:r>
          </w:p>
        </w:tc>
        <w:tc>
          <w:tcPr>
            <w:tcW w:w="0" w:type="auto"/>
            <w:tcMar>
              <w:top w:w="0" w:type="dxa"/>
              <w:left w:w="0" w:type="dxa"/>
              <w:bottom w:w="0" w:type="dxa"/>
              <w:right w:w="0" w:type="dxa"/>
            </w:tcMar>
            <w:hideMark/>
          </w:tcPr>
          <w:p w14:paraId="4B7B9992" w14:textId="77777777" w:rsidR="005404CB" w:rsidRPr="005404CB" w:rsidRDefault="005404CB" w:rsidP="005404CB">
            <w:pPr>
              <w:autoSpaceDE w:val="0"/>
              <w:autoSpaceDN w:val="0"/>
              <w:adjustRightInd w:val="0"/>
              <w:rPr>
                <w:color w:val="000000"/>
                <w:sz w:val="18"/>
                <w:szCs w:val="18"/>
              </w:rPr>
            </w:pPr>
            <w:r w:rsidRPr="005404CB">
              <w:rPr>
                <w:color w:val="000000"/>
                <w:sz w:val="18"/>
                <w:szCs w:val="18"/>
              </w:rPr>
              <w:t>Includes stock options to purchase 11,666 shares of common stock exercisable within 60 days.</w:t>
            </w:r>
          </w:p>
        </w:tc>
      </w:tr>
      <w:tr w:rsidR="005404CB" w:rsidRPr="005404CB" w14:paraId="7B0FE8ED" w14:textId="77777777" w:rsidTr="004F5282">
        <w:trPr>
          <w:cantSplit/>
          <w:tblCellSpacing w:w="0" w:type="dxa"/>
        </w:trPr>
        <w:tc>
          <w:tcPr>
            <w:tcW w:w="360" w:type="dxa"/>
            <w:tcMar>
              <w:top w:w="0" w:type="dxa"/>
              <w:left w:w="0" w:type="dxa"/>
              <w:bottom w:w="0" w:type="dxa"/>
              <w:right w:w="0" w:type="dxa"/>
            </w:tcMar>
            <w:hideMark/>
          </w:tcPr>
          <w:p w14:paraId="4C64DA02"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lastRenderedPageBreak/>
              <w:t>(9)</w:t>
            </w:r>
          </w:p>
        </w:tc>
        <w:tc>
          <w:tcPr>
            <w:tcW w:w="0" w:type="auto"/>
            <w:tcMar>
              <w:top w:w="0" w:type="dxa"/>
              <w:left w:w="0" w:type="dxa"/>
              <w:bottom w:w="0" w:type="dxa"/>
              <w:right w:w="0" w:type="dxa"/>
            </w:tcMar>
            <w:hideMark/>
          </w:tcPr>
          <w:p w14:paraId="540C6873" w14:textId="77777777" w:rsidR="005404CB" w:rsidRPr="005404CB" w:rsidRDefault="005404CB" w:rsidP="005404CB">
            <w:pPr>
              <w:autoSpaceDE w:val="0"/>
              <w:autoSpaceDN w:val="0"/>
              <w:adjustRightInd w:val="0"/>
              <w:rPr>
                <w:color w:val="000000"/>
                <w:sz w:val="18"/>
                <w:szCs w:val="18"/>
              </w:rPr>
            </w:pPr>
            <w:r w:rsidRPr="005404CB">
              <w:rPr>
                <w:color w:val="000000"/>
                <w:sz w:val="18"/>
                <w:szCs w:val="18"/>
              </w:rPr>
              <w:t>Includes 60,184 shares of Common Stock and stock options/warrants to purchase 102,850 shares of common stock exercisable within 60 days.</w:t>
            </w:r>
          </w:p>
        </w:tc>
      </w:tr>
      <w:tr w:rsidR="005404CB" w:rsidRPr="005404CB" w14:paraId="25E02E2D" w14:textId="77777777" w:rsidTr="004F5282">
        <w:trPr>
          <w:cantSplit/>
          <w:tblCellSpacing w:w="0" w:type="dxa"/>
        </w:trPr>
        <w:tc>
          <w:tcPr>
            <w:tcW w:w="360" w:type="dxa"/>
            <w:tcMar>
              <w:top w:w="0" w:type="dxa"/>
              <w:left w:w="0" w:type="dxa"/>
              <w:bottom w:w="0" w:type="dxa"/>
              <w:right w:w="0" w:type="dxa"/>
            </w:tcMar>
            <w:hideMark/>
          </w:tcPr>
          <w:p w14:paraId="2C67D48B"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(10)</w:t>
            </w:r>
          </w:p>
        </w:tc>
        <w:tc>
          <w:tcPr>
            <w:tcW w:w="0" w:type="auto"/>
            <w:tcMar>
              <w:top w:w="0" w:type="dxa"/>
              <w:left w:w="0" w:type="dxa"/>
              <w:bottom w:w="0" w:type="dxa"/>
              <w:right w:w="0" w:type="dxa"/>
            </w:tcMar>
            <w:hideMark/>
          </w:tcPr>
          <w:p w14:paraId="2651A97F" w14:textId="77777777" w:rsidR="005404CB" w:rsidRPr="005404CB" w:rsidRDefault="005404CB" w:rsidP="005404CB">
            <w:pPr>
              <w:autoSpaceDE w:val="0"/>
              <w:autoSpaceDN w:val="0"/>
              <w:adjustRightInd w:val="0"/>
              <w:rPr>
                <w:color w:val="000000"/>
                <w:sz w:val="18"/>
                <w:szCs w:val="18"/>
              </w:rPr>
            </w:pPr>
            <w:r w:rsidRPr="005404CB">
              <w:rPr>
                <w:color w:val="000000"/>
                <w:sz w:val="18"/>
                <w:szCs w:val="18"/>
              </w:rPr>
              <w:t>Includes 21,024 shares of Common Stock and stock options/warrants to purchase 29,357 shares of common stock exercisable within 60 days.</w:t>
            </w:r>
          </w:p>
        </w:tc>
      </w:tr>
      <w:tr w:rsidR="005404CB" w:rsidRPr="005404CB" w14:paraId="3F643B5E" w14:textId="77777777" w:rsidTr="004F5282">
        <w:trPr>
          <w:cantSplit/>
          <w:tblCellSpacing w:w="0" w:type="dxa"/>
        </w:trPr>
        <w:tc>
          <w:tcPr>
            <w:tcW w:w="360" w:type="dxa"/>
            <w:tcMar>
              <w:top w:w="0" w:type="dxa"/>
              <w:left w:w="0" w:type="dxa"/>
              <w:bottom w:w="0" w:type="dxa"/>
              <w:right w:w="0" w:type="dxa"/>
            </w:tcMar>
            <w:hideMark/>
          </w:tcPr>
          <w:p w14:paraId="2458414D" w14:textId="77777777" w:rsidR="005404CB" w:rsidRPr="005404CB" w:rsidRDefault="005404CB" w:rsidP="005404CB">
            <w:pPr>
              <w:autoSpaceDE w:val="0"/>
              <w:autoSpaceDN w:val="0"/>
              <w:adjustRightInd w:val="0"/>
              <w:jc w:val="both"/>
              <w:rPr>
                <w:color w:val="000000"/>
                <w:sz w:val="18"/>
                <w:szCs w:val="18"/>
              </w:rPr>
            </w:pPr>
            <w:r w:rsidRPr="005404CB">
              <w:rPr>
                <w:color w:val="000000"/>
                <w:sz w:val="18"/>
                <w:szCs w:val="18"/>
              </w:rPr>
              <w:t>(11)</w:t>
            </w:r>
          </w:p>
        </w:tc>
        <w:tc>
          <w:tcPr>
            <w:tcW w:w="0" w:type="auto"/>
            <w:tcMar>
              <w:top w:w="0" w:type="dxa"/>
              <w:left w:w="0" w:type="dxa"/>
              <w:bottom w:w="0" w:type="dxa"/>
              <w:right w:w="0" w:type="dxa"/>
            </w:tcMar>
            <w:hideMark/>
          </w:tcPr>
          <w:p w14:paraId="68CDEF5A" w14:textId="77777777" w:rsidR="005404CB" w:rsidRPr="005404CB" w:rsidRDefault="005404CB" w:rsidP="005404CB">
            <w:pPr>
              <w:autoSpaceDE w:val="0"/>
              <w:autoSpaceDN w:val="0"/>
              <w:adjustRightInd w:val="0"/>
              <w:rPr>
                <w:color w:val="000000"/>
                <w:sz w:val="18"/>
                <w:szCs w:val="18"/>
              </w:rPr>
            </w:pPr>
            <w:r w:rsidRPr="005404CB">
              <w:rPr>
                <w:color w:val="000000"/>
                <w:sz w:val="18"/>
                <w:szCs w:val="18"/>
              </w:rPr>
              <w:t>Includes 260,324 shares of Common Stock and stock options/warrants to purchase 424,267 shares of common stock exercisable within 60 days.</w:t>
            </w:r>
          </w:p>
        </w:tc>
      </w:tr>
    </w:tbl>
    <w:p w14:paraId="4970D676" w14:textId="77777777" w:rsidR="00745DD1" w:rsidRPr="003221AE" w:rsidRDefault="00745DD1" w:rsidP="00745DD1">
      <w:pPr>
        <w:rPr>
          <w:sz w:val="20"/>
          <w:szCs w:val="20"/>
        </w:rPr>
      </w:pPr>
    </w:p>
    <w:p w14:paraId="19689DA9" w14:textId="2FC1B219" w:rsidR="0087113F" w:rsidRDefault="004837DC">
      <w:pPr>
        <w:jc w:val="center"/>
        <w:rPr>
          <w:sz w:val="20"/>
          <w:szCs w:val="20"/>
        </w:rPr>
      </w:pPr>
      <w:r>
        <w:rPr>
          <w:b/>
          <w:bCs/>
          <w:caps/>
          <w:sz w:val="20"/>
          <w:szCs w:val="20"/>
        </w:rPr>
        <w:t>SELLING STOCKHOLDER</w:t>
      </w:r>
      <w:r w:rsidR="0002579B">
        <w:rPr>
          <w:b/>
          <w:bCs/>
          <w:caps/>
          <w:sz w:val="20"/>
          <w:szCs w:val="20"/>
        </w:rPr>
        <w:t>S</w:t>
      </w:r>
    </w:p>
    <w:p w14:paraId="364BBF4B" w14:textId="77777777" w:rsidR="00154904" w:rsidRDefault="00154904" w:rsidP="00154904">
      <w:pPr>
        <w:rPr>
          <w:sz w:val="20"/>
          <w:szCs w:val="20"/>
        </w:rPr>
      </w:pPr>
    </w:p>
    <w:p w14:paraId="70759E18" w14:textId="68C1BB7B" w:rsidR="00691684" w:rsidRPr="00691684" w:rsidRDefault="00A72724" w:rsidP="00A72724">
      <w:pPr>
        <w:ind w:firstLine="720"/>
        <w:jc w:val="both"/>
        <w:rPr>
          <w:sz w:val="20"/>
          <w:szCs w:val="20"/>
        </w:rPr>
      </w:pPr>
      <w:r>
        <w:rPr>
          <w:sz w:val="20"/>
          <w:szCs w:val="20"/>
        </w:rPr>
        <w:t xml:space="preserve">The </w:t>
      </w:r>
      <w:r w:rsidR="00691684" w:rsidRPr="00691684">
        <w:rPr>
          <w:sz w:val="20"/>
          <w:szCs w:val="20"/>
        </w:rPr>
        <w:t xml:space="preserve">common stock being offered by </w:t>
      </w:r>
      <w:r w:rsidR="0002579B">
        <w:rPr>
          <w:sz w:val="20"/>
          <w:szCs w:val="20"/>
        </w:rPr>
        <w:t xml:space="preserve">each of </w:t>
      </w:r>
      <w:r w:rsidR="00691684" w:rsidRPr="00691684">
        <w:rPr>
          <w:sz w:val="20"/>
          <w:szCs w:val="20"/>
        </w:rPr>
        <w:t xml:space="preserve">the </w:t>
      </w:r>
      <w:r>
        <w:rPr>
          <w:sz w:val="20"/>
          <w:szCs w:val="20"/>
        </w:rPr>
        <w:t>S</w:t>
      </w:r>
      <w:r w:rsidR="00691684" w:rsidRPr="00691684">
        <w:rPr>
          <w:sz w:val="20"/>
          <w:szCs w:val="20"/>
        </w:rPr>
        <w:t xml:space="preserve">elling </w:t>
      </w:r>
      <w:r>
        <w:rPr>
          <w:sz w:val="20"/>
          <w:szCs w:val="20"/>
        </w:rPr>
        <w:t>Stock</w:t>
      </w:r>
      <w:r w:rsidR="00691684" w:rsidRPr="00691684">
        <w:rPr>
          <w:sz w:val="20"/>
          <w:szCs w:val="20"/>
        </w:rPr>
        <w:t>holder</w:t>
      </w:r>
      <w:r w:rsidR="0002579B">
        <w:rPr>
          <w:sz w:val="20"/>
          <w:szCs w:val="20"/>
        </w:rPr>
        <w:t>s</w:t>
      </w:r>
      <w:r w:rsidR="00691684" w:rsidRPr="00691684">
        <w:rPr>
          <w:sz w:val="20"/>
          <w:szCs w:val="20"/>
        </w:rPr>
        <w:t xml:space="preserve"> are those issuable t</w:t>
      </w:r>
      <w:r>
        <w:rPr>
          <w:sz w:val="20"/>
          <w:szCs w:val="20"/>
        </w:rPr>
        <w:t xml:space="preserve">o </w:t>
      </w:r>
      <w:r w:rsidR="0002579B">
        <w:rPr>
          <w:sz w:val="20"/>
          <w:szCs w:val="20"/>
        </w:rPr>
        <w:t xml:space="preserve">such </w:t>
      </w:r>
      <w:r>
        <w:rPr>
          <w:sz w:val="20"/>
          <w:szCs w:val="20"/>
        </w:rPr>
        <w:t xml:space="preserve">Selling Stockholder, upon </w:t>
      </w:r>
      <w:r w:rsidR="00691684" w:rsidRPr="00691684">
        <w:rPr>
          <w:sz w:val="20"/>
          <w:szCs w:val="20"/>
        </w:rPr>
        <w:t xml:space="preserve">exercise of the </w:t>
      </w:r>
      <w:r>
        <w:rPr>
          <w:sz w:val="20"/>
          <w:szCs w:val="20"/>
        </w:rPr>
        <w:t>Warrant</w:t>
      </w:r>
      <w:r w:rsidR="00B551D7">
        <w:rPr>
          <w:sz w:val="20"/>
          <w:szCs w:val="20"/>
        </w:rPr>
        <w:t>s</w:t>
      </w:r>
      <w:r w:rsidR="00FD5C46">
        <w:rPr>
          <w:sz w:val="20"/>
          <w:szCs w:val="20"/>
        </w:rPr>
        <w:t xml:space="preserve">, consisting of </w:t>
      </w:r>
      <w:r w:rsidR="00FD5C46" w:rsidRPr="00FD5C46">
        <w:rPr>
          <w:sz w:val="20"/>
          <w:szCs w:val="20"/>
        </w:rPr>
        <w:t xml:space="preserve">9,090,910 shares of </w:t>
      </w:r>
      <w:r w:rsidR="00FD5C46">
        <w:rPr>
          <w:sz w:val="20"/>
          <w:szCs w:val="20"/>
        </w:rPr>
        <w:t>c</w:t>
      </w:r>
      <w:r w:rsidR="00FD5C46" w:rsidRPr="00FD5C46">
        <w:rPr>
          <w:sz w:val="20"/>
          <w:szCs w:val="20"/>
        </w:rPr>
        <w:t xml:space="preserve">ommon </w:t>
      </w:r>
      <w:r w:rsidR="00FD5C46">
        <w:rPr>
          <w:sz w:val="20"/>
          <w:szCs w:val="20"/>
        </w:rPr>
        <w:t>s</w:t>
      </w:r>
      <w:r w:rsidR="00FD5C46" w:rsidRPr="00FD5C46">
        <w:rPr>
          <w:sz w:val="20"/>
          <w:szCs w:val="20"/>
        </w:rPr>
        <w:t xml:space="preserve">tock issuable upon the exercise of </w:t>
      </w:r>
      <w:r w:rsidR="00FD5C46">
        <w:rPr>
          <w:sz w:val="20"/>
          <w:szCs w:val="20"/>
        </w:rPr>
        <w:t xml:space="preserve">the </w:t>
      </w:r>
      <w:r w:rsidR="00FD5C46" w:rsidRPr="00FD5C46">
        <w:rPr>
          <w:sz w:val="20"/>
          <w:szCs w:val="20"/>
        </w:rPr>
        <w:t>Pre-Funded Warrant</w:t>
      </w:r>
      <w:r w:rsidR="0002579B">
        <w:rPr>
          <w:sz w:val="20"/>
          <w:szCs w:val="20"/>
        </w:rPr>
        <w:t>,</w:t>
      </w:r>
      <w:r w:rsidR="00FD5C46" w:rsidRPr="00FD5C46">
        <w:rPr>
          <w:sz w:val="20"/>
          <w:szCs w:val="20"/>
        </w:rPr>
        <w:t xml:space="preserve"> 12,121,2</w:t>
      </w:r>
      <w:r w:rsidR="003B2B5C">
        <w:rPr>
          <w:sz w:val="20"/>
          <w:szCs w:val="20"/>
        </w:rPr>
        <w:t>1</w:t>
      </w:r>
      <w:r w:rsidR="00FD5C46" w:rsidRPr="00FD5C46">
        <w:rPr>
          <w:sz w:val="20"/>
          <w:szCs w:val="20"/>
        </w:rPr>
        <w:t xml:space="preserve">4 shares of </w:t>
      </w:r>
      <w:r w:rsidR="00FD5C46">
        <w:rPr>
          <w:sz w:val="20"/>
          <w:szCs w:val="20"/>
        </w:rPr>
        <w:t>c</w:t>
      </w:r>
      <w:r w:rsidR="00FD5C46" w:rsidRPr="00FD5C46">
        <w:rPr>
          <w:sz w:val="20"/>
          <w:szCs w:val="20"/>
        </w:rPr>
        <w:t xml:space="preserve">ommon </w:t>
      </w:r>
      <w:r w:rsidR="00FD5C46">
        <w:rPr>
          <w:sz w:val="20"/>
          <w:szCs w:val="20"/>
        </w:rPr>
        <w:t>s</w:t>
      </w:r>
      <w:r w:rsidR="00FD5C46" w:rsidRPr="00FD5C46">
        <w:rPr>
          <w:sz w:val="20"/>
          <w:szCs w:val="20"/>
        </w:rPr>
        <w:t xml:space="preserve">tock issuable upon the exercise of </w:t>
      </w:r>
      <w:r w:rsidR="00FD5C46">
        <w:rPr>
          <w:sz w:val="20"/>
          <w:szCs w:val="20"/>
        </w:rPr>
        <w:t>P</w:t>
      </w:r>
      <w:r w:rsidR="00FD5C46" w:rsidRPr="00FD5C46">
        <w:rPr>
          <w:sz w:val="20"/>
          <w:szCs w:val="20"/>
        </w:rPr>
        <w:t xml:space="preserve">referred </w:t>
      </w:r>
      <w:r w:rsidR="00FD5C46">
        <w:rPr>
          <w:sz w:val="20"/>
          <w:szCs w:val="20"/>
        </w:rPr>
        <w:t>I</w:t>
      </w:r>
      <w:r w:rsidR="00FD5C46" w:rsidRPr="00FD5C46">
        <w:rPr>
          <w:sz w:val="20"/>
          <w:szCs w:val="20"/>
        </w:rPr>
        <w:t xml:space="preserve">nvestment </w:t>
      </w:r>
      <w:r w:rsidR="00FD5C46">
        <w:rPr>
          <w:sz w:val="20"/>
          <w:szCs w:val="20"/>
        </w:rPr>
        <w:t>O</w:t>
      </w:r>
      <w:r w:rsidR="00FD5C46" w:rsidRPr="00FD5C46">
        <w:rPr>
          <w:sz w:val="20"/>
          <w:szCs w:val="20"/>
        </w:rPr>
        <w:t>ptions</w:t>
      </w:r>
      <w:r w:rsidR="0002579B">
        <w:rPr>
          <w:sz w:val="20"/>
          <w:szCs w:val="20"/>
        </w:rPr>
        <w:t xml:space="preserve">, </w:t>
      </w:r>
      <w:r w:rsidR="001A470A">
        <w:rPr>
          <w:sz w:val="20"/>
          <w:szCs w:val="20"/>
        </w:rPr>
        <w:t>128,000 Common Shares issuable upon the exercise of the 2020 Common Warrant and 72,000 Common Shares issuable upon the exercise of the 2021 Common Warrant</w:t>
      </w:r>
      <w:r w:rsidR="00691684" w:rsidRPr="00691684">
        <w:rPr>
          <w:sz w:val="20"/>
          <w:szCs w:val="20"/>
        </w:rPr>
        <w:t>. For additional information r</w:t>
      </w:r>
      <w:r>
        <w:rPr>
          <w:sz w:val="20"/>
          <w:szCs w:val="20"/>
        </w:rPr>
        <w:t xml:space="preserve">egarding the issuances of those </w:t>
      </w:r>
      <w:r w:rsidR="00B551D7">
        <w:rPr>
          <w:sz w:val="20"/>
          <w:szCs w:val="20"/>
        </w:rPr>
        <w:t>W</w:t>
      </w:r>
      <w:r w:rsidR="00691684" w:rsidRPr="00691684">
        <w:rPr>
          <w:sz w:val="20"/>
          <w:szCs w:val="20"/>
        </w:rPr>
        <w:t>arrants, see “</w:t>
      </w:r>
      <w:r>
        <w:rPr>
          <w:sz w:val="20"/>
          <w:szCs w:val="20"/>
        </w:rPr>
        <w:t>Prospectus Summary–</w:t>
      </w:r>
      <w:r w:rsidR="008F3E8B">
        <w:rPr>
          <w:sz w:val="20"/>
          <w:szCs w:val="20"/>
        </w:rPr>
        <w:t>Recent Developments–</w:t>
      </w:r>
      <w:r w:rsidR="00691684" w:rsidRPr="00691684">
        <w:rPr>
          <w:sz w:val="20"/>
          <w:szCs w:val="20"/>
        </w:rPr>
        <w:t>Privat</w:t>
      </w:r>
      <w:r>
        <w:rPr>
          <w:sz w:val="20"/>
          <w:szCs w:val="20"/>
        </w:rPr>
        <w:t>e Placement</w:t>
      </w:r>
      <w:r w:rsidR="00691684" w:rsidRPr="00691684">
        <w:rPr>
          <w:sz w:val="20"/>
          <w:szCs w:val="20"/>
        </w:rPr>
        <w:t>” above. We are registering the sha</w:t>
      </w:r>
      <w:r>
        <w:rPr>
          <w:sz w:val="20"/>
          <w:szCs w:val="20"/>
        </w:rPr>
        <w:t xml:space="preserve">res of common stock </w:t>
      </w:r>
      <w:r w:rsidR="00FD5C46">
        <w:rPr>
          <w:sz w:val="20"/>
          <w:szCs w:val="20"/>
        </w:rPr>
        <w:t xml:space="preserve">issuable upon exercise of the Warrants </w:t>
      </w:r>
      <w:r>
        <w:rPr>
          <w:sz w:val="20"/>
          <w:szCs w:val="20"/>
        </w:rPr>
        <w:t xml:space="preserve">in order to </w:t>
      </w:r>
      <w:r w:rsidR="00691684" w:rsidRPr="00691684">
        <w:rPr>
          <w:sz w:val="20"/>
          <w:szCs w:val="20"/>
        </w:rPr>
        <w:t xml:space="preserve">permit the </w:t>
      </w:r>
      <w:r>
        <w:rPr>
          <w:sz w:val="20"/>
          <w:szCs w:val="20"/>
        </w:rPr>
        <w:t>S</w:t>
      </w:r>
      <w:r w:rsidR="00691684" w:rsidRPr="00691684">
        <w:rPr>
          <w:sz w:val="20"/>
          <w:szCs w:val="20"/>
        </w:rPr>
        <w:t xml:space="preserve">elling </w:t>
      </w:r>
      <w:r>
        <w:rPr>
          <w:sz w:val="20"/>
          <w:szCs w:val="20"/>
        </w:rPr>
        <w:t>Stock</w:t>
      </w:r>
      <w:r w:rsidR="00691684" w:rsidRPr="00691684">
        <w:rPr>
          <w:sz w:val="20"/>
          <w:szCs w:val="20"/>
        </w:rPr>
        <w:t>holder</w:t>
      </w:r>
      <w:r w:rsidR="001A470A">
        <w:rPr>
          <w:sz w:val="20"/>
          <w:szCs w:val="20"/>
        </w:rPr>
        <w:t>s</w:t>
      </w:r>
      <w:r w:rsidR="00691684" w:rsidRPr="00691684">
        <w:rPr>
          <w:sz w:val="20"/>
          <w:szCs w:val="20"/>
        </w:rPr>
        <w:t xml:space="preserve"> to offer the shares for resal</w:t>
      </w:r>
      <w:r>
        <w:rPr>
          <w:sz w:val="20"/>
          <w:szCs w:val="20"/>
        </w:rPr>
        <w:t xml:space="preserve">e from time to time. Except for </w:t>
      </w:r>
      <w:r w:rsidR="00FD5C46">
        <w:rPr>
          <w:sz w:val="20"/>
          <w:szCs w:val="20"/>
        </w:rPr>
        <w:t>as noted in this prospectus</w:t>
      </w:r>
      <w:r>
        <w:rPr>
          <w:sz w:val="20"/>
          <w:szCs w:val="20"/>
        </w:rPr>
        <w:t xml:space="preserve">, </w:t>
      </w:r>
      <w:r w:rsidR="001A470A">
        <w:rPr>
          <w:sz w:val="20"/>
          <w:szCs w:val="20"/>
        </w:rPr>
        <w:t xml:space="preserve">neither </w:t>
      </w:r>
      <w:r>
        <w:rPr>
          <w:sz w:val="20"/>
          <w:szCs w:val="20"/>
        </w:rPr>
        <w:t xml:space="preserve">Selling Stockholder </w:t>
      </w:r>
      <w:r w:rsidR="00691684" w:rsidRPr="00691684">
        <w:rPr>
          <w:sz w:val="20"/>
          <w:szCs w:val="20"/>
        </w:rPr>
        <w:t>has had any material relationship with us within the past three years.</w:t>
      </w:r>
    </w:p>
    <w:p w14:paraId="6B3EE717" w14:textId="77777777" w:rsidR="00A72724" w:rsidRDefault="00A72724" w:rsidP="00A72724">
      <w:pPr>
        <w:jc w:val="both"/>
        <w:rPr>
          <w:sz w:val="20"/>
          <w:szCs w:val="20"/>
        </w:rPr>
      </w:pPr>
    </w:p>
    <w:p w14:paraId="27923F7E" w14:textId="0CC31DDC" w:rsidR="00691684" w:rsidRPr="00457540" w:rsidRDefault="00691684" w:rsidP="00A72724">
      <w:pPr>
        <w:ind w:firstLine="720"/>
        <w:jc w:val="both"/>
        <w:rPr>
          <w:sz w:val="20"/>
          <w:szCs w:val="20"/>
        </w:rPr>
      </w:pPr>
      <w:r w:rsidRPr="00457540">
        <w:rPr>
          <w:sz w:val="20"/>
          <w:szCs w:val="20"/>
        </w:rPr>
        <w:t xml:space="preserve">The table below lists </w:t>
      </w:r>
      <w:r w:rsidR="00AF6943">
        <w:rPr>
          <w:sz w:val="20"/>
          <w:szCs w:val="20"/>
        </w:rPr>
        <w:t xml:space="preserve">each of </w:t>
      </w:r>
      <w:r w:rsidRPr="00457540">
        <w:rPr>
          <w:sz w:val="20"/>
          <w:szCs w:val="20"/>
        </w:rPr>
        <w:t xml:space="preserve">the </w:t>
      </w:r>
      <w:r w:rsidR="00457540" w:rsidRPr="00457540">
        <w:rPr>
          <w:sz w:val="20"/>
          <w:szCs w:val="20"/>
        </w:rPr>
        <w:t>S</w:t>
      </w:r>
      <w:r w:rsidRPr="00457540">
        <w:rPr>
          <w:sz w:val="20"/>
          <w:szCs w:val="20"/>
        </w:rPr>
        <w:t xml:space="preserve">elling </w:t>
      </w:r>
      <w:r w:rsidR="00457540" w:rsidRPr="00457540">
        <w:rPr>
          <w:sz w:val="20"/>
          <w:szCs w:val="20"/>
        </w:rPr>
        <w:t>Stock</w:t>
      </w:r>
      <w:r w:rsidRPr="00457540">
        <w:rPr>
          <w:sz w:val="20"/>
          <w:szCs w:val="20"/>
        </w:rPr>
        <w:t>holder</w:t>
      </w:r>
      <w:r w:rsidR="00AF6943">
        <w:rPr>
          <w:sz w:val="20"/>
          <w:szCs w:val="20"/>
        </w:rPr>
        <w:t>s</w:t>
      </w:r>
      <w:r w:rsidRPr="00457540">
        <w:rPr>
          <w:sz w:val="20"/>
          <w:szCs w:val="20"/>
        </w:rPr>
        <w:t xml:space="preserve"> and other information regarding the</w:t>
      </w:r>
      <w:r w:rsidR="00A72724" w:rsidRPr="00457540">
        <w:rPr>
          <w:sz w:val="20"/>
          <w:szCs w:val="20"/>
        </w:rPr>
        <w:t xml:space="preserve"> </w:t>
      </w:r>
      <w:r w:rsidRPr="00457540">
        <w:rPr>
          <w:sz w:val="20"/>
          <w:szCs w:val="20"/>
        </w:rPr>
        <w:t xml:space="preserve">beneficial ownership of the shares of common stock </w:t>
      </w:r>
      <w:r w:rsidR="00A72724" w:rsidRPr="00457540">
        <w:rPr>
          <w:sz w:val="20"/>
          <w:szCs w:val="20"/>
        </w:rPr>
        <w:t xml:space="preserve">by </w:t>
      </w:r>
      <w:r w:rsidR="00AF6943">
        <w:rPr>
          <w:sz w:val="20"/>
          <w:szCs w:val="20"/>
        </w:rPr>
        <w:t xml:space="preserve">such </w:t>
      </w:r>
      <w:r w:rsidR="00457540" w:rsidRPr="00457540">
        <w:rPr>
          <w:sz w:val="20"/>
          <w:szCs w:val="20"/>
        </w:rPr>
        <w:t>S</w:t>
      </w:r>
      <w:r w:rsidR="00A72724" w:rsidRPr="00457540">
        <w:rPr>
          <w:sz w:val="20"/>
          <w:szCs w:val="20"/>
        </w:rPr>
        <w:t xml:space="preserve">elling </w:t>
      </w:r>
      <w:r w:rsidR="00457540" w:rsidRPr="00457540">
        <w:rPr>
          <w:sz w:val="20"/>
          <w:szCs w:val="20"/>
        </w:rPr>
        <w:t>Stock</w:t>
      </w:r>
      <w:r w:rsidR="00A72724" w:rsidRPr="00457540">
        <w:rPr>
          <w:sz w:val="20"/>
          <w:szCs w:val="20"/>
        </w:rPr>
        <w:t xml:space="preserve">holder. The </w:t>
      </w:r>
      <w:r w:rsidRPr="00457540">
        <w:rPr>
          <w:sz w:val="20"/>
          <w:szCs w:val="20"/>
        </w:rPr>
        <w:t>second column lists the number of shares of common s</w:t>
      </w:r>
      <w:r w:rsidR="00A72724" w:rsidRPr="00457540">
        <w:rPr>
          <w:sz w:val="20"/>
          <w:szCs w:val="20"/>
        </w:rPr>
        <w:t xml:space="preserve">tock beneficially owned by </w:t>
      </w:r>
      <w:r w:rsidR="00AF6943">
        <w:rPr>
          <w:sz w:val="20"/>
          <w:szCs w:val="20"/>
        </w:rPr>
        <w:t xml:space="preserve">each </w:t>
      </w:r>
      <w:r w:rsidR="00457540" w:rsidRPr="00457540">
        <w:rPr>
          <w:sz w:val="20"/>
          <w:szCs w:val="20"/>
        </w:rPr>
        <w:t>S</w:t>
      </w:r>
      <w:r w:rsidRPr="00457540">
        <w:rPr>
          <w:sz w:val="20"/>
          <w:szCs w:val="20"/>
        </w:rPr>
        <w:t xml:space="preserve">elling </w:t>
      </w:r>
      <w:r w:rsidR="00457540" w:rsidRPr="00457540">
        <w:rPr>
          <w:sz w:val="20"/>
          <w:szCs w:val="20"/>
        </w:rPr>
        <w:t>Stock</w:t>
      </w:r>
      <w:r w:rsidRPr="00457540">
        <w:rPr>
          <w:sz w:val="20"/>
          <w:szCs w:val="20"/>
        </w:rPr>
        <w:t xml:space="preserve">holder, based on its ownership of the </w:t>
      </w:r>
      <w:r w:rsidR="00457540" w:rsidRPr="00457540">
        <w:rPr>
          <w:sz w:val="20"/>
          <w:szCs w:val="20"/>
        </w:rPr>
        <w:t>W</w:t>
      </w:r>
      <w:r w:rsidR="00A72724" w:rsidRPr="00457540">
        <w:rPr>
          <w:sz w:val="20"/>
          <w:szCs w:val="20"/>
        </w:rPr>
        <w:t xml:space="preserve">arrants, </w:t>
      </w:r>
      <w:r w:rsidRPr="00457540">
        <w:rPr>
          <w:sz w:val="20"/>
          <w:szCs w:val="20"/>
        </w:rPr>
        <w:t xml:space="preserve">as of </w:t>
      </w:r>
      <w:r w:rsidR="00FD5C46">
        <w:rPr>
          <w:sz w:val="20"/>
          <w:szCs w:val="20"/>
        </w:rPr>
        <w:t xml:space="preserve">June </w:t>
      </w:r>
      <w:r w:rsidR="0039388C">
        <w:rPr>
          <w:sz w:val="20"/>
          <w:szCs w:val="20"/>
        </w:rPr>
        <w:t>10</w:t>
      </w:r>
      <w:r w:rsidRPr="00457540">
        <w:rPr>
          <w:sz w:val="20"/>
          <w:szCs w:val="20"/>
        </w:rPr>
        <w:t xml:space="preserve">, 2022, assuming exercise of the </w:t>
      </w:r>
      <w:r w:rsidR="00457540" w:rsidRPr="00457540">
        <w:rPr>
          <w:sz w:val="20"/>
          <w:szCs w:val="20"/>
        </w:rPr>
        <w:t>W</w:t>
      </w:r>
      <w:r w:rsidRPr="00457540">
        <w:rPr>
          <w:sz w:val="20"/>
          <w:szCs w:val="20"/>
        </w:rPr>
        <w:t xml:space="preserve">arrants </w:t>
      </w:r>
      <w:r w:rsidR="00A72724" w:rsidRPr="00457540">
        <w:rPr>
          <w:sz w:val="20"/>
          <w:szCs w:val="20"/>
        </w:rPr>
        <w:t xml:space="preserve">held by </w:t>
      </w:r>
      <w:r w:rsidR="00AF6943">
        <w:rPr>
          <w:sz w:val="20"/>
          <w:szCs w:val="20"/>
        </w:rPr>
        <w:t xml:space="preserve">such </w:t>
      </w:r>
      <w:r w:rsidR="00457540" w:rsidRPr="00457540">
        <w:rPr>
          <w:sz w:val="20"/>
          <w:szCs w:val="20"/>
        </w:rPr>
        <w:t>S</w:t>
      </w:r>
      <w:r w:rsidR="00A72724" w:rsidRPr="00457540">
        <w:rPr>
          <w:sz w:val="20"/>
          <w:szCs w:val="20"/>
        </w:rPr>
        <w:t xml:space="preserve">elling </w:t>
      </w:r>
      <w:r w:rsidR="00457540" w:rsidRPr="00457540">
        <w:rPr>
          <w:sz w:val="20"/>
          <w:szCs w:val="20"/>
        </w:rPr>
        <w:t>Stock</w:t>
      </w:r>
      <w:r w:rsidR="00A72724" w:rsidRPr="00457540">
        <w:rPr>
          <w:sz w:val="20"/>
          <w:szCs w:val="20"/>
        </w:rPr>
        <w:t xml:space="preserve">holder </w:t>
      </w:r>
      <w:r w:rsidRPr="00457540">
        <w:rPr>
          <w:sz w:val="20"/>
          <w:szCs w:val="20"/>
        </w:rPr>
        <w:t>on that date, without regard t</w:t>
      </w:r>
      <w:r w:rsidR="00A72724" w:rsidRPr="00457540">
        <w:rPr>
          <w:sz w:val="20"/>
          <w:szCs w:val="20"/>
        </w:rPr>
        <w:t xml:space="preserve">o any limitations on exercises. </w:t>
      </w:r>
      <w:r w:rsidRPr="00457540">
        <w:rPr>
          <w:sz w:val="20"/>
          <w:szCs w:val="20"/>
        </w:rPr>
        <w:t>The third column lists the shares of com</w:t>
      </w:r>
      <w:r w:rsidR="00A72724" w:rsidRPr="00457540">
        <w:rPr>
          <w:sz w:val="20"/>
          <w:szCs w:val="20"/>
        </w:rPr>
        <w:t xml:space="preserve">mon stock being offered by this </w:t>
      </w:r>
      <w:r w:rsidRPr="00457540">
        <w:rPr>
          <w:sz w:val="20"/>
          <w:szCs w:val="20"/>
        </w:rPr>
        <w:t xml:space="preserve">prospectus by </w:t>
      </w:r>
      <w:r w:rsidR="00AF6943">
        <w:rPr>
          <w:sz w:val="20"/>
          <w:szCs w:val="20"/>
        </w:rPr>
        <w:t xml:space="preserve">each of </w:t>
      </w:r>
      <w:r w:rsidRPr="00457540">
        <w:rPr>
          <w:sz w:val="20"/>
          <w:szCs w:val="20"/>
        </w:rPr>
        <w:t xml:space="preserve">the </w:t>
      </w:r>
      <w:r w:rsidR="00457540">
        <w:rPr>
          <w:sz w:val="20"/>
          <w:szCs w:val="20"/>
        </w:rPr>
        <w:t>S</w:t>
      </w:r>
      <w:r w:rsidRPr="00457540">
        <w:rPr>
          <w:sz w:val="20"/>
          <w:szCs w:val="20"/>
        </w:rPr>
        <w:t xml:space="preserve">elling </w:t>
      </w:r>
      <w:r w:rsidR="00457540">
        <w:rPr>
          <w:sz w:val="20"/>
          <w:szCs w:val="20"/>
        </w:rPr>
        <w:t>Stockholder</w:t>
      </w:r>
      <w:r w:rsidRPr="00457540">
        <w:rPr>
          <w:sz w:val="20"/>
          <w:szCs w:val="20"/>
        </w:rPr>
        <w:t>.</w:t>
      </w:r>
    </w:p>
    <w:p w14:paraId="309A9420" w14:textId="77777777" w:rsidR="00A72724" w:rsidRPr="00B551D7" w:rsidRDefault="00A72724" w:rsidP="00691684">
      <w:pPr>
        <w:ind w:firstLine="720"/>
        <w:jc w:val="both"/>
        <w:rPr>
          <w:sz w:val="20"/>
          <w:szCs w:val="20"/>
          <w:highlight w:val="yellow"/>
        </w:rPr>
      </w:pPr>
    </w:p>
    <w:p w14:paraId="353150D0" w14:textId="105FA0F7" w:rsidR="00691684" w:rsidRPr="00457540" w:rsidRDefault="00691684" w:rsidP="00A72724">
      <w:pPr>
        <w:ind w:firstLine="720"/>
        <w:jc w:val="both"/>
        <w:rPr>
          <w:sz w:val="20"/>
          <w:szCs w:val="20"/>
        </w:rPr>
      </w:pPr>
      <w:r w:rsidRPr="00457540">
        <w:rPr>
          <w:sz w:val="20"/>
          <w:szCs w:val="20"/>
        </w:rPr>
        <w:t>In accordance with the terms of a registration ri</w:t>
      </w:r>
      <w:r w:rsidR="00A72724" w:rsidRPr="00457540">
        <w:rPr>
          <w:sz w:val="20"/>
          <w:szCs w:val="20"/>
        </w:rPr>
        <w:t xml:space="preserve">ghts agreement with </w:t>
      </w:r>
      <w:r w:rsidR="00AF6943">
        <w:rPr>
          <w:sz w:val="20"/>
          <w:szCs w:val="20"/>
        </w:rPr>
        <w:t>Armistice or the terms of each of the 2020 Common Warrant and 2021 Common Warrant</w:t>
      </w:r>
      <w:r w:rsidRPr="00457540">
        <w:rPr>
          <w:sz w:val="20"/>
          <w:szCs w:val="20"/>
        </w:rPr>
        <w:t xml:space="preserve">, this prospectus generally covers the resale </w:t>
      </w:r>
      <w:r w:rsidR="00A72724" w:rsidRPr="00457540">
        <w:rPr>
          <w:sz w:val="20"/>
          <w:szCs w:val="20"/>
        </w:rPr>
        <w:t xml:space="preserve">of the maximum number </w:t>
      </w:r>
      <w:r w:rsidRPr="00457540">
        <w:rPr>
          <w:sz w:val="20"/>
          <w:szCs w:val="20"/>
        </w:rPr>
        <w:t xml:space="preserve">of shares of common stock issuable upon exercise of the </w:t>
      </w:r>
      <w:r w:rsidR="00457540" w:rsidRPr="00457540">
        <w:rPr>
          <w:sz w:val="20"/>
          <w:szCs w:val="20"/>
        </w:rPr>
        <w:t>W</w:t>
      </w:r>
      <w:r w:rsidR="00A72724" w:rsidRPr="00457540">
        <w:rPr>
          <w:sz w:val="20"/>
          <w:szCs w:val="20"/>
        </w:rPr>
        <w:t xml:space="preserve">arrants, determined as </w:t>
      </w:r>
      <w:r w:rsidRPr="00457540">
        <w:rPr>
          <w:sz w:val="20"/>
          <w:szCs w:val="20"/>
        </w:rPr>
        <w:t xml:space="preserve">if the outstanding </w:t>
      </w:r>
      <w:r w:rsidR="00457540" w:rsidRPr="00457540">
        <w:rPr>
          <w:sz w:val="20"/>
          <w:szCs w:val="20"/>
        </w:rPr>
        <w:t>W</w:t>
      </w:r>
      <w:r w:rsidRPr="00457540">
        <w:rPr>
          <w:sz w:val="20"/>
          <w:szCs w:val="20"/>
        </w:rPr>
        <w:t>arrants were exercised in full as</w:t>
      </w:r>
      <w:r w:rsidR="00A72724" w:rsidRPr="00457540">
        <w:rPr>
          <w:sz w:val="20"/>
          <w:szCs w:val="20"/>
        </w:rPr>
        <w:t xml:space="preserve"> of the trading day immediately </w:t>
      </w:r>
      <w:r w:rsidRPr="00457540">
        <w:rPr>
          <w:sz w:val="20"/>
          <w:szCs w:val="20"/>
        </w:rPr>
        <w:t>preceding the date this registration statement was initially</w:t>
      </w:r>
      <w:r w:rsidR="00A72724" w:rsidRPr="00457540">
        <w:rPr>
          <w:sz w:val="20"/>
          <w:szCs w:val="20"/>
        </w:rPr>
        <w:t xml:space="preserve"> filed with the SEC, each as of </w:t>
      </w:r>
      <w:r w:rsidRPr="00457540">
        <w:rPr>
          <w:sz w:val="20"/>
          <w:szCs w:val="20"/>
        </w:rPr>
        <w:t>the trading day immediately preceding the applicabl</w:t>
      </w:r>
      <w:r w:rsidR="00A72724" w:rsidRPr="00457540">
        <w:rPr>
          <w:sz w:val="20"/>
          <w:szCs w:val="20"/>
        </w:rPr>
        <w:t xml:space="preserve">e date of determination and all </w:t>
      </w:r>
      <w:r w:rsidRPr="00457540">
        <w:rPr>
          <w:sz w:val="20"/>
          <w:szCs w:val="20"/>
        </w:rPr>
        <w:t>subject to adjustment as provided in the registration rig</w:t>
      </w:r>
      <w:r w:rsidR="00A72724" w:rsidRPr="00457540">
        <w:rPr>
          <w:sz w:val="20"/>
          <w:szCs w:val="20"/>
        </w:rPr>
        <w:t xml:space="preserve">ht agreement, without regard to </w:t>
      </w:r>
      <w:r w:rsidRPr="00457540">
        <w:rPr>
          <w:sz w:val="20"/>
          <w:szCs w:val="20"/>
        </w:rPr>
        <w:t xml:space="preserve">any limitations on the exercise of the </w:t>
      </w:r>
      <w:r w:rsidR="00457540" w:rsidRPr="00457540">
        <w:rPr>
          <w:sz w:val="20"/>
          <w:szCs w:val="20"/>
        </w:rPr>
        <w:t>W</w:t>
      </w:r>
      <w:r w:rsidRPr="00457540">
        <w:rPr>
          <w:sz w:val="20"/>
          <w:szCs w:val="20"/>
        </w:rPr>
        <w:t>arrants. The fourth</w:t>
      </w:r>
      <w:r w:rsidR="00A72724" w:rsidRPr="00457540">
        <w:rPr>
          <w:sz w:val="20"/>
          <w:szCs w:val="20"/>
        </w:rPr>
        <w:t xml:space="preserve"> column assumes the sale of all </w:t>
      </w:r>
      <w:r w:rsidRPr="00457540">
        <w:rPr>
          <w:sz w:val="20"/>
          <w:szCs w:val="20"/>
        </w:rPr>
        <w:t xml:space="preserve">of the shares offered by </w:t>
      </w:r>
      <w:r w:rsidR="00AF6943">
        <w:rPr>
          <w:sz w:val="20"/>
          <w:szCs w:val="20"/>
        </w:rPr>
        <w:t xml:space="preserve">each </w:t>
      </w:r>
      <w:r w:rsidR="00457540" w:rsidRPr="00457540">
        <w:rPr>
          <w:sz w:val="20"/>
          <w:szCs w:val="20"/>
        </w:rPr>
        <w:t>S</w:t>
      </w:r>
      <w:r w:rsidRPr="00457540">
        <w:rPr>
          <w:sz w:val="20"/>
          <w:szCs w:val="20"/>
        </w:rPr>
        <w:t xml:space="preserve">elling </w:t>
      </w:r>
      <w:r w:rsidR="00457540" w:rsidRPr="00457540">
        <w:rPr>
          <w:sz w:val="20"/>
          <w:szCs w:val="20"/>
        </w:rPr>
        <w:t>Stock</w:t>
      </w:r>
      <w:r w:rsidRPr="00457540">
        <w:rPr>
          <w:sz w:val="20"/>
          <w:szCs w:val="20"/>
        </w:rPr>
        <w:t>holder pursuant to this prospectus.</w:t>
      </w:r>
    </w:p>
    <w:p w14:paraId="3FF61673" w14:textId="77777777" w:rsidR="00A72724" w:rsidRPr="00457540" w:rsidRDefault="00A72724" w:rsidP="00691684">
      <w:pPr>
        <w:ind w:firstLine="720"/>
        <w:jc w:val="both"/>
        <w:rPr>
          <w:sz w:val="20"/>
          <w:szCs w:val="20"/>
        </w:rPr>
      </w:pPr>
    </w:p>
    <w:p w14:paraId="3E8B3037" w14:textId="2425DF24" w:rsidR="0087113F" w:rsidRDefault="00691684">
      <w:pPr>
        <w:ind w:firstLine="720"/>
        <w:jc w:val="both"/>
        <w:rPr>
          <w:sz w:val="20"/>
          <w:szCs w:val="20"/>
        </w:rPr>
      </w:pPr>
      <w:r w:rsidRPr="00457540">
        <w:rPr>
          <w:sz w:val="20"/>
          <w:szCs w:val="20"/>
        </w:rPr>
        <w:t xml:space="preserve">Under the terms of the </w:t>
      </w:r>
      <w:r w:rsidR="00457540" w:rsidRPr="00457540">
        <w:rPr>
          <w:sz w:val="20"/>
          <w:szCs w:val="20"/>
        </w:rPr>
        <w:t>W</w:t>
      </w:r>
      <w:r w:rsidRPr="00457540">
        <w:rPr>
          <w:sz w:val="20"/>
          <w:szCs w:val="20"/>
        </w:rPr>
        <w:t xml:space="preserve">arrants, </w:t>
      </w:r>
      <w:r w:rsidR="0033650D">
        <w:rPr>
          <w:sz w:val="20"/>
          <w:szCs w:val="20"/>
        </w:rPr>
        <w:t>each</w:t>
      </w:r>
      <w:r w:rsidRPr="00457540">
        <w:rPr>
          <w:sz w:val="20"/>
          <w:szCs w:val="20"/>
        </w:rPr>
        <w:t xml:space="preserve"> </w:t>
      </w:r>
      <w:r w:rsidR="00346AC9">
        <w:rPr>
          <w:sz w:val="20"/>
          <w:szCs w:val="20"/>
        </w:rPr>
        <w:t>Selling Stockholder</w:t>
      </w:r>
      <w:r w:rsidR="00A72724" w:rsidRPr="00457540">
        <w:rPr>
          <w:sz w:val="20"/>
          <w:szCs w:val="20"/>
        </w:rPr>
        <w:t xml:space="preserve"> may not exercise the </w:t>
      </w:r>
      <w:r w:rsidR="00457540" w:rsidRPr="00457540">
        <w:rPr>
          <w:sz w:val="20"/>
          <w:szCs w:val="20"/>
        </w:rPr>
        <w:t>W</w:t>
      </w:r>
      <w:r w:rsidRPr="00457540">
        <w:rPr>
          <w:sz w:val="20"/>
          <w:szCs w:val="20"/>
        </w:rPr>
        <w:t xml:space="preserve">arrants to the extent such exercise would cause </w:t>
      </w:r>
      <w:r w:rsidR="0033650D">
        <w:rPr>
          <w:sz w:val="20"/>
          <w:szCs w:val="20"/>
        </w:rPr>
        <w:t>such</w:t>
      </w:r>
      <w:r w:rsidRPr="00457540">
        <w:rPr>
          <w:sz w:val="20"/>
          <w:szCs w:val="20"/>
        </w:rPr>
        <w:t xml:space="preserve"> </w:t>
      </w:r>
      <w:r w:rsidR="00346AC9">
        <w:rPr>
          <w:sz w:val="20"/>
          <w:szCs w:val="20"/>
        </w:rPr>
        <w:t>Selling Stockholder</w:t>
      </w:r>
      <w:r w:rsidR="00A72724" w:rsidRPr="00457540">
        <w:rPr>
          <w:sz w:val="20"/>
          <w:szCs w:val="20"/>
        </w:rPr>
        <w:t xml:space="preserve">, together with its </w:t>
      </w:r>
      <w:r w:rsidRPr="00457540">
        <w:rPr>
          <w:sz w:val="20"/>
          <w:szCs w:val="20"/>
        </w:rPr>
        <w:t>affiliates and attribution parties, to beneficially own a number of shares of common stoc</w:t>
      </w:r>
      <w:r w:rsidR="00A72724" w:rsidRPr="00457540">
        <w:rPr>
          <w:sz w:val="20"/>
          <w:szCs w:val="20"/>
        </w:rPr>
        <w:t xml:space="preserve">k </w:t>
      </w:r>
      <w:r w:rsidRPr="00457540">
        <w:rPr>
          <w:sz w:val="20"/>
          <w:szCs w:val="20"/>
        </w:rPr>
        <w:t>which would exceed 4.99% or 9.99%, as applicable,</w:t>
      </w:r>
      <w:r w:rsidR="00A72724" w:rsidRPr="00457540">
        <w:rPr>
          <w:sz w:val="20"/>
          <w:szCs w:val="20"/>
        </w:rPr>
        <w:t xml:space="preserve"> of our then outstanding common </w:t>
      </w:r>
      <w:r w:rsidRPr="00457540">
        <w:rPr>
          <w:sz w:val="20"/>
          <w:szCs w:val="20"/>
        </w:rPr>
        <w:t xml:space="preserve">stock following such exercise, excluding for purposes </w:t>
      </w:r>
      <w:r w:rsidR="00A72724" w:rsidRPr="00457540">
        <w:rPr>
          <w:sz w:val="20"/>
          <w:szCs w:val="20"/>
        </w:rPr>
        <w:t xml:space="preserve">of such determination shares of </w:t>
      </w:r>
      <w:r w:rsidRPr="00457540">
        <w:rPr>
          <w:sz w:val="20"/>
          <w:szCs w:val="20"/>
        </w:rPr>
        <w:t xml:space="preserve">common stock issuable upon exercise of such </w:t>
      </w:r>
      <w:r w:rsidR="00457540" w:rsidRPr="00457540">
        <w:rPr>
          <w:sz w:val="20"/>
          <w:szCs w:val="20"/>
        </w:rPr>
        <w:t>W</w:t>
      </w:r>
      <w:r w:rsidRPr="00457540">
        <w:rPr>
          <w:sz w:val="20"/>
          <w:szCs w:val="20"/>
        </w:rPr>
        <w:t>arrants</w:t>
      </w:r>
      <w:r w:rsidR="00A72724" w:rsidRPr="00457540">
        <w:rPr>
          <w:sz w:val="20"/>
          <w:szCs w:val="20"/>
        </w:rPr>
        <w:t xml:space="preserve"> which have not been exercised. </w:t>
      </w:r>
      <w:r w:rsidRPr="00457540">
        <w:rPr>
          <w:sz w:val="20"/>
          <w:szCs w:val="20"/>
        </w:rPr>
        <w:t>The number of shares in the second and fourth columns do n</w:t>
      </w:r>
      <w:r w:rsidR="00A72724" w:rsidRPr="00457540">
        <w:rPr>
          <w:sz w:val="20"/>
          <w:szCs w:val="20"/>
        </w:rPr>
        <w:t xml:space="preserve">ot reflect this limitation. </w:t>
      </w:r>
      <w:r w:rsidR="0033650D">
        <w:rPr>
          <w:sz w:val="20"/>
          <w:szCs w:val="20"/>
        </w:rPr>
        <w:t xml:space="preserve">Each </w:t>
      </w:r>
      <w:r w:rsidR="00346AC9">
        <w:rPr>
          <w:sz w:val="20"/>
          <w:szCs w:val="20"/>
        </w:rPr>
        <w:t>Selling Stockholder</w:t>
      </w:r>
      <w:r w:rsidR="00346AC9" w:rsidRPr="00457540">
        <w:rPr>
          <w:sz w:val="20"/>
          <w:szCs w:val="20"/>
        </w:rPr>
        <w:t xml:space="preserve"> </w:t>
      </w:r>
      <w:r w:rsidRPr="00457540">
        <w:rPr>
          <w:sz w:val="20"/>
          <w:szCs w:val="20"/>
        </w:rPr>
        <w:t>may sell all, some or none of their sha</w:t>
      </w:r>
      <w:r w:rsidR="00A72724" w:rsidRPr="00457540">
        <w:rPr>
          <w:sz w:val="20"/>
          <w:szCs w:val="20"/>
        </w:rPr>
        <w:t xml:space="preserve">res in this offering. See </w:t>
      </w:r>
      <w:r w:rsidR="00457540" w:rsidRPr="00457540">
        <w:rPr>
          <w:sz w:val="20"/>
          <w:szCs w:val="20"/>
        </w:rPr>
        <w:t>“</w:t>
      </w:r>
      <w:r w:rsidR="00A72724" w:rsidRPr="00457540">
        <w:rPr>
          <w:sz w:val="20"/>
          <w:szCs w:val="20"/>
        </w:rPr>
        <w:t xml:space="preserve">Plan </w:t>
      </w:r>
      <w:r w:rsidRPr="00457540">
        <w:rPr>
          <w:sz w:val="20"/>
          <w:szCs w:val="20"/>
        </w:rPr>
        <w:t>of Distribution.</w:t>
      </w:r>
      <w:r w:rsidR="00457540" w:rsidRPr="00457540">
        <w:rPr>
          <w:sz w:val="20"/>
          <w:szCs w:val="20"/>
        </w:rPr>
        <w:t>”</w:t>
      </w:r>
    </w:p>
    <w:p w14:paraId="7CC58172" w14:textId="77777777" w:rsidR="0087113F" w:rsidRDefault="004837DC">
      <w:pPr>
        <w:rPr>
          <w:sz w:val="20"/>
          <w:szCs w:val="20"/>
        </w:rPr>
      </w:pPr>
      <w:r>
        <w:rPr>
          <w:sz w:val="20"/>
          <w:szCs w:val="20"/>
        </w:rPr>
        <w:t> </w:t>
      </w:r>
    </w:p>
    <w:tbl>
      <w:tblPr>
        <w:tblW w:w="4351" w:type="pct"/>
        <w:tblCellMar>
          <w:left w:w="0" w:type="dxa"/>
          <w:right w:w="0" w:type="dxa"/>
        </w:tblCellMar>
        <w:tblLook w:val="04A0" w:firstRow="1" w:lastRow="0" w:firstColumn="1" w:lastColumn="0" w:noHBand="0" w:noVBand="1"/>
      </w:tblPr>
      <w:tblGrid>
        <w:gridCol w:w="1800"/>
        <w:gridCol w:w="50"/>
        <w:gridCol w:w="98"/>
        <w:gridCol w:w="1760"/>
        <w:gridCol w:w="50"/>
        <w:gridCol w:w="50"/>
        <w:gridCol w:w="120"/>
        <w:gridCol w:w="2168"/>
        <w:gridCol w:w="50"/>
        <w:gridCol w:w="50"/>
        <w:gridCol w:w="106"/>
        <w:gridCol w:w="1693"/>
        <w:gridCol w:w="50"/>
        <w:gridCol w:w="50"/>
        <w:gridCol w:w="50"/>
      </w:tblGrid>
      <w:tr w:rsidR="00CB5BE2" w:rsidRPr="00F92A01" w14:paraId="38D0402B" w14:textId="77777777" w:rsidTr="00F92A01">
        <w:trPr>
          <w:gridAfter w:val="1"/>
          <w:cantSplit/>
        </w:trPr>
        <w:tc>
          <w:tcPr>
            <w:tcW w:w="1105" w:type="pct"/>
            <w:tcBorders>
              <w:bottom w:val="single" w:sz="12" w:space="0" w:color="000000"/>
            </w:tcBorders>
            <w:shd w:val="clear" w:color="auto" w:fill="auto"/>
            <w:tcMar>
              <w:top w:w="0" w:type="dxa"/>
              <w:left w:w="0" w:type="dxa"/>
              <w:bottom w:w="0" w:type="dxa"/>
              <w:right w:w="0" w:type="dxa"/>
            </w:tcMar>
            <w:vAlign w:val="bottom"/>
            <w:hideMark/>
          </w:tcPr>
          <w:p w14:paraId="4003FFF4" w14:textId="77777777" w:rsidR="00F92A01" w:rsidRDefault="00CB5BE2" w:rsidP="00F92A01">
            <w:pPr>
              <w:jc w:val="center"/>
              <w:rPr>
                <w:b/>
                <w:bCs/>
                <w:color w:val="000000"/>
                <w:sz w:val="20"/>
                <w:szCs w:val="20"/>
              </w:rPr>
            </w:pPr>
            <w:r w:rsidRPr="00F92A01">
              <w:rPr>
                <w:b/>
                <w:bCs/>
                <w:color w:val="000000"/>
                <w:sz w:val="20"/>
                <w:szCs w:val="20"/>
              </w:rPr>
              <w:t>Selling</w:t>
            </w:r>
          </w:p>
          <w:p w14:paraId="747F121F" w14:textId="77777777" w:rsidR="00CB5BE2" w:rsidRPr="00F92A01" w:rsidRDefault="00CB5BE2" w:rsidP="00F92A01">
            <w:pPr>
              <w:jc w:val="center"/>
              <w:rPr>
                <w:b/>
                <w:bCs/>
                <w:color w:val="000000"/>
                <w:sz w:val="20"/>
                <w:szCs w:val="20"/>
              </w:rPr>
            </w:pPr>
            <w:r w:rsidRPr="00F92A01">
              <w:rPr>
                <w:b/>
                <w:bCs/>
                <w:color w:val="000000"/>
                <w:sz w:val="20"/>
                <w:szCs w:val="20"/>
              </w:rPr>
              <w:t>Stockholder</w:t>
            </w:r>
          </w:p>
        </w:tc>
        <w:tc>
          <w:tcPr>
            <w:tcW w:w="0" w:type="auto"/>
            <w:shd w:val="clear" w:color="auto" w:fill="auto"/>
            <w:tcMar>
              <w:top w:w="0" w:type="dxa"/>
              <w:left w:w="0" w:type="dxa"/>
              <w:bottom w:w="35" w:type="dxa"/>
              <w:right w:w="0" w:type="dxa"/>
            </w:tcMar>
            <w:vAlign w:val="bottom"/>
            <w:hideMark/>
          </w:tcPr>
          <w:p w14:paraId="49E73156" w14:textId="77777777" w:rsidR="00CB5BE2" w:rsidRPr="00F92A01" w:rsidRDefault="00CB5BE2">
            <w:pPr>
              <w:rPr>
                <w:b/>
                <w:bCs/>
                <w:color w:val="000000"/>
                <w:sz w:val="20"/>
                <w:szCs w:val="20"/>
              </w:rPr>
            </w:pPr>
            <w:r w:rsidRPr="00F92A01">
              <w:rPr>
                <w:b/>
                <w:bCs/>
                <w:color w:val="000000"/>
                <w:sz w:val="20"/>
                <w:szCs w:val="20"/>
              </w:rPr>
              <w:t> </w:t>
            </w:r>
          </w:p>
        </w:tc>
        <w:tc>
          <w:tcPr>
            <w:tcW w:w="0" w:type="auto"/>
            <w:gridSpan w:val="2"/>
            <w:tcBorders>
              <w:bottom w:val="single" w:sz="12" w:space="0" w:color="000000"/>
            </w:tcBorders>
            <w:shd w:val="clear" w:color="auto" w:fill="auto"/>
            <w:tcMar>
              <w:top w:w="0" w:type="dxa"/>
              <w:left w:w="0" w:type="dxa"/>
              <w:bottom w:w="0" w:type="dxa"/>
              <w:right w:w="0" w:type="dxa"/>
            </w:tcMar>
            <w:vAlign w:val="bottom"/>
            <w:hideMark/>
          </w:tcPr>
          <w:p w14:paraId="455C96AB" w14:textId="77777777" w:rsidR="00CB5BE2" w:rsidRPr="00F92A01" w:rsidRDefault="00CB5BE2">
            <w:pPr>
              <w:jc w:val="center"/>
              <w:rPr>
                <w:b/>
                <w:bCs/>
                <w:color w:val="000000"/>
                <w:sz w:val="20"/>
                <w:szCs w:val="20"/>
              </w:rPr>
            </w:pPr>
            <w:r w:rsidRPr="00F92A01">
              <w:rPr>
                <w:b/>
                <w:bCs/>
                <w:color w:val="000000"/>
                <w:sz w:val="20"/>
                <w:szCs w:val="20"/>
              </w:rPr>
              <w:t>Number of Shares of Common Stock Owned Prior to Offering</w:t>
            </w:r>
          </w:p>
        </w:tc>
        <w:tc>
          <w:tcPr>
            <w:tcW w:w="0" w:type="auto"/>
            <w:shd w:val="clear" w:color="auto" w:fill="auto"/>
            <w:tcMar>
              <w:top w:w="0" w:type="dxa"/>
              <w:left w:w="0" w:type="dxa"/>
              <w:bottom w:w="35" w:type="dxa"/>
              <w:right w:w="0" w:type="dxa"/>
            </w:tcMar>
            <w:vAlign w:val="bottom"/>
            <w:hideMark/>
          </w:tcPr>
          <w:p w14:paraId="0C0D0394" w14:textId="77777777" w:rsidR="00CB5BE2" w:rsidRPr="00F92A01" w:rsidRDefault="00CB5BE2">
            <w:pPr>
              <w:rPr>
                <w:b/>
                <w:bCs/>
                <w:color w:val="000000"/>
                <w:sz w:val="20"/>
                <w:szCs w:val="20"/>
              </w:rPr>
            </w:pPr>
            <w:r w:rsidRPr="00F92A01">
              <w:rPr>
                <w:b/>
                <w:bCs/>
                <w:color w:val="000000"/>
                <w:sz w:val="20"/>
                <w:szCs w:val="20"/>
              </w:rPr>
              <w:t> </w:t>
            </w:r>
          </w:p>
        </w:tc>
        <w:tc>
          <w:tcPr>
            <w:tcW w:w="0" w:type="auto"/>
            <w:shd w:val="clear" w:color="auto" w:fill="auto"/>
            <w:tcMar>
              <w:top w:w="0" w:type="dxa"/>
              <w:left w:w="0" w:type="dxa"/>
              <w:bottom w:w="35" w:type="dxa"/>
              <w:right w:w="0" w:type="dxa"/>
            </w:tcMar>
            <w:vAlign w:val="bottom"/>
            <w:hideMark/>
          </w:tcPr>
          <w:p w14:paraId="6A4EF5FE" w14:textId="77777777" w:rsidR="00CB5BE2" w:rsidRPr="00F92A01" w:rsidRDefault="00CB5BE2">
            <w:pPr>
              <w:rPr>
                <w:b/>
                <w:bCs/>
                <w:color w:val="000000"/>
                <w:sz w:val="20"/>
                <w:szCs w:val="20"/>
              </w:rPr>
            </w:pPr>
            <w:r w:rsidRPr="00F92A01">
              <w:rPr>
                <w:b/>
                <w:bCs/>
                <w:color w:val="000000"/>
                <w:sz w:val="20"/>
                <w:szCs w:val="20"/>
              </w:rPr>
              <w:t> </w:t>
            </w:r>
          </w:p>
        </w:tc>
        <w:tc>
          <w:tcPr>
            <w:tcW w:w="0" w:type="auto"/>
            <w:gridSpan w:val="2"/>
            <w:tcBorders>
              <w:bottom w:val="single" w:sz="12" w:space="0" w:color="000000"/>
            </w:tcBorders>
            <w:shd w:val="clear" w:color="auto" w:fill="auto"/>
            <w:tcMar>
              <w:top w:w="0" w:type="dxa"/>
              <w:left w:w="0" w:type="dxa"/>
              <w:bottom w:w="0" w:type="dxa"/>
              <w:right w:w="0" w:type="dxa"/>
            </w:tcMar>
            <w:vAlign w:val="bottom"/>
            <w:hideMark/>
          </w:tcPr>
          <w:p w14:paraId="723FF813" w14:textId="77777777" w:rsidR="00CB5BE2" w:rsidRPr="00F92A01" w:rsidRDefault="00CB5BE2">
            <w:pPr>
              <w:jc w:val="center"/>
              <w:rPr>
                <w:b/>
                <w:bCs/>
                <w:color w:val="000000"/>
                <w:sz w:val="20"/>
                <w:szCs w:val="20"/>
              </w:rPr>
            </w:pPr>
            <w:r w:rsidRPr="00F92A01">
              <w:rPr>
                <w:b/>
                <w:bCs/>
                <w:color w:val="000000"/>
                <w:sz w:val="20"/>
                <w:szCs w:val="20"/>
              </w:rPr>
              <w:t>Maximum Number of Shares of Common Stock to be Sold Pursuant to this Prospectus</w:t>
            </w:r>
          </w:p>
        </w:tc>
        <w:tc>
          <w:tcPr>
            <w:tcW w:w="0" w:type="auto"/>
            <w:shd w:val="clear" w:color="auto" w:fill="auto"/>
            <w:tcMar>
              <w:top w:w="0" w:type="dxa"/>
              <w:left w:w="0" w:type="dxa"/>
              <w:bottom w:w="35" w:type="dxa"/>
              <w:right w:w="0" w:type="dxa"/>
            </w:tcMar>
            <w:vAlign w:val="bottom"/>
            <w:hideMark/>
          </w:tcPr>
          <w:p w14:paraId="1B1CD2D6" w14:textId="77777777" w:rsidR="00CB5BE2" w:rsidRPr="00F92A01" w:rsidRDefault="00CB5BE2">
            <w:pPr>
              <w:rPr>
                <w:b/>
                <w:bCs/>
                <w:color w:val="000000"/>
                <w:sz w:val="20"/>
                <w:szCs w:val="20"/>
              </w:rPr>
            </w:pPr>
            <w:r w:rsidRPr="00F92A01">
              <w:rPr>
                <w:b/>
                <w:bCs/>
                <w:color w:val="000000"/>
                <w:sz w:val="20"/>
                <w:szCs w:val="20"/>
              </w:rPr>
              <w:t> </w:t>
            </w:r>
          </w:p>
        </w:tc>
        <w:tc>
          <w:tcPr>
            <w:tcW w:w="0" w:type="auto"/>
            <w:shd w:val="clear" w:color="auto" w:fill="auto"/>
            <w:tcMar>
              <w:top w:w="0" w:type="dxa"/>
              <w:left w:w="0" w:type="dxa"/>
              <w:bottom w:w="35" w:type="dxa"/>
              <w:right w:w="0" w:type="dxa"/>
            </w:tcMar>
            <w:vAlign w:val="bottom"/>
            <w:hideMark/>
          </w:tcPr>
          <w:p w14:paraId="3BD11ECE" w14:textId="77777777" w:rsidR="00CB5BE2" w:rsidRPr="00F92A01" w:rsidRDefault="00CB5BE2">
            <w:pPr>
              <w:rPr>
                <w:b/>
                <w:bCs/>
                <w:color w:val="000000"/>
                <w:sz w:val="20"/>
                <w:szCs w:val="20"/>
              </w:rPr>
            </w:pPr>
            <w:r w:rsidRPr="00F92A01">
              <w:rPr>
                <w:b/>
                <w:bCs/>
                <w:color w:val="000000"/>
                <w:sz w:val="20"/>
                <w:szCs w:val="20"/>
              </w:rPr>
              <w:t> </w:t>
            </w:r>
          </w:p>
        </w:tc>
        <w:tc>
          <w:tcPr>
            <w:tcW w:w="0" w:type="auto"/>
            <w:gridSpan w:val="2"/>
            <w:tcBorders>
              <w:bottom w:val="single" w:sz="12" w:space="0" w:color="000000"/>
            </w:tcBorders>
            <w:shd w:val="clear" w:color="auto" w:fill="auto"/>
            <w:tcMar>
              <w:top w:w="0" w:type="dxa"/>
              <w:left w:w="0" w:type="dxa"/>
              <w:bottom w:w="0" w:type="dxa"/>
              <w:right w:w="0" w:type="dxa"/>
            </w:tcMar>
            <w:vAlign w:val="bottom"/>
            <w:hideMark/>
          </w:tcPr>
          <w:p w14:paraId="60978E1D" w14:textId="77777777" w:rsidR="00CB5BE2" w:rsidRPr="00F92A01" w:rsidRDefault="00CB5BE2">
            <w:pPr>
              <w:jc w:val="center"/>
              <w:rPr>
                <w:b/>
                <w:bCs/>
                <w:color w:val="000000"/>
                <w:sz w:val="20"/>
                <w:szCs w:val="20"/>
              </w:rPr>
            </w:pPr>
            <w:r w:rsidRPr="00F92A01">
              <w:rPr>
                <w:b/>
                <w:bCs/>
                <w:color w:val="000000"/>
                <w:sz w:val="20"/>
                <w:szCs w:val="20"/>
              </w:rPr>
              <w:t>Number of Shares of Common Stock Owned After the Offering</w:t>
            </w:r>
          </w:p>
        </w:tc>
        <w:tc>
          <w:tcPr>
            <w:tcW w:w="0" w:type="auto"/>
            <w:shd w:val="clear" w:color="auto" w:fill="auto"/>
            <w:tcMar>
              <w:top w:w="0" w:type="dxa"/>
              <w:left w:w="0" w:type="dxa"/>
              <w:bottom w:w="35" w:type="dxa"/>
              <w:right w:w="0" w:type="dxa"/>
            </w:tcMar>
            <w:vAlign w:val="bottom"/>
            <w:hideMark/>
          </w:tcPr>
          <w:p w14:paraId="3133E11A" w14:textId="77777777" w:rsidR="00CB5BE2" w:rsidRPr="00F92A01" w:rsidRDefault="00CB5BE2">
            <w:pPr>
              <w:rPr>
                <w:b/>
                <w:bCs/>
                <w:color w:val="000000"/>
                <w:sz w:val="20"/>
                <w:szCs w:val="20"/>
              </w:rPr>
            </w:pPr>
            <w:r w:rsidRPr="00F92A01">
              <w:rPr>
                <w:b/>
                <w:bCs/>
                <w:color w:val="000000"/>
                <w:sz w:val="20"/>
                <w:szCs w:val="20"/>
              </w:rPr>
              <w:t> </w:t>
            </w:r>
          </w:p>
        </w:tc>
        <w:tc>
          <w:tcPr>
            <w:tcW w:w="0" w:type="auto"/>
            <w:shd w:val="clear" w:color="auto" w:fill="auto"/>
            <w:tcMar>
              <w:top w:w="0" w:type="dxa"/>
              <w:left w:w="0" w:type="dxa"/>
              <w:bottom w:w="35" w:type="dxa"/>
              <w:right w:w="0" w:type="dxa"/>
            </w:tcMar>
            <w:vAlign w:val="bottom"/>
            <w:hideMark/>
          </w:tcPr>
          <w:p w14:paraId="2E4F71DF" w14:textId="77777777" w:rsidR="00CB5BE2" w:rsidRPr="00F92A01" w:rsidRDefault="00CB5BE2">
            <w:pPr>
              <w:rPr>
                <w:b/>
                <w:bCs/>
                <w:color w:val="000000"/>
                <w:sz w:val="20"/>
                <w:szCs w:val="20"/>
              </w:rPr>
            </w:pPr>
            <w:r w:rsidRPr="00F92A01">
              <w:rPr>
                <w:b/>
                <w:bCs/>
                <w:color w:val="000000"/>
                <w:sz w:val="20"/>
                <w:szCs w:val="20"/>
              </w:rPr>
              <w:t> </w:t>
            </w:r>
          </w:p>
        </w:tc>
      </w:tr>
      <w:tr w:rsidR="0033650D" w14:paraId="4C6FD394" w14:textId="77777777" w:rsidTr="006764F0">
        <w:trPr>
          <w:cantSplit/>
        </w:trPr>
        <w:tc>
          <w:tcPr>
            <w:tcW w:w="1105" w:type="pct"/>
            <w:shd w:val="clear" w:color="auto" w:fill="auto"/>
            <w:tcMar>
              <w:top w:w="0" w:type="dxa"/>
              <w:left w:w="0" w:type="dxa"/>
              <w:bottom w:w="0" w:type="dxa"/>
              <w:right w:w="0" w:type="dxa"/>
            </w:tcMar>
            <w:vAlign w:val="bottom"/>
            <w:hideMark/>
          </w:tcPr>
          <w:p w14:paraId="7FC6C52F" w14:textId="77777777" w:rsidR="0033650D" w:rsidRPr="00F92A01" w:rsidRDefault="0033650D" w:rsidP="006764F0">
            <w:pPr>
              <w:rPr>
                <w:color w:val="000000"/>
                <w:sz w:val="20"/>
                <w:szCs w:val="20"/>
              </w:rPr>
            </w:pPr>
            <w:r w:rsidRPr="00F92A01">
              <w:rPr>
                <w:color w:val="000000"/>
                <w:sz w:val="20"/>
                <w:szCs w:val="20"/>
              </w:rPr>
              <w:t xml:space="preserve">Armistice Capital Master Fund Ltd. </w:t>
            </w:r>
            <w:r w:rsidRPr="00F92A01">
              <w:rPr>
                <w:color w:val="000000"/>
                <w:sz w:val="25"/>
                <w:szCs w:val="25"/>
                <w:vertAlign w:val="superscript"/>
              </w:rPr>
              <w:t>(1)</w:t>
            </w:r>
          </w:p>
        </w:tc>
        <w:tc>
          <w:tcPr>
            <w:tcW w:w="0" w:type="auto"/>
            <w:shd w:val="clear" w:color="auto" w:fill="auto"/>
            <w:tcMar>
              <w:top w:w="0" w:type="dxa"/>
              <w:left w:w="0" w:type="dxa"/>
              <w:bottom w:w="0" w:type="dxa"/>
              <w:right w:w="0" w:type="dxa"/>
            </w:tcMar>
            <w:vAlign w:val="bottom"/>
            <w:hideMark/>
          </w:tcPr>
          <w:p w14:paraId="0787A0A0" w14:textId="77777777" w:rsidR="0033650D" w:rsidRPr="00F92A01" w:rsidRDefault="0033650D" w:rsidP="006764F0">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7929DA09" w14:textId="77777777" w:rsidR="0033650D" w:rsidRPr="00F92A01" w:rsidRDefault="0033650D" w:rsidP="006764F0">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559E8926" w14:textId="0246B465" w:rsidR="0033650D" w:rsidRPr="00F92A01" w:rsidRDefault="001B2F27" w:rsidP="006764F0">
            <w:pPr>
              <w:jc w:val="right"/>
              <w:rPr>
                <w:color w:val="000000"/>
                <w:sz w:val="20"/>
                <w:szCs w:val="20"/>
              </w:rPr>
            </w:pPr>
            <w:r>
              <w:rPr>
                <w:color w:val="000000"/>
                <w:sz w:val="20"/>
                <w:szCs w:val="20"/>
              </w:rPr>
              <w:t>24,279,608</w:t>
            </w:r>
          </w:p>
        </w:tc>
        <w:tc>
          <w:tcPr>
            <w:tcW w:w="0" w:type="auto"/>
            <w:shd w:val="clear" w:color="auto" w:fill="auto"/>
            <w:tcMar>
              <w:top w:w="0" w:type="dxa"/>
              <w:left w:w="0" w:type="dxa"/>
              <w:bottom w:w="0" w:type="dxa"/>
              <w:right w:w="0" w:type="dxa"/>
            </w:tcMar>
            <w:vAlign w:val="bottom"/>
            <w:hideMark/>
          </w:tcPr>
          <w:p w14:paraId="3E0056A3" w14:textId="77777777" w:rsidR="0033650D" w:rsidRPr="00F92A01" w:rsidRDefault="0033650D" w:rsidP="006764F0">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2E089145" w14:textId="77777777" w:rsidR="0033650D" w:rsidRPr="00F92A01" w:rsidRDefault="0033650D" w:rsidP="006764F0">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19B9C6AE" w14:textId="77777777" w:rsidR="0033650D" w:rsidRPr="00F92A01" w:rsidRDefault="0033650D" w:rsidP="006764F0">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0707C70C" w14:textId="77777777" w:rsidR="0033650D" w:rsidRPr="00F92A01" w:rsidRDefault="0033650D" w:rsidP="006764F0">
            <w:pPr>
              <w:jc w:val="right"/>
              <w:rPr>
                <w:color w:val="000000"/>
                <w:sz w:val="20"/>
                <w:szCs w:val="20"/>
              </w:rPr>
            </w:pPr>
            <w:r>
              <w:rPr>
                <w:color w:val="000000"/>
                <w:sz w:val="20"/>
                <w:szCs w:val="20"/>
              </w:rPr>
              <w:t>21,412,124</w:t>
            </w:r>
          </w:p>
        </w:tc>
        <w:tc>
          <w:tcPr>
            <w:tcW w:w="0" w:type="auto"/>
            <w:shd w:val="clear" w:color="auto" w:fill="auto"/>
            <w:tcMar>
              <w:top w:w="0" w:type="dxa"/>
              <w:left w:w="0" w:type="dxa"/>
              <w:bottom w:w="0" w:type="dxa"/>
              <w:right w:w="0" w:type="dxa"/>
            </w:tcMar>
            <w:vAlign w:val="bottom"/>
            <w:hideMark/>
          </w:tcPr>
          <w:p w14:paraId="506BD5EC" w14:textId="77777777" w:rsidR="0033650D" w:rsidRPr="00F92A01" w:rsidRDefault="0033650D" w:rsidP="006764F0">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53FAB246" w14:textId="77777777" w:rsidR="0033650D" w:rsidRPr="00F92A01" w:rsidRDefault="0033650D" w:rsidP="006764F0">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539604B7" w14:textId="77777777" w:rsidR="0033650D" w:rsidRPr="00F92A01" w:rsidRDefault="0033650D" w:rsidP="006764F0">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3D3FBFCA" w14:textId="6D83421B" w:rsidR="0033650D" w:rsidRPr="00F92A01" w:rsidRDefault="001B2F27" w:rsidP="006764F0">
            <w:pPr>
              <w:jc w:val="right"/>
              <w:rPr>
                <w:color w:val="000000"/>
                <w:sz w:val="20"/>
                <w:szCs w:val="20"/>
              </w:rPr>
            </w:pPr>
            <w:r>
              <w:rPr>
                <w:color w:val="000000"/>
                <w:sz w:val="20"/>
                <w:szCs w:val="20"/>
              </w:rPr>
              <w:t>3,067,484</w:t>
            </w:r>
            <w:r w:rsidR="0033650D">
              <w:rPr>
                <w:color w:val="000000"/>
                <w:sz w:val="20"/>
                <w:szCs w:val="20"/>
              </w:rPr>
              <w:t xml:space="preserve"> </w:t>
            </w:r>
          </w:p>
        </w:tc>
        <w:tc>
          <w:tcPr>
            <w:tcW w:w="0" w:type="auto"/>
            <w:shd w:val="clear" w:color="auto" w:fill="auto"/>
            <w:tcMar>
              <w:top w:w="0" w:type="dxa"/>
              <w:left w:w="0" w:type="dxa"/>
              <w:bottom w:w="0" w:type="dxa"/>
              <w:right w:w="0" w:type="dxa"/>
            </w:tcMar>
            <w:vAlign w:val="bottom"/>
            <w:hideMark/>
          </w:tcPr>
          <w:p w14:paraId="51AD8405" w14:textId="77777777" w:rsidR="0033650D" w:rsidRDefault="0033650D" w:rsidP="006764F0">
            <w:pPr>
              <w:rPr>
                <w:color w:val="000000"/>
                <w:sz w:val="20"/>
                <w:szCs w:val="20"/>
              </w:rPr>
            </w:pPr>
            <w:r>
              <w:rPr>
                <w:color w:val="000000"/>
                <w:sz w:val="20"/>
                <w:szCs w:val="20"/>
              </w:rPr>
              <w:t> </w:t>
            </w:r>
          </w:p>
        </w:tc>
        <w:tc>
          <w:tcPr>
            <w:tcW w:w="0" w:type="auto"/>
            <w:shd w:val="clear" w:color="auto" w:fill="auto"/>
            <w:tcMar>
              <w:top w:w="0" w:type="dxa"/>
              <w:left w:w="0" w:type="dxa"/>
              <w:bottom w:w="0" w:type="dxa"/>
              <w:right w:w="0" w:type="dxa"/>
            </w:tcMar>
            <w:vAlign w:val="bottom"/>
            <w:hideMark/>
          </w:tcPr>
          <w:p w14:paraId="08AE9347" w14:textId="77777777" w:rsidR="0033650D" w:rsidRDefault="0033650D" w:rsidP="006764F0">
            <w:pPr>
              <w:rPr>
                <w:color w:val="000000"/>
                <w:sz w:val="20"/>
                <w:szCs w:val="20"/>
              </w:rPr>
            </w:pPr>
            <w:r>
              <w:rPr>
                <w:color w:val="000000"/>
                <w:sz w:val="20"/>
                <w:szCs w:val="20"/>
              </w:rPr>
              <w:t> </w:t>
            </w:r>
          </w:p>
        </w:tc>
        <w:tc>
          <w:tcPr>
            <w:tcW w:w="0" w:type="auto"/>
            <w:shd w:val="clear" w:color="auto" w:fill="auto"/>
            <w:tcMar>
              <w:top w:w="0" w:type="dxa"/>
              <w:left w:w="0" w:type="dxa"/>
              <w:bottom w:w="0" w:type="dxa"/>
              <w:right w:w="0" w:type="dxa"/>
            </w:tcMar>
            <w:vAlign w:val="bottom"/>
            <w:hideMark/>
          </w:tcPr>
          <w:p w14:paraId="2C54CE01" w14:textId="77777777" w:rsidR="0033650D" w:rsidRDefault="0033650D" w:rsidP="006764F0">
            <w:pPr>
              <w:rPr>
                <w:color w:val="000000"/>
                <w:sz w:val="20"/>
                <w:szCs w:val="20"/>
              </w:rPr>
            </w:pPr>
            <w:r>
              <w:rPr>
                <w:color w:val="000000"/>
                <w:sz w:val="20"/>
                <w:szCs w:val="20"/>
              </w:rPr>
              <w:t> </w:t>
            </w:r>
          </w:p>
        </w:tc>
      </w:tr>
      <w:tr w:rsidR="00CB5BE2" w14:paraId="59769F38" w14:textId="77777777" w:rsidTr="00F92A01">
        <w:trPr>
          <w:cantSplit/>
        </w:trPr>
        <w:tc>
          <w:tcPr>
            <w:tcW w:w="1105" w:type="pct"/>
            <w:shd w:val="clear" w:color="auto" w:fill="auto"/>
            <w:tcMar>
              <w:top w:w="0" w:type="dxa"/>
              <w:left w:w="0" w:type="dxa"/>
              <w:bottom w:w="0" w:type="dxa"/>
              <w:right w:w="0" w:type="dxa"/>
            </w:tcMar>
            <w:vAlign w:val="bottom"/>
            <w:hideMark/>
          </w:tcPr>
          <w:p w14:paraId="283A8864" w14:textId="7A776438" w:rsidR="00CB5BE2" w:rsidRPr="00F92A01" w:rsidRDefault="0033650D" w:rsidP="0033650D">
            <w:pPr>
              <w:rPr>
                <w:color w:val="000000"/>
                <w:sz w:val="20"/>
                <w:szCs w:val="20"/>
              </w:rPr>
            </w:pPr>
            <w:r>
              <w:rPr>
                <w:color w:val="000000"/>
                <w:sz w:val="20"/>
                <w:szCs w:val="20"/>
              </w:rPr>
              <w:t xml:space="preserve">Maxim Partners LLC </w:t>
            </w:r>
            <w:r w:rsidRPr="0033650D">
              <w:rPr>
                <w:color w:val="000000"/>
                <w:sz w:val="20"/>
                <w:szCs w:val="20"/>
                <w:vertAlign w:val="superscript"/>
              </w:rPr>
              <w:t>(</w:t>
            </w:r>
            <w:r w:rsidR="00A66043">
              <w:rPr>
                <w:color w:val="000000"/>
                <w:sz w:val="20"/>
                <w:szCs w:val="20"/>
                <w:vertAlign w:val="superscript"/>
              </w:rPr>
              <w:t>2</w:t>
            </w:r>
            <w:r w:rsidRPr="0033650D">
              <w:rPr>
                <w:color w:val="000000"/>
                <w:sz w:val="20"/>
                <w:szCs w:val="20"/>
                <w:vertAlign w:val="superscript"/>
              </w:rPr>
              <w:t>)</w:t>
            </w:r>
          </w:p>
        </w:tc>
        <w:tc>
          <w:tcPr>
            <w:tcW w:w="0" w:type="auto"/>
            <w:shd w:val="clear" w:color="auto" w:fill="auto"/>
            <w:tcMar>
              <w:top w:w="0" w:type="dxa"/>
              <w:left w:w="0" w:type="dxa"/>
              <w:bottom w:w="0" w:type="dxa"/>
              <w:right w:w="0" w:type="dxa"/>
            </w:tcMar>
            <w:vAlign w:val="bottom"/>
            <w:hideMark/>
          </w:tcPr>
          <w:p w14:paraId="688F24D7" w14:textId="77777777" w:rsidR="00CB5BE2" w:rsidRPr="00F92A01" w:rsidRDefault="00CB5BE2">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56853501" w14:textId="77777777" w:rsidR="00CB5BE2" w:rsidRPr="00F92A01" w:rsidRDefault="00CB5BE2">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4F4F4C97" w14:textId="5F8C0796" w:rsidR="00CB5BE2" w:rsidRPr="00F92A01" w:rsidRDefault="001B2F27">
            <w:pPr>
              <w:jc w:val="right"/>
              <w:rPr>
                <w:color w:val="000000"/>
                <w:sz w:val="20"/>
                <w:szCs w:val="20"/>
              </w:rPr>
            </w:pPr>
            <w:r>
              <w:rPr>
                <w:color w:val="000000"/>
                <w:sz w:val="20"/>
                <w:szCs w:val="20"/>
              </w:rPr>
              <w:t>200,000</w:t>
            </w:r>
          </w:p>
        </w:tc>
        <w:tc>
          <w:tcPr>
            <w:tcW w:w="0" w:type="auto"/>
            <w:shd w:val="clear" w:color="auto" w:fill="auto"/>
            <w:tcMar>
              <w:top w:w="0" w:type="dxa"/>
              <w:left w:w="0" w:type="dxa"/>
              <w:bottom w:w="0" w:type="dxa"/>
              <w:right w:w="0" w:type="dxa"/>
            </w:tcMar>
            <w:vAlign w:val="bottom"/>
            <w:hideMark/>
          </w:tcPr>
          <w:p w14:paraId="303A25E8" w14:textId="77777777" w:rsidR="00CB5BE2" w:rsidRPr="00F92A01" w:rsidRDefault="00CB5BE2">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41CD0215" w14:textId="77777777" w:rsidR="00CB5BE2" w:rsidRPr="00F92A01" w:rsidRDefault="00CB5BE2">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70D5C06F" w14:textId="77777777" w:rsidR="00CB5BE2" w:rsidRPr="00F92A01" w:rsidRDefault="00CB5BE2">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5344563D" w14:textId="059038C9" w:rsidR="00CB5BE2" w:rsidRPr="00F92A01" w:rsidRDefault="00A66043" w:rsidP="0091389D">
            <w:pPr>
              <w:jc w:val="right"/>
              <w:rPr>
                <w:color w:val="000000"/>
                <w:sz w:val="20"/>
                <w:szCs w:val="20"/>
              </w:rPr>
            </w:pPr>
            <w:r>
              <w:rPr>
                <w:color w:val="000000"/>
                <w:sz w:val="20"/>
                <w:szCs w:val="20"/>
              </w:rPr>
              <w:t>200</w:t>
            </w:r>
            <w:r w:rsidR="0033650D">
              <w:rPr>
                <w:color w:val="000000"/>
                <w:sz w:val="20"/>
                <w:szCs w:val="20"/>
              </w:rPr>
              <w:t>,000</w:t>
            </w:r>
          </w:p>
        </w:tc>
        <w:tc>
          <w:tcPr>
            <w:tcW w:w="0" w:type="auto"/>
            <w:shd w:val="clear" w:color="auto" w:fill="auto"/>
            <w:tcMar>
              <w:top w:w="0" w:type="dxa"/>
              <w:left w:w="0" w:type="dxa"/>
              <w:bottom w:w="0" w:type="dxa"/>
              <w:right w:w="0" w:type="dxa"/>
            </w:tcMar>
            <w:vAlign w:val="bottom"/>
            <w:hideMark/>
          </w:tcPr>
          <w:p w14:paraId="7FAD3BFF" w14:textId="77777777" w:rsidR="00CB5BE2" w:rsidRPr="00F92A01" w:rsidRDefault="00CB5BE2">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33E39DAC" w14:textId="77777777" w:rsidR="00CB5BE2" w:rsidRPr="00F92A01" w:rsidRDefault="00CB5BE2">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3E24A906" w14:textId="77777777" w:rsidR="00CB5BE2" w:rsidRPr="00F92A01" w:rsidRDefault="00CB5BE2">
            <w:pPr>
              <w:rPr>
                <w:color w:val="000000"/>
                <w:sz w:val="20"/>
                <w:szCs w:val="20"/>
              </w:rPr>
            </w:pPr>
            <w:r w:rsidRPr="00F92A01">
              <w:rPr>
                <w:color w:val="000000"/>
                <w:sz w:val="20"/>
                <w:szCs w:val="20"/>
              </w:rPr>
              <w:t> </w:t>
            </w:r>
          </w:p>
        </w:tc>
        <w:tc>
          <w:tcPr>
            <w:tcW w:w="0" w:type="auto"/>
            <w:shd w:val="clear" w:color="auto" w:fill="auto"/>
            <w:tcMar>
              <w:top w:w="0" w:type="dxa"/>
              <w:left w:w="0" w:type="dxa"/>
              <w:bottom w:w="0" w:type="dxa"/>
              <w:right w:w="0" w:type="dxa"/>
            </w:tcMar>
            <w:vAlign w:val="bottom"/>
            <w:hideMark/>
          </w:tcPr>
          <w:p w14:paraId="1F752758" w14:textId="08DF27BA" w:rsidR="00CB5BE2" w:rsidRPr="00F92A01" w:rsidRDefault="00874A1D" w:rsidP="00F92A01">
            <w:pPr>
              <w:jc w:val="right"/>
              <w:rPr>
                <w:color w:val="000000"/>
                <w:sz w:val="20"/>
                <w:szCs w:val="20"/>
              </w:rPr>
            </w:pPr>
            <w:r>
              <w:rPr>
                <w:color w:val="000000"/>
                <w:sz w:val="20"/>
                <w:szCs w:val="20"/>
              </w:rPr>
              <w:t>-0-</w:t>
            </w:r>
            <w:r w:rsidR="00F92A01">
              <w:rPr>
                <w:color w:val="000000"/>
                <w:sz w:val="20"/>
                <w:szCs w:val="20"/>
              </w:rPr>
              <w:t xml:space="preserve"> </w:t>
            </w:r>
          </w:p>
        </w:tc>
        <w:tc>
          <w:tcPr>
            <w:tcW w:w="0" w:type="auto"/>
            <w:shd w:val="clear" w:color="auto" w:fill="auto"/>
            <w:tcMar>
              <w:top w:w="0" w:type="dxa"/>
              <w:left w:w="0" w:type="dxa"/>
              <w:bottom w:w="0" w:type="dxa"/>
              <w:right w:w="0" w:type="dxa"/>
            </w:tcMar>
            <w:vAlign w:val="bottom"/>
            <w:hideMark/>
          </w:tcPr>
          <w:p w14:paraId="6C731E7A" w14:textId="062A947F" w:rsidR="00CB5BE2" w:rsidRDefault="00CB5BE2">
            <w:pPr>
              <w:rPr>
                <w:color w:val="000000"/>
                <w:sz w:val="20"/>
                <w:szCs w:val="20"/>
              </w:rPr>
            </w:pPr>
            <w:r>
              <w:rPr>
                <w:color w:val="000000"/>
                <w:sz w:val="20"/>
                <w:szCs w:val="20"/>
              </w:rPr>
              <w:t> </w:t>
            </w:r>
          </w:p>
        </w:tc>
        <w:tc>
          <w:tcPr>
            <w:tcW w:w="0" w:type="auto"/>
            <w:shd w:val="clear" w:color="auto" w:fill="auto"/>
            <w:tcMar>
              <w:top w:w="0" w:type="dxa"/>
              <w:left w:w="0" w:type="dxa"/>
              <w:bottom w:w="0" w:type="dxa"/>
              <w:right w:w="0" w:type="dxa"/>
            </w:tcMar>
            <w:vAlign w:val="bottom"/>
            <w:hideMark/>
          </w:tcPr>
          <w:p w14:paraId="1765216A" w14:textId="77777777" w:rsidR="00CB5BE2" w:rsidRDefault="00CB5BE2">
            <w:pPr>
              <w:rPr>
                <w:color w:val="000000"/>
                <w:sz w:val="20"/>
                <w:szCs w:val="20"/>
              </w:rPr>
            </w:pPr>
            <w:r>
              <w:rPr>
                <w:color w:val="000000"/>
                <w:sz w:val="20"/>
                <w:szCs w:val="20"/>
              </w:rPr>
              <w:t> </w:t>
            </w:r>
          </w:p>
        </w:tc>
        <w:tc>
          <w:tcPr>
            <w:tcW w:w="0" w:type="auto"/>
            <w:shd w:val="clear" w:color="auto" w:fill="auto"/>
            <w:tcMar>
              <w:top w:w="0" w:type="dxa"/>
              <w:left w:w="0" w:type="dxa"/>
              <w:bottom w:w="0" w:type="dxa"/>
              <w:right w:w="0" w:type="dxa"/>
            </w:tcMar>
            <w:vAlign w:val="bottom"/>
            <w:hideMark/>
          </w:tcPr>
          <w:p w14:paraId="1DBF92FC" w14:textId="77777777" w:rsidR="00CB5BE2" w:rsidRDefault="00CB5BE2">
            <w:pPr>
              <w:rPr>
                <w:color w:val="000000"/>
                <w:sz w:val="20"/>
                <w:szCs w:val="20"/>
              </w:rPr>
            </w:pPr>
            <w:r>
              <w:rPr>
                <w:color w:val="000000"/>
                <w:sz w:val="20"/>
                <w:szCs w:val="20"/>
              </w:rPr>
              <w:t> </w:t>
            </w:r>
          </w:p>
        </w:tc>
      </w:tr>
    </w:tbl>
    <w:p w14:paraId="638C2437" w14:textId="77777777" w:rsidR="00014F1D" w:rsidRDefault="00014F1D">
      <w:pPr>
        <w:rPr>
          <w:sz w:val="20"/>
          <w:szCs w:val="20"/>
        </w:rPr>
      </w:pPr>
    </w:p>
    <w:tbl>
      <w:tblPr>
        <w:tblW w:w="5000" w:type="pct"/>
        <w:tblCellMar>
          <w:left w:w="0" w:type="dxa"/>
          <w:right w:w="0" w:type="dxa"/>
        </w:tblCellMar>
        <w:tblLook w:val="04A0" w:firstRow="1" w:lastRow="0" w:firstColumn="1" w:lastColumn="0" w:noHBand="0" w:noVBand="1"/>
      </w:tblPr>
      <w:tblGrid>
        <w:gridCol w:w="210"/>
        <w:gridCol w:w="9150"/>
      </w:tblGrid>
      <w:tr w:rsidR="0033650D" w:rsidRPr="00014F1D" w14:paraId="1B5E5283" w14:textId="77777777" w:rsidTr="006764F0">
        <w:trPr>
          <w:cantSplit/>
        </w:trPr>
        <w:tc>
          <w:tcPr>
            <w:tcW w:w="0" w:type="auto"/>
            <w:tcMar>
              <w:top w:w="0" w:type="dxa"/>
              <w:left w:w="0" w:type="dxa"/>
              <w:bottom w:w="0" w:type="dxa"/>
              <w:right w:w="0" w:type="dxa"/>
            </w:tcMar>
            <w:hideMark/>
          </w:tcPr>
          <w:p w14:paraId="68121222" w14:textId="77777777" w:rsidR="0033650D" w:rsidRPr="00014F1D" w:rsidRDefault="0033650D" w:rsidP="006764F0">
            <w:pPr>
              <w:jc w:val="both"/>
              <w:rPr>
                <w:color w:val="000000"/>
                <w:sz w:val="18"/>
                <w:szCs w:val="18"/>
              </w:rPr>
            </w:pPr>
            <w:r w:rsidRPr="00014F1D">
              <w:rPr>
                <w:color w:val="000000"/>
                <w:sz w:val="18"/>
                <w:szCs w:val="18"/>
              </w:rPr>
              <w:lastRenderedPageBreak/>
              <w:t>(1)</w:t>
            </w:r>
          </w:p>
        </w:tc>
        <w:tc>
          <w:tcPr>
            <w:tcW w:w="0" w:type="auto"/>
            <w:tcMar>
              <w:top w:w="0" w:type="dxa"/>
              <w:left w:w="0" w:type="dxa"/>
              <w:bottom w:w="0" w:type="dxa"/>
              <w:right w:w="0" w:type="dxa"/>
            </w:tcMar>
            <w:hideMark/>
          </w:tcPr>
          <w:p w14:paraId="184E92E6" w14:textId="4225BA51" w:rsidR="0033650D" w:rsidRDefault="0033650D" w:rsidP="006764F0">
            <w:pPr>
              <w:jc w:val="both"/>
              <w:rPr>
                <w:color w:val="000000"/>
                <w:sz w:val="18"/>
                <w:szCs w:val="18"/>
              </w:rPr>
            </w:pPr>
            <w:r w:rsidRPr="00014F1D">
              <w:rPr>
                <w:color w:val="000000"/>
                <w:sz w:val="18"/>
                <w:szCs w:val="18"/>
              </w:rPr>
              <w:t xml:space="preserve"> The shares are directly held by </w:t>
            </w:r>
            <w:r>
              <w:rPr>
                <w:color w:val="000000"/>
                <w:sz w:val="18"/>
                <w:szCs w:val="18"/>
              </w:rPr>
              <w:t xml:space="preserve">Armistice </w:t>
            </w:r>
            <w:r w:rsidRPr="00014F1D">
              <w:rPr>
                <w:color w:val="000000"/>
                <w:sz w:val="18"/>
                <w:szCs w:val="18"/>
              </w:rPr>
              <w:t xml:space="preserve">and may be deemed to be indirectly beneficially owned by: (i) Armistice Capital, LLC (“Armistice Capital”), as the investment manager of </w:t>
            </w:r>
            <w:r>
              <w:rPr>
                <w:color w:val="000000"/>
                <w:sz w:val="18"/>
                <w:szCs w:val="18"/>
              </w:rPr>
              <w:t>Armistice</w:t>
            </w:r>
            <w:r w:rsidRPr="00014F1D">
              <w:rPr>
                <w:color w:val="000000"/>
                <w:sz w:val="18"/>
                <w:szCs w:val="18"/>
              </w:rPr>
              <w:t>; and (ii) Steven Boyd, as the Managing Member of Armistice Capital. Armistice Capital and Steven Boyd disclaim beneficial ownership of the securities except to the extent of their respective pecuniary interests therein.</w:t>
            </w:r>
            <w:r>
              <w:rPr>
                <w:color w:val="000000"/>
                <w:sz w:val="18"/>
                <w:szCs w:val="18"/>
              </w:rPr>
              <w:t xml:space="preserve"> </w:t>
            </w:r>
          </w:p>
          <w:p w14:paraId="19662E4A" w14:textId="77777777" w:rsidR="0033650D" w:rsidRDefault="0033650D" w:rsidP="006764F0">
            <w:pPr>
              <w:jc w:val="both"/>
              <w:rPr>
                <w:color w:val="000000"/>
                <w:sz w:val="18"/>
                <w:szCs w:val="18"/>
              </w:rPr>
            </w:pPr>
          </w:p>
          <w:p w14:paraId="000A9139" w14:textId="3B736E07" w:rsidR="0033650D" w:rsidRDefault="0033650D" w:rsidP="006764F0">
            <w:pPr>
              <w:jc w:val="both"/>
              <w:rPr>
                <w:color w:val="000000"/>
                <w:sz w:val="18"/>
                <w:szCs w:val="18"/>
              </w:rPr>
            </w:pPr>
            <w:r w:rsidRPr="005404CB">
              <w:rPr>
                <w:color w:val="000000"/>
                <w:sz w:val="18"/>
                <w:szCs w:val="18"/>
              </w:rPr>
              <w:t xml:space="preserve">The number of shares beneficially owned includes </w:t>
            </w:r>
            <w:r>
              <w:rPr>
                <w:color w:val="000000"/>
                <w:sz w:val="18"/>
                <w:szCs w:val="18"/>
              </w:rPr>
              <w:t xml:space="preserve">(i) 9,090,910 shares of common stock issuable upon the exercise of the Pre-Funded Warrants, (ii) 12,121,214 shares of common stock issuable upon exercise of the Preferred Investment Options, and (iii) </w:t>
            </w:r>
            <w:r w:rsidRPr="005404CB">
              <w:rPr>
                <w:color w:val="000000"/>
                <w:sz w:val="18"/>
                <w:szCs w:val="18"/>
              </w:rPr>
              <w:t xml:space="preserve">3,067,484 shares of common stock issuable upon the exercise of common warrants, </w:t>
            </w:r>
            <w:r>
              <w:rPr>
                <w:color w:val="000000"/>
                <w:sz w:val="18"/>
                <w:szCs w:val="18"/>
              </w:rPr>
              <w:t xml:space="preserve">each of </w:t>
            </w:r>
            <w:r w:rsidRPr="005404CB">
              <w:rPr>
                <w:color w:val="000000"/>
                <w:sz w:val="18"/>
                <w:szCs w:val="18"/>
              </w:rPr>
              <w:t>which are subject to beneficial ownership limitations that prohibit Armistice from exercising any portion of a warrant</w:t>
            </w:r>
            <w:r>
              <w:rPr>
                <w:color w:val="000000"/>
                <w:sz w:val="18"/>
                <w:szCs w:val="18"/>
              </w:rPr>
              <w:t xml:space="preserve"> and/or preferred investment option</w:t>
            </w:r>
            <w:r w:rsidRPr="005404CB">
              <w:rPr>
                <w:color w:val="000000"/>
                <w:sz w:val="18"/>
                <w:szCs w:val="18"/>
              </w:rPr>
              <w:t xml:space="preserve"> </w:t>
            </w:r>
            <w:r>
              <w:rPr>
                <w:color w:val="000000"/>
                <w:sz w:val="18"/>
                <w:szCs w:val="18"/>
              </w:rPr>
              <w:t xml:space="preserve">that </w:t>
            </w:r>
            <w:r w:rsidRPr="005404CB">
              <w:rPr>
                <w:color w:val="000000"/>
                <w:sz w:val="18"/>
                <w:szCs w:val="18"/>
              </w:rPr>
              <w:t>would result in Armistice owning a percentage of our outstanding common stock exceeding the ownership limitation</w:t>
            </w:r>
            <w:r>
              <w:rPr>
                <w:color w:val="000000"/>
                <w:sz w:val="18"/>
                <w:szCs w:val="18"/>
              </w:rPr>
              <w:t>s contained within each instrument (</w:t>
            </w:r>
            <w:r w:rsidR="000A4834">
              <w:rPr>
                <w:color w:val="000000"/>
                <w:sz w:val="18"/>
                <w:szCs w:val="18"/>
              </w:rPr>
              <w:t>9</w:t>
            </w:r>
            <w:r>
              <w:rPr>
                <w:color w:val="000000"/>
                <w:sz w:val="18"/>
                <w:szCs w:val="18"/>
              </w:rPr>
              <w:t xml:space="preserve">.99%, 4.99% and </w:t>
            </w:r>
            <w:r w:rsidR="000A4834">
              <w:rPr>
                <w:color w:val="000000"/>
                <w:sz w:val="18"/>
                <w:szCs w:val="18"/>
              </w:rPr>
              <w:t>4</w:t>
            </w:r>
            <w:r>
              <w:rPr>
                <w:color w:val="000000"/>
                <w:sz w:val="18"/>
                <w:szCs w:val="18"/>
              </w:rPr>
              <w:t xml:space="preserve">.99%, respectively) </w:t>
            </w:r>
            <w:r w:rsidRPr="005404CB">
              <w:rPr>
                <w:color w:val="000000"/>
                <w:sz w:val="18"/>
                <w:szCs w:val="18"/>
              </w:rPr>
              <w:t xml:space="preserve">after giving effect to the issuance of common stock in connection with Armistice’s exercise. The shares owned </w:t>
            </w:r>
            <w:r w:rsidR="001B2F27">
              <w:rPr>
                <w:color w:val="000000"/>
                <w:sz w:val="18"/>
                <w:szCs w:val="18"/>
              </w:rPr>
              <w:t xml:space="preserve">before and after this offering </w:t>
            </w:r>
            <w:r w:rsidRPr="005404CB">
              <w:rPr>
                <w:color w:val="000000"/>
                <w:sz w:val="18"/>
                <w:szCs w:val="18"/>
              </w:rPr>
              <w:t xml:space="preserve">assumes the exercise of all warrants </w:t>
            </w:r>
            <w:r w:rsidR="000A4834">
              <w:rPr>
                <w:color w:val="000000"/>
                <w:sz w:val="18"/>
                <w:szCs w:val="18"/>
              </w:rPr>
              <w:t xml:space="preserve">and preferred investment options </w:t>
            </w:r>
            <w:r w:rsidRPr="005404CB">
              <w:rPr>
                <w:color w:val="000000"/>
                <w:sz w:val="18"/>
                <w:szCs w:val="18"/>
              </w:rPr>
              <w:t xml:space="preserve">held by Armistice, </w:t>
            </w:r>
            <w:r w:rsidR="001B2F27">
              <w:rPr>
                <w:color w:val="000000"/>
                <w:sz w:val="18"/>
                <w:szCs w:val="18"/>
              </w:rPr>
              <w:t>notwithstanding the existence of</w:t>
            </w:r>
            <w:r w:rsidRPr="005404CB">
              <w:rPr>
                <w:color w:val="000000"/>
                <w:sz w:val="18"/>
                <w:szCs w:val="18"/>
              </w:rPr>
              <w:t xml:space="preserve"> the beneficial ownership limitations described above. The address of Armistice Capital Master Fund Ltd. is c/o Armistice Capital, LLC, 510 Madison Avenue, 7th Floor, New York, NY 10022</w:t>
            </w:r>
            <w:r>
              <w:rPr>
                <w:color w:val="000000"/>
                <w:sz w:val="18"/>
                <w:szCs w:val="18"/>
              </w:rPr>
              <w:t>.</w:t>
            </w:r>
          </w:p>
          <w:p w14:paraId="3071DDFF" w14:textId="77777777" w:rsidR="0033650D" w:rsidRPr="00014F1D" w:rsidRDefault="0033650D" w:rsidP="006764F0">
            <w:pPr>
              <w:jc w:val="both"/>
              <w:rPr>
                <w:color w:val="000000"/>
                <w:sz w:val="18"/>
                <w:szCs w:val="18"/>
              </w:rPr>
            </w:pPr>
          </w:p>
        </w:tc>
      </w:tr>
      <w:tr w:rsidR="00596F2E" w:rsidRPr="00014F1D" w14:paraId="24F0C137" w14:textId="77777777" w:rsidTr="00596F2E">
        <w:trPr>
          <w:cantSplit/>
        </w:trPr>
        <w:tc>
          <w:tcPr>
            <w:tcW w:w="0" w:type="auto"/>
            <w:tcMar>
              <w:top w:w="0" w:type="dxa"/>
              <w:left w:w="0" w:type="dxa"/>
              <w:bottom w:w="0" w:type="dxa"/>
              <w:right w:w="0" w:type="dxa"/>
            </w:tcMar>
            <w:hideMark/>
          </w:tcPr>
          <w:p w14:paraId="5CB8B61E" w14:textId="21B5E50B" w:rsidR="00596F2E" w:rsidRPr="00014F1D" w:rsidRDefault="00596F2E" w:rsidP="00596F2E">
            <w:pPr>
              <w:jc w:val="both"/>
              <w:rPr>
                <w:color w:val="000000"/>
                <w:sz w:val="18"/>
                <w:szCs w:val="18"/>
              </w:rPr>
            </w:pPr>
            <w:r w:rsidRPr="00014F1D">
              <w:rPr>
                <w:color w:val="000000"/>
                <w:sz w:val="18"/>
                <w:szCs w:val="18"/>
              </w:rPr>
              <w:t>(</w:t>
            </w:r>
            <w:r w:rsidR="00A66043">
              <w:rPr>
                <w:color w:val="000000"/>
                <w:sz w:val="18"/>
                <w:szCs w:val="18"/>
              </w:rPr>
              <w:t>2</w:t>
            </w:r>
            <w:r w:rsidRPr="00014F1D">
              <w:rPr>
                <w:color w:val="000000"/>
                <w:sz w:val="18"/>
                <w:szCs w:val="18"/>
              </w:rPr>
              <w:t>)</w:t>
            </w:r>
          </w:p>
        </w:tc>
        <w:tc>
          <w:tcPr>
            <w:tcW w:w="0" w:type="auto"/>
            <w:tcMar>
              <w:top w:w="0" w:type="dxa"/>
              <w:left w:w="0" w:type="dxa"/>
              <w:bottom w:w="0" w:type="dxa"/>
              <w:right w:w="0" w:type="dxa"/>
            </w:tcMar>
            <w:hideMark/>
          </w:tcPr>
          <w:p w14:paraId="352F8F8A" w14:textId="519C9741" w:rsidR="00596F2E" w:rsidRDefault="00596F2E" w:rsidP="006764F0">
            <w:pPr>
              <w:jc w:val="both"/>
              <w:rPr>
                <w:color w:val="000000"/>
                <w:sz w:val="18"/>
                <w:szCs w:val="18"/>
              </w:rPr>
            </w:pPr>
            <w:r w:rsidRPr="00014F1D">
              <w:rPr>
                <w:color w:val="000000"/>
                <w:sz w:val="18"/>
                <w:szCs w:val="18"/>
              </w:rPr>
              <w:t xml:space="preserve"> The shares are directly held by </w:t>
            </w:r>
            <w:r>
              <w:rPr>
                <w:color w:val="000000"/>
                <w:sz w:val="18"/>
                <w:szCs w:val="18"/>
              </w:rPr>
              <w:t>Maxim Partners.</w:t>
            </w:r>
          </w:p>
          <w:p w14:paraId="7CA27786" w14:textId="77777777" w:rsidR="00596F2E" w:rsidRDefault="00596F2E" w:rsidP="006764F0">
            <w:pPr>
              <w:jc w:val="both"/>
              <w:rPr>
                <w:color w:val="000000"/>
                <w:sz w:val="18"/>
                <w:szCs w:val="18"/>
              </w:rPr>
            </w:pPr>
          </w:p>
          <w:p w14:paraId="7FD03A13" w14:textId="63357659" w:rsidR="00596F2E" w:rsidRDefault="00596F2E" w:rsidP="006764F0">
            <w:pPr>
              <w:jc w:val="both"/>
              <w:rPr>
                <w:color w:val="000000"/>
                <w:sz w:val="18"/>
                <w:szCs w:val="18"/>
              </w:rPr>
            </w:pPr>
            <w:r w:rsidRPr="005404CB">
              <w:rPr>
                <w:color w:val="000000"/>
                <w:sz w:val="18"/>
                <w:szCs w:val="18"/>
              </w:rPr>
              <w:t xml:space="preserve">The number of shares beneficially owned include </w:t>
            </w:r>
            <w:r w:rsidR="00A66043">
              <w:rPr>
                <w:color w:val="000000"/>
                <w:sz w:val="18"/>
                <w:szCs w:val="18"/>
              </w:rPr>
              <w:t>128,000 shares of common stock issuable upon exercise of the 2020 Comm</w:t>
            </w:r>
            <w:r w:rsidR="000A4834">
              <w:rPr>
                <w:color w:val="000000"/>
                <w:sz w:val="18"/>
                <w:szCs w:val="18"/>
              </w:rPr>
              <w:t>o</w:t>
            </w:r>
            <w:r w:rsidR="00A66043">
              <w:rPr>
                <w:color w:val="000000"/>
                <w:sz w:val="18"/>
                <w:szCs w:val="18"/>
              </w:rPr>
              <w:t xml:space="preserve">n Warrant and </w:t>
            </w:r>
            <w:r>
              <w:rPr>
                <w:color w:val="000000"/>
                <w:sz w:val="18"/>
                <w:szCs w:val="18"/>
              </w:rPr>
              <w:t>72,000 shares of common stock issuable upon the exercise of the 2021 Common Warrant</w:t>
            </w:r>
            <w:r w:rsidRPr="005404CB">
              <w:rPr>
                <w:color w:val="000000"/>
                <w:sz w:val="18"/>
                <w:szCs w:val="18"/>
              </w:rPr>
              <w:t xml:space="preserve"> which are subject to beneficial ownership limitations that prohibit </w:t>
            </w:r>
            <w:r>
              <w:rPr>
                <w:color w:val="000000"/>
                <w:sz w:val="18"/>
                <w:szCs w:val="18"/>
              </w:rPr>
              <w:t xml:space="preserve">Maxim Partners </w:t>
            </w:r>
            <w:r w:rsidRPr="005404CB">
              <w:rPr>
                <w:color w:val="000000"/>
                <w:sz w:val="18"/>
                <w:szCs w:val="18"/>
              </w:rPr>
              <w:t>from exercising any portion of a warrant</w:t>
            </w:r>
            <w:r>
              <w:rPr>
                <w:color w:val="000000"/>
                <w:sz w:val="18"/>
                <w:szCs w:val="18"/>
              </w:rPr>
              <w:t xml:space="preserve"> and/or preferred investment option</w:t>
            </w:r>
            <w:r w:rsidRPr="005404CB">
              <w:rPr>
                <w:color w:val="000000"/>
                <w:sz w:val="18"/>
                <w:szCs w:val="18"/>
              </w:rPr>
              <w:t xml:space="preserve"> </w:t>
            </w:r>
            <w:r>
              <w:rPr>
                <w:color w:val="000000"/>
                <w:sz w:val="18"/>
                <w:szCs w:val="18"/>
              </w:rPr>
              <w:t xml:space="preserve">that </w:t>
            </w:r>
            <w:r w:rsidRPr="005404CB">
              <w:rPr>
                <w:color w:val="000000"/>
                <w:sz w:val="18"/>
                <w:szCs w:val="18"/>
              </w:rPr>
              <w:t xml:space="preserve">would result in </w:t>
            </w:r>
            <w:r>
              <w:rPr>
                <w:color w:val="000000"/>
                <w:sz w:val="18"/>
                <w:szCs w:val="18"/>
              </w:rPr>
              <w:t xml:space="preserve">Maxim Partners </w:t>
            </w:r>
            <w:r w:rsidRPr="005404CB">
              <w:rPr>
                <w:color w:val="000000"/>
                <w:sz w:val="18"/>
                <w:szCs w:val="18"/>
              </w:rPr>
              <w:t xml:space="preserve">owning a percentage of our outstanding common stock exceeding the </w:t>
            </w:r>
            <w:r>
              <w:rPr>
                <w:color w:val="000000"/>
                <w:sz w:val="18"/>
                <w:szCs w:val="18"/>
              </w:rPr>
              <w:t xml:space="preserve">4.99% </w:t>
            </w:r>
            <w:r w:rsidRPr="005404CB">
              <w:rPr>
                <w:color w:val="000000"/>
                <w:sz w:val="18"/>
                <w:szCs w:val="18"/>
              </w:rPr>
              <w:t>ownership limitation</w:t>
            </w:r>
            <w:r>
              <w:rPr>
                <w:color w:val="000000"/>
                <w:sz w:val="18"/>
                <w:szCs w:val="18"/>
              </w:rPr>
              <w:t xml:space="preserve"> contained within the</w:t>
            </w:r>
            <w:r w:rsidR="00A66043">
              <w:rPr>
                <w:color w:val="000000"/>
                <w:sz w:val="18"/>
                <w:szCs w:val="18"/>
              </w:rPr>
              <w:t xml:space="preserve"> 2020 Common Warrant and</w:t>
            </w:r>
            <w:r>
              <w:rPr>
                <w:color w:val="000000"/>
                <w:sz w:val="18"/>
                <w:szCs w:val="18"/>
              </w:rPr>
              <w:t xml:space="preserve"> 2021 Common Warrant </w:t>
            </w:r>
            <w:r w:rsidRPr="005404CB">
              <w:rPr>
                <w:color w:val="000000"/>
                <w:sz w:val="18"/>
                <w:szCs w:val="18"/>
              </w:rPr>
              <w:t xml:space="preserve">after giving effect to the issuance of common stock in connection with </w:t>
            </w:r>
            <w:r>
              <w:rPr>
                <w:color w:val="000000"/>
                <w:sz w:val="18"/>
                <w:szCs w:val="18"/>
              </w:rPr>
              <w:t>Maxim Partners</w:t>
            </w:r>
            <w:r w:rsidRPr="005404CB">
              <w:rPr>
                <w:color w:val="000000"/>
                <w:sz w:val="18"/>
                <w:szCs w:val="18"/>
              </w:rPr>
              <w:t xml:space="preserve">’ exercise. The shares owned </w:t>
            </w:r>
            <w:r w:rsidR="001B2F27">
              <w:rPr>
                <w:color w:val="000000"/>
                <w:sz w:val="18"/>
                <w:szCs w:val="18"/>
              </w:rPr>
              <w:t xml:space="preserve">before and after this offering </w:t>
            </w:r>
            <w:r w:rsidRPr="005404CB">
              <w:rPr>
                <w:color w:val="000000"/>
                <w:sz w:val="18"/>
                <w:szCs w:val="18"/>
              </w:rPr>
              <w:t xml:space="preserve">assumes the exercise of all warrants held by </w:t>
            </w:r>
            <w:r>
              <w:rPr>
                <w:color w:val="000000"/>
                <w:sz w:val="18"/>
                <w:szCs w:val="18"/>
              </w:rPr>
              <w:t>Maxim Partners</w:t>
            </w:r>
            <w:r w:rsidRPr="005404CB">
              <w:rPr>
                <w:color w:val="000000"/>
                <w:sz w:val="18"/>
                <w:szCs w:val="18"/>
              </w:rPr>
              <w:t xml:space="preserve">, </w:t>
            </w:r>
            <w:r w:rsidR="001B2F27">
              <w:rPr>
                <w:color w:val="000000"/>
                <w:sz w:val="18"/>
                <w:szCs w:val="18"/>
              </w:rPr>
              <w:t>notwithstanding the existence of</w:t>
            </w:r>
            <w:r w:rsidRPr="005404CB">
              <w:rPr>
                <w:color w:val="000000"/>
                <w:sz w:val="18"/>
                <w:szCs w:val="18"/>
              </w:rPr>
              <w:t xml:space="preserve"> the beneficial ownership limitations described above. The address of </w:t>
            </w:r>
            <w:r>
              <w:rPr>
                <w:color w:val="000000"/>
                <w:sz w:val="18"/>
                <w:szCs w:val="18"/>
              </w:rPr>
              <w:t>Maxim Partners LLC</w:t>
            </w:r>
            <w:r w:rsidRPr="005404CB">
              <w:rPr>
                <w:color w:val="000000"/>
                <w:sz w:val="18"/>
                <w:szCs w:val="18"/>
              </w:rPr>
              <w:t xml:space="preserve"> is </w:t>
            </w:r>
            <w:r w:rsidR="00FB53BD">
              <w:rPr>
                <w:color w:val="000000"/>
                <w:sz w:val="18"/>
                <w:szCs w:val="18"/>
              </w:rPr>
              <w:t>300 Park Avenue, 16</w:t>
            </w:r>
            <w:r w:rsidR="00FB53BD" w:rsidRPr="00A574BF">
              <w:rPr>
                <w:color w:val="000000"/>
                <w:sz w:val="18"/>
                <w:szCs w:val="18"/>
                <w:vertAlign w:val="superscript"/>
              </w:rPr>
              <w:t>th</w:t>
            </w:r>
            <w:r w:rsidR="00FB53BD">
              <w:rPr>
                <w:color w:val="000000"/>
                <w:sz w:val="18"/>
                <w:szCs w:val="18"/>
              </w:rPr>
              <w:t xml:space="preserve"> Floor, New York, NY 10022</w:t>
            </w:r>
            <w:r>
              <w:rPr>
                <w:color w:val="000000"/>
                <w:sz w:val="18"/>
                <w:szCs w:val="18"/>
              </w:rPr>
              <w:t>.</w:t>
            </w:r>
          </w:p>
          <w:p w14:paraId="7250E868" w14:textId="77777777" w:rsidR="00596F2E" w:rsidRPr="00014F1D" w:rsidRDefault="00596F2E" w:rsidP="006764F0">
            <w:pPr>
              <w:jc w:val="both"/>
              <w:rPr>
                <w:color w:val="000000"/>
                <w:sz w:val="18"/>
                <w:szCs w:val="18"/>
              </w:rPr>
            </w:pPr>
          </w:p>
        </w:tc>
      </w:tr>
    </w:tbl>
    <w:p w14:paraId="3D8962F4" w14:textId="0B94AE2C" w:rsidR="0087113F" w:rsidRDefault="0087113F">
      <w:pPr>
        <w:rPr>
          <w:sz w:val="20"/>
          <w:szCs w:val="20"/>
        </w:rPr>
      </w:pPr>
    </w:p>
    <w:p w14:paraId="5AA6114B" w14:textId="77777777" w:rsidR="00CB5BE2" w:rsidRDefault="00CB5BE2">
      <w:pPr>
        <w:jc w:val="center"/>
        <w:rPr>
          <w:b/>
          <w:bCs/>
          <w:caps/>
          <w:sz w:val="20"/>
          <w:szCs w:val="20"/>
        </w:rPr>
        <w:sectPr w:rsidR="00CB5BE2" w:rsidSect="00AE0555">
          <w:pgSz w:w="12240" w:h="15840"/>
          <w:pgMar w:top="1440" w:right="1440" w:bottom="1440" w:left="1440" w:header="720" w:footer="720" w:gutter="0"/>
          <w:cols w:space="720"/>
          <w:docGrid w:linePitch="326"/>
        </w:sectPr>
      </w:pPr>
      <w:bookmarkStart w:id="52" w:name="s_004"/>
      <w:bookmarkEnd w:id="52"/>
    </w:p>
    <w:p w14:paraId="2FF23E3E" w14:textId="77777777" w:rsidR="0087113F" w:rsidRPr="00DF1034" w:rsidRDefault="004837DC">
      <w:pPr>
        <w:jc w:val="center"/>
        <w:rPr>
          <w:sz w:val="20"/>
          <w:szCs w:val="20"/>
        </w:rPr>
      </w:pPr>
      <w:r w:rsidRPr="00DF1034">
        <w:rPr>
          <w:b/>
          <w:bCs/>
          <w:caps/>
          <w:sz w:val="20"/>
          <w:szCs w:val="20"/>
        </w:rPr>
        <w:lastRenderedPageBreak/>
        <w:t xml:space="preserve">DESCRIPTION OF </w:t>
      </w:r>
      <w:r w:rsidR="00171CB0">
        <w:rPr>
          <w:b/>
          <w:bCs/>
          <w:caps/>
          <w:sz w:val="20"/>
          <w:szCs w:val="20"/>
        </w:rPr>
        <w:t>CAPITAL STOCK</w:t>
      </w:r>
    </w:p>
    <w:p w14:paraId="7B4A9BC0" w14:textId="7D2C7989" w:rsidR="0087113F" w:rsidRPr="00DF1034" w:rsidRDefault="0087113F">
      <w:pPr>
        <w:jc w:val="center"/>
        <w:rPr>
          <w:sz w:val="20"/>
          <w:szCs w:val="20"/>
        </w:rPr>
      </w:pPr>
    </w:p>
    <w:p w14:paraId="7845FCAC" w14:textId="77777777" w:rsidR="00DF1034" w:rsidRDefault="00DF1034" w:rsidP="00DF1034">
      <w:pPr>
        <w:ind w:left="144" w:right="144"/>
        <w:jc w:val="both"/>
        <w:rPr>
          <w:sz w:val="20"/>
          <w:szCs w:val="20"/>
        </w:rPr>
      </w:pPr>
      <w:r>
        <w:rPr>
          <w:b/>
          <w:bCs/>
          <w:sz w:val="20"/>
          <w:szCs w:val="20"/>
        </w:rPr>
        <w:t>Capital Stock</w:t>
      </w:r>
    </w:p>
    <w:p w14:paraId="2FFB504A" w14:textId="77777777" w:rsidR="00DF1034" w:rsidRDefault="00DF1034" w:rsidP="00DF1034">
      <w:pPr>
        <w:ind w:left="144" w:right="144" w:firstLine="720"/>
        <w:jc w:val="both"/>
        <w:rPr>
          <w:sz w:val="20"/>
          <w:szCs w:val="20"/>
        </w:rPr>
      </w:pPr>
    </w:p>
    <w:p w14:paraId="5743FFD2" w14:textId="77777777" w:rsidR="00DF1034" w:rsidRDefault="00DF1034" w:rsidP="00DF1034">
      <w:pPr>
        <w:ind w:firstLine="720"/>
        <w:jc w:val="both"/>
        <w:rPr>
          <w:sz w:val="20"/>
          <w:szCs w:val="20"/>
        </w:rPr>
      </w:pPr>
      <w:r>
        <w:rPr>
          <w:sz w:val="20"/>
          <w:szCs w:val="20"/>
        </w:rPr>
        <w:t xml:space="preserve">The following description of our capital stock is summarized from, and qualified in its entirety by reference to, our certificate of incorporation, as amended, including the certificates of designation, as amended, setting forth the terms of our </w:t>
      </w:r>
      <w:r w:rsidR="00171CB0">
        <w:rPr>
          <w:sz w:val="20"/>
          <w:szCs w:val="20"/>
        </w:rPr>
        <w:t>p</w:t>
      </w:r>
      <w:r>
        <w:rPr>
          <w:sz w:val="20"/>
          <w:szCs w:val="20"/>
        </w:rPr>
        <w:t xml:space="preserve">referred </w:t>
      </w:r>
      <w:r w:rsidR="00171CB0">
        <w:rPr>
          <w:sz w:val="20"/>
          <w:szCs w:val="20"/>
        </w:rPr>
        <w:t>s</w:t>
      </w:r>
      <w:r>
        <w:rPr>
          <w:sz w:val="20"/>
          <w:szCs w:val="20"/>
        </w:rPr>
        <w:t xml:space="preserve">tock. This summary is not intended to give full effect to provisions of statutory or common law. We urge you to review the following documents because they, and not this summary, define the rights of a holder of shares of common stock and </w:t>
      </w:r>
      <w:r w:rsidR="00171CB0">
        <w:rPr>
          <w:sz w:val="20"/>
          <w:szCs w:val="20"/>
        </w:rPr>
        <w:t>p</w:t>
      </w:r>
      <w:r>
        <w:rPr>
          <w:sz w:val="20"/>
          <w:szCs w:val="20"/>
        </w:rPr>
        <w:t xml:space="preserve">referred </w:t>
      </w:r>
      <w:r w:rsidR="00171CB0">
        <w:rPr>
          <w:sz w:val="20"/>
          <w:szCs w:val="20"/>
        </w:rPr>
        <w:t>s</w:t>
      </w:r>
      <w:r>
        <w:rPr>
          <w:sz w:val="20"/>
          <w:szCs w:val="20"/>
        </w:rPr>
        <w:t>tock:</w:t>
      </w:r>
    </w:p>
    <w:p w14:paraId="66BA0C6E" w14:textId="77777777" w:rsidR="00DF1034" w:rsidRDefault="00DF1034" w:rsidP="00DF1034">
      <w:pPr>
        <w:jc w:val="both"/>
        <w:rPr>
          <w:sz w:val="20"/>
          <w:szCs w:val="20"/>
        </w:rPr>
      </w:pPr>
    </w:p>
    <w:p w14:paraId="0A7BBC72" w14:textId="77777777" w:rsidR="00DF1034" w:rsidRDefault="00DF1034" w:rsidP="00C73E0F">
      <w:pPr>
        <w:pStyle w:val="ListParagraph"/>
        <w:numPr>
          <w:ilvl w:val="0"/>
          <w:numId w:val="11"/>
        </w:numPr>
        <w:jc w:val="both"/>
        <w:rPr>
          <w:sz w:val="20"/>
          <w:szCs w:val="20"/>
        </w:rPr>
      </w:pPr>
      <w:r w:rsidRPr="00DF1034">
        <w:rPr>
          <w:sz w:val="20"/>
          <w:szCs w:val="20"/>
        </w:rPr>
        <w:t>the General Corporation Law of the State of Delaware, or the “DGCL”, as it may be amended from time to time;</w:t>
      </w:r>
    </w:p>
    <w:p w14:paraId="47F904C8" w14:textId="77777777" w:rsidR="00DF1034" w:rsidRDefault="00DF1034" w:rsidP="00DF1034">
      <w:pPr>
        <w:pStyle w:val="ListParagraph"/>
        <w:ind w:left="1080"/>
        <w:jc w:val="both"/>
        <w:rPr>
          <w:sz w:val="20"/>
          <w:szCs w:val="20"/>
        </w:rPr>
      </w:pPr>
    </w:p>
    <w:p w14:paraId="37393C4E" w14:textId="77777777" w:rsidR="00DF1034" w:rsidRDefault="00DF1034" w:rsidP="00C73E0F">
      <w:pPr>
        <w:pStyle w:val="ListParagraph"/>
        <w:numPr>
          <w:ilvl w:val="0"/>
          <w:numId w:val="11"/>
        </w:numPr>
        <w:jc w:val="both"/>
        <w:rPr>
          <w:sz w:val="20"/>
          <w:szCs w:val="20"/>
        </w:rPr>
      </w:pPr>
      <w:r w:rsidRPr="00DF1034">
        <w:rPr>
          <w:sz w:val="20"/>
          <w:szCs w:val="20"/>
        </w:rPr>
        <w:t>our certificate of incorporation, as it may be amended or restated from time to time; and</w:t>
      </w:r>
    </w:p>
    <w:p w14:paraId="29CB5966" w14:textId="77777777" w:rsidR="00DF1034" w:rsidRPr="00DF1034" w:rsidRDefault="00DF1034" w:rsidP="00DF1034">
      <w:pPr>
        <w:pStyle w:val="ListParagraph"/>
        <w:rPr>
          <w:sz w:val="20"/>
          <w:szCs w:val="20"/>
        </w:rPr>
      </w:pPr>
    </w:p>
    <w:p w14:paraId="79316875" w14:textId="77777777" w:rsidR="00DF1034" w:rsidRPr="00DF1034" w:rsidRDefault="00DF1034" w:rsidP="00C73E0F">
      <w:pPr>
        <w:pStyle w:val="ListParagraph"/>
        <w:numPr>
          <w:ilvl w:val="0"/>
          <w:numId w:val="11"/>
        </w:numPr>
        <w:jc w:val="both"/>
        <w:rPr>
          <w:sz w:val="20"/>
          <w:szCs w:val="20"/>
        </w:rPr>
      </w:pPr>
      <w:r w:rsidRPr="00DF1034">
        <w:rPr>
          <w:sz w:val="20"/>
          <w:szCs w:val="20"/>
        </w:rPr>
        <w:t>our bylaws, as they may be amended or restated from time to time.</w:t>
      </w:r>
    </w:p>
    <w:p w14:paraId="77813880" w14:textId="77777777" w:rsidR="00DF1034" w:rsidRDefault="00DF1034" w:rsidP="00DF1034">
      <w:pPr>
        <w:ind w:firstLine="720"/>
        <w:jc w:val="both"/>
        <w:rPr>
          <w:sz w:val="20"/>
          <w:szCs w:val="20"/>
        </w:rPr>
      </w:pPr>
    </w:p>
    <w:p w14:paraId="33618B33" w14:textId="77777777" w:rsidR="00DF1034" w:rsidRDefault="00DF1034" w:rsidP="00DF1034">
      <w:pPr>
        <w:jc w:val="both"/>
        <w:rPr>
          <w:sz w:val="20"/>
          <w:szCs w:val="20"/>
        </w:rPr>
      </w:pPr>
      <w:r>
        <w:rPr>
          <w:b/>
          <w:bCs/>
          <w:sz w:val="20"/>
          <w:szCs w:val="20"/>
        </w:rPr>
        <w:t>General</w:t>
      </w:r>
    </w:p>
    <w:p w14:paraId="4025F161" w14:textId="77777777" w:rsidR="00DF1034" w:rsidRDefault="00DF1034" w:rsidP="00DF1034">
      <w:pPr>
        <w:ind w:firstLine="720"/>
        <w:jc w:val="both"/>
        <w:rPr>
          <w:sz w:val="20"/>
          <w:szCs w:val="20"/>
        </w:rPr>
      </w:pPr>
    </w:p>
    <w:p w14:paraId="0AA9E584" w14:textId="002FFCFC" w:rsidR="00DF1034" w:rsidRDefault="00B73392" w:rsidP="00DF1034">
      <w:pPr>
        <w:ind w:firstLine="720"/>
        <w:jc w:val="both"/>
        <w:rPr>
          <w:sz w:val="20"/>
          <w:szCs w:val="20"/>
        </w:rPr>
      </w:pPr>
      <w:r>
        <w:rPr>
          <w:sz w:val="20"/>
          <w:szCs w:val="20"/>
        </w:rPr>
        <w:t>As of the date of this prospectus, o</w:t>
      </w:r>
      <w:r w:rsidR="00DF1034">
        <w:rPr>
          <w:sz w:val="20"/>
          <w:szCs w:val="20"/>
        </w:rPr>
        <w:t>ur authorized capital stock currently consists of 610,000,000 shares, which are divided into two classes consisting of 600,000,000 shares of common stock, par value $0.001 per share, and 10,000,000 shares of preferred stock, par value $0.01 per share.</w:t>
      </w:r>
    </w:p>
    <w:p w14:paraId="32D6B32C" w14:textId="77777777" w:rsidR="00DF1034" w:rsidRDefault="00DF1034" w:rsidP="00DF1034">
      <w:pPr>
        <w:ind w:firstLine="720"/>
        <w:jc w:val="both"/>
        <w:rPr>
          <w:sz w:val="20"/>
          <w:szCs w:val="20"/>
        </w:rPr>
      </w:pPr>
    </w:p>
    <w:p w14:paraId="71A47DFE" w14:textId="2F97DCAC" w:rsidR="00DF1034" w:rsidRDefault="004D4D36" w:rsidP="00DF1034">
      <w:pPr>
        <w:ind w:firstLine="720"/>
        <w:jc w:val="both"/>
        <w:rPr>
          <w:sz w:val="20"/>
          <w:szCs w:val="20"/>
        </w:rPr>
      </w:pPr>
      <w:r>
        <w:rPr>
          <w:sz w:val="20"/>
          <w:szCs w:val="20"/>
        </w:rPr>
        <w:t xml:space="preserve">As of </w:t>
      </w:r>
      <w:r w:rsidR="0079051F">
        <w:rPr>
          <w:sz w:val="20"/>
          <w:szCs w:val="20"/>
        </w:rPr>
        <w:t>June</w:t>
      </w:r>
      <w:r w:rsidR="002015FE">
        <w:rPr>
          <w:sz w:val="20"/>
          <w:szCs w:val="20"/>
        </w:rPr>
        <w:t xml:space="preserve"> </w:t>
      </w:r>
      <w:r w:rsidR="00874A1D">
        <w:rPr>
          <w:sz w:val="20"/>
          <w:szCs w:val="20"/>
        </w:rPr>
        <w:t>10</w:t>
      </w:r>
      <w:r w:rsidR="00DF1034">
        <w:rPr>
          <w:sz w:val="20"/>
          <w:szCs w:val="20"/>
        </w:rPr>
        <w:t xml:space="preserve">, 2022, there were </w:t>
      </w:r>
      <w:r w:rsidR="0079051F">
        <w:rPr>
          <w:sz w:val="20"/>
          <w:szCs w:val="20"/>
        </w:rPr>
        <w:t>12,547,829</w:t>
      </w:r>
      <w:r w:rsidR="00DF1034">
        <w:rPr>
          <w:sz w:val="20"/>
          <w:szCs w:val="20"/>
        </w:rPr>
        <w:t xml:space="preserve"> shares of common stock outstanding and no shares of </w:t>
      </w:r>
      <w:r w:rsidR="00171CB0">
        <w:rPr>
          <w:sz w:val="20"/>
          <w:szCs w:val="20"/>
        </w:rPr>
        <w:t>p</w:t>
      </w:r>
      <w:r w:rsidR="00DF1034">
        <w:rPr>
          <w:sz w:val="20"/>
          <w:szCs w:val="20"/>
        </w:rPr>
        <w:t xml:space="preserve">referred </w:t>
      </w:r>
      <w:r w:rsidR="00171CB0">
        <w:rPr>
          <w:sz w:val="20"/>
          <w:szCs w:val="20"/>
        </w:rPr>
        <w:t>stock outstanding</w:t>
      </w:r>
      <w:r w:rsidR="00DF1034">
        <w:rPr>
          <w:sz w:val="20"/>
          <w:szCs w:val="20"/>
        </w:rPr>
        <w:t xml:space="preserve">. As of </w:t>
      </w:r>
      <w:r w:rsidR="0079051F">
        <w:rPr>
          <w:sz w:val="20"/>
          <w:szCs w:val="20"/>
        </w:rPr>
        <w:t>June</w:t>
      </w:r>
      <w:r w:rsidR="002015FE">
        <w:rPr>
          <w:sz w:val="20"/>
          <w:szCs w:val="20"/>
        </w:rPr>
        <w:t xml:space="preserve"> </w:t>
      </w:r>
      <w:r w:rsidR="00874A1D">
        <w:rPr>
          <w:sz w:val="20"/>
          <w:szCs w:val="20"/>
        </w:rPr>
        <w:t>10</w:t>
      </w:r>
      <w:r w:rsidR="00DF1034">
        <w:rPr>
          <w:sz w:val="20"/>
          <w:szCs w:val="20"/>
        </w:rPr>
        <w:t>, 202</w:t>
      </w:r>
      <w:r w:rsidR="00171CB0">
        <w:rPr>
          <w:sz w:val="20"/>
          <w:szCs w:val="20"/>
        </w:rPr>
        <w:t>2</w:t>
      </w:r>
      <w:r w:rsidR="00DF1034">
        <w:rPr>
          <w:sz w:val="20"/>
          <w:szCs w:val="20"/>
        </w:rPr>
        <w:t xml:space="preserve">, there were </w:t>
      </w:r>
      <w:r w:rsidR="0079051F">
        <w:rPr>
          <w:sz w:val="20"/>
          <w:szCs w:val="20"/>
        </w:rPr>
        <w:t>9,090,910</w:t>
      </w:r>
      <w:r w:rsidR="00EF0142">
        <w:rPr>
          <w:sz w:val="20"/>
          <w:szCs w:val="20"/>
        </w:rPr>
        <w:t xml:space="preserve"> Pre-Funded Warrants with an exercise price of $0.00</w:t>
      </w:r>
      <w:r w:rsidR="00DD0E85">
        <w:rPr>
          <w:sz w:val="20"/>
          <w:szCs w:val="20"/>
        </w:rPr>
        <w:t>0</w:t>
      </w:r>
      <w:r w:rsidR="00EF0142">
        <w:rPr>
          <w:sz w:val="20"/>
          <w:szCs w:val="20"/>
        </w:rPr>
        <w:t>1 per share</w:t>
      </w:r>
      <w:r w:rsidR="0079051F">
        <w:rPr>
          <w:sz w:val="20"/>
          <w:szCs w:val="20"/>
        </w:rPr>
        <w:t xml:space="preserve">, Preferred Investment Options </w:t>
      </w:r>
      <w:r w:rsidR="00D6760A">
        <w:rPr>
          <w:sz w:val="20"/>
          <w:szCs w:val="20"/>
        </w:rPr>
        <w:t xml:space="preserve">to purchase 12,121,214 shares of common stock </w:t>
      </w:r>
      <w:r w:rsidR="0079051F">
        <w:rPr>
          <w:sz w:val="20"/>
          <w:szCs w:val="20"/>
        </w:rPr>
        <w:t>with exercise prices of $1.65 per share,</w:t>
      </w:r>
      <w:r w:rsidR="00EF0142">
        <w:rPr>
          <w:sz w:val="20"/>
          <w:szCs w:val="20"/>
        </w:rPr>
        <w:t xml:space="preserve"> and other </w:t>
      </w:r>
      <w:r w:rsidR="00DF1034">
        <w:rPr>
          <w:sz w:val="20"/>
          <w:szCs w:val="20"/>
        </w:rPr>
        <w:t>outstanding warrants to purchase</w:t>
      </w:r>
      <w:r w:rsidR="00171CB0">
        <w:rPr>
          <w:sz w:val="20"/>
          <w:szCs w:val="20"/>
        </w:rPr>
        <w:t xml:space="preserve"> </w:t>
      </w:r>
      <w:r w:rsidR="00D6760A">
        <w:rPr>
          <w:sz w:val="20"/>
          <w:szCs w:val="20"/>
        </w:rPr>
        <w:t>5,884,115</w:t>
      </w:r>
      <w:r w:rsidR="00171CB0" w:rsidRPr="00171CB0">
        <w:rPr>
          <w:sz w:val="20"/>
          <w:szCs w:val="20"/>
        </w:rPr>
        <w:t xml:space="preserve"> shares of common stock with a weighted average exercise price of $</w:t>
      </w:r>
      <w:r w:rsidR="00D6760A">
        <w:rPr>
          <w:sz w:val="20"/>
          <w:szCs w:val="20"/>
        </w:rPr>
        <w:t>4.19</w:t>
      </w:r>
      <w:r w:rsidR="00171CB0" w:rsidRPr="00171CB0">
        <w:rPr>
          <w:sz w:val="20"/>
          <w:szCs w:val="20"/>
        </w:rPr>
        <w:t xml:space="preserve"> per share</w:t>
      </w:r>
      <w:r w:rsidR="00171CB0">
        <w:rPr>
          <w:sz w:val="20"/>
          <w:szCs w:val="20"/>
        </w:rPr>
        <w:t xml:space="preserve">. An additional </w:t>
      </w:r>
      <w:r w:rsidR="00171CB0" w:rsidRPr="00171CB0">
        <w:rPr>
          <w:sz w:val="20"/>
          <w:szCs w:val="20"/>
        </w:rPr>
        <w:t xml:space="preserve">1,500,000 shares of common stock are reserved for issuance under our 2020 Stock Incentive Plan, of which </w:t>
      </w:r>
      <w:r w:rsidR="00EF0142">
        <w:rPr>
          <w:sz w:val="20"/>
          <w:szCs w:val="20"/>
        </w:rPr>
        <w:t>962,300</w:t>
      </w:r>
      <w:r w:rsidR="00171CB0" w:rsidRPr="00171CB0">
        <w:rPr>
          <w:sz w:val="20"/>
          <w:szCs w:val="20"/>
        </w:rPr>
        <w:t xml:space="preserve"> shares of common stock are issuable upon exercise of outstanding options at an average exercise price of $</w:t>
      </w:r>
      <w:r w:rsidR="00EF0142">
        <w:rPr>
          <w:sz w:val="20"/>
          <w:szCs w:val="20"/>
        </w:rPr>
        <w:t>3.18</w:t>
      </w:r>
      <w:r w:rsidR="00171CB0" w:rsidRPr="00171CB0">
        <w:rPr>
          <w:sz w:val="20"/>
          <w:szCs w:val="20"/>
        </w:rPr>
        <w:t xml:space="preserve"> per share.</w:t>
      </w:r>
      <w:r w:rsidR="00171CB0">
        <w:rPr>
          <w:sz w:val="20"/>
          <w:szCs w:val="20"/>
        </w:rPr>
        <w:t xml:space="preserve"> </w:t>
      </w:r>
    </w:p>
    <w:p w14:paraId="4E825F66" w14:textId="77777777" w:rsidR="00DF1034" w:rsidRDefault="00DF1034" w:rsidP="00171CB0">
      <w:pPr>
        <w:jc w:val="both"/>
        <w:rPr>
          <w:sz w:val="20"/>
          <w:szCs w:val="20"/>
        </w:rPr>
      </w:pPr>
    </w:p>
    <w:p w14:paraId="7A92BC12" w14:textId="77777777" w:rsidR="00DF1034" w:rsidRDefault="00DF1034" w:rsidP="00DF1034">
      <w:pPr>
        <w:jc w:val="both"/>
        <w:rPr>
          <w:b/>
          <w:bCs/>
          <w:sz w:val="20"/>
          <w:szCs w:val="20"/>
        </w:rPr>
      </w:pPr>
      <w:r>
        <w:rPr>
          <w:b/>
          <w:bCs/>
          <w:sz w:val="20"/>
          <w:szCs w:val="20"/>
        </w:rPr>
        <w:t>Common Stock</w:t>
      </w:r>
    </w:p>
    <w:p w14:paraId="6A45ED95" w14:textId="77777777" w:rsidR="00171CB0" w:rsidRDefault="00171CB0" w:rsidP="00DF1034">
      <w:pPr>
        <w:jc w:val="both"/>
        <w:rPr>
          <w:sz w:val="20"/>
          <w:szCs w:val="20"/>
        </w:rPr>
      </w:pPr>
    </w:p>
    <w:p w14:paraId="17B84E77" w14:textId="73E4BF38" w:rsidR="00DF1034" w:rsidRDefault="00DF1034" w:rsidP="00DF1034">
      <w:pPr>
        <w:ind w:firstLine="720"/>
        <w:jc w:val="both"/>
        <w:rPr>
          <w:sz w:val="20"/>
          <w:szCs w:val="20"/>
        </w:rPr>
      </w:pPr>
      <w:r>
        <w:rPr>
          <w:sz w:val="20"/>
          <w:szCs w:val="20"/>
        </w:rPr>
        <w:t>Our common stock is listed and traded on the Nasdaq Capital Market under the symbol “GOVX.” Holders of our common stock are entitled to one vote for each share held in the election of directors and in all other matters to be voted on by the stockholders. There is no cumulative voting in the election of directors. Holders of common stock are entitled to receive dividends as may be declared from time to time by our Board of Directors out of funds legally available therefor. In the event of liquidation, dissolution or winding up of the Company, holders of common stock are to share in all assets remaining after the payment of liabilities. Holders of common stock have no pre-emptive or conversion rights and are not subject to further calls or assessments. There are no redemption or sinking fund provisions applicable to the common stock. The rights of the holders of the common stock are subject to any rights that may be fixed in the future for holders of preferred stock. All of the outstanding shares of common stock are fully paid and non-assessable.</w:t>
      </w:r>
    </w:p>
    <w:p w14:paraId="14A6DCD6" w14:textId="77777777" w:rsidR="00DB2036" w:rsidRDefault="00DB2036" w:rsidP="00DB2036">
      <w:pPr>
        <w:jc w:val="both"/>
        <w:rPr>
          <w:b/>
          <w:bCs/>
          <w:sz w:val="20"/>
          <w:szCs w:val="20"/>
        </w:rPr>
      </w:pPr>
    </w:p>
    <w:p w14:paraId="6072BAA8" w14:textId="77777777" w:rsidR="00DB2036" w:rsidRDefault="00DB2036" w:rsidP="00DB2036">
      <w:pPr>
        <w:jc w:val="both"/>
        <w:rPr>
          <w:b/>
          <w:bCs/>
          <w:sz w:val="20"/>
          <w:szCs w:val="20"/>
        </w:rPr>
      </w:pPr>
      <w:r>
        <w:rPr>
          <w:b/>
          <w:bCs/>
          <w:sz w:val="20"/>
          <w:szCs w:val="20"/>
        </w:rPr>
        <w:t>Undesignated Preferred Stock</w:t>
      </w:r>
    </w:p>
    <w:p w14:paraId="2C6FB2B9" w14:textId="77777777" w:rsidR="00DB2036" w:rsidRDefault="00DB2036" w:rsidP="00DB2036">
      <w:pPr>
        <w:jc w:val="both"/>
        <w:rPr>
          <w:sz w:val="20"/>
          <w:szCs w:val="20"/>
        </w:rPr>
      </w:pPr>
    </w:p>
    <w:p w14:paraId="54282811" w14:textId="77777777" w:rsidR="00DB2036" w:rsidRDefault="00DB2036" w:rsidP="00DB2036">
      <w:pPr>
        <w:ind w:firstLine="720"/>
        <w:jc w:val="both"/>
        <w:rPr>
          <w:sz w:val="20"/>
          <w:szCs w:val="20"/>
        </w:rPr>
      </w:pPr>
      <w:r>
        <w:rPr>
          <w:sz w:val="20"/>
          <w:szCs w:val="20"/>
        </w:rPr>
        <w:t>Our Board of Directors has the authority to issue up to 10,000,000 shares of preferred stock in one or more series and fix the number of shares constituting any such series, the voting powers, designations, preferences and relative, participating, optional or other special rights and qualifications, limitations or restrictions thereof, including the dividend rights, dividend rate, terms of redemption (including sinking fund provisions), redemption price or prices, conversion rights and liquidation preferences of the shares constituting any series, without any further vote or action by the stockholders. For example, the Board of Directors is authorized to issue preferred stock that would have the right to vote, separately or with any other stockholder of preferred stock, on any proposed amendment to our certificate of incorporation, or on any other proposed corporate action, including business combinations and other transactions.</w:t>
      </w:r>
    </w:p>
    <w:p w14:paraId="2395EB3F" w14:textId="77777777" w:rsidR="00DB2036" w:rsidRDefault="00DB2036" w:rsidP="00DB2036">
      <w:pPr>
        <w:ind w:firstLine="720"/>
        <w:jc w:val="both"/>
        <w:rPr>
          <w:sz w:val="20"/>
          <w:szCs w:val="20"/>
        </w:rPr>
      </w:pPr>
    </w:p>
    <w:p w14:paraId="496E85E9" w14:textId="77777777" w:rsidR="00DB2036" w:rsidRDefault="00DB2036" w:rsidP="00DB2036">
      <w:pPr>
        <w:ind w:firstLine="720"/>
        <w:jc w:val="both"/>
        <w:rPr>
          <w:sz w:val="20"/>
          <w:szCs w:val="20"/>
        </w:rPr>
      </w:pPr>
      <w:r>
        <w:rPr>
          <w:sz w:val="20"/>
          <w:szCs w:val="20"/>
        </w:rPr>
        <w:lastRenderedPageBreak/>
        <w:t>We will not offer preferred stock unless the offering is approved by a majority of our independent directors. The independent directors will have access, at our expense, to our counsel or independent counsel.</w:t>
      </w:r>
    </w:p>
    <w:p w14:paraId="30141410" w14:textId="77777777" w:rsidR="00EF0142" w:rsidRDefault="00EF0142" w:rsidP="00DB2036">
      <w:pPr>
        <w:ind w:firstLine="720"/>
        <w:jc w:val="both"/>
        <w:rPr>
          <w:sz w:val="20"/>
          <w:szCs w:val="20"/>
        </w:rPr>
      </w:pPr>
    </w:p>
    <w:p w14:paraId="0D526A2E" w14:textId="77777777" w:rsidR="0081617A" w:rsidRDefault="0081617A" w:rsidP="0081617A">
      <w:pPr>
        <w:jc w:val="both"/>
        <w:rPr>
          <w:b/>
          <w:bCs/>
          <w:sz w:val="20"/>
          <w:szCs w:val="20"/>
        </w:rPr>
      </w:pPr>
      <w:r>
        <w:rPr>
          <w:b/>
          <w:bCs/>
          <w:sz w:val="20"/>
          <w:szCs w:val="20"/>
        </w:rPr>
        <w:t>Delaware Anti-Takeover Law</w:t>
      </w:r>
    </w:p>
    <w:p w14:paraId="2DC01B50" w14:textId="77777777" w:rsidR="0081617A" w:rsidRDefault="0081617A" w:rsidP="0081617A">
      <w:pPr>
        <w:jc w:val="both"/>
        <w:rPr>
          <w:sz w:val="20"/>
          <w:szCs w:val="20"/>
        </w:rPr>
      </w:pPr>
    </w:p>
    <w:p w14:paraId="3DE4932B" w14:textId="77777777" w:rsidR="0081617A" w:rsidRDefault="0081617A" w:rsidP="0081617A">
      <w:pPr>
        <w:ind w:firstLine="720"/>
        <w:jc w:val="both"/>
        <w:rPr>
          <w:sz w:val="20"/>
          <w:szCs w:val="20"/>
        </w:rPr>
      </w:pPr>
      <w:r>
        <w:rPr>
          <w:sz w:val="20"/>
          <w:szCs w:val="20"/>
        </w:rPr>
        <w:t>We have elected not to be subject to certain provisions of Delaware law that could make it more difficult to acquire us by means of a tender offer, a proxy contest, open market purchases, removal of incumbent directors and otherwise. These provisions, summarized below, are expected to discourage types of coercive takeover practices and inadequate takeover bids and to encourage persons seeking to acquire control of us to first negotiate with our Board of Directors.</w:t>
      </w:r>
    </w:p>
    <w:p w14:paraId="04EEC0ED" w14:textId="77777777" w:rsidR="0081617A" w:rsidRDefault="0081617A" w:rsidP="0081617A">
      <w:pPr>
        <w:ind w:firstLine="720"/>
        <w:jc w:val="both"/>
        <w:rPr>
          <w:sz w:val="20"/>
          <w:szCs w:val="20"/>
        </w:rPr>
      </w:pPr>
    </w:p>
    <w:p w14:paraId="566BF194" w14:textId="77777777" w:rsidR="0081617A" w:rsidRDefault="0081617A" w:rsidP="0081617A">
      <w:pPr>
        <w:ind w:firstLine="720"/>
        <w:jc w:val="both"/>
        <w:rPr>
          <w:sz w:val="20"/>
          <w:szCs w:val="20"/>
        </w:rPr>
      </w:pPr>
      <w:r>
        <w:rPr>
          <w:sz w:val="20"/>
          <w:szCs w:val="20"/>
        </w:rPr>
        <w:t>In general, Section 203 of the DGCL prohibits a publicly held Delaware corporation from engaging in various “business combination” transactions with any interested stockholder for a period of three years after the date of the transaction in which the person became an interested stockholder, unless:</w:t>
      </w:r>
    </w:p>
    <w:p w14:paraId="061F9E6D" w14:textId="77777777" w:rsidR="0081617A" w:rsidRDefault="0081617A" w:rsidP="0081617A">
      <w:pPr>
        <w:ind w:firstLine="720"/>
        <w:jc w:val="both"/>
        <w:rPr>
          <w:sz w:val="20"/>
          <w:szCs w:val="20"/>
        </w:rPr>
      </w:pPr>
    </w:p>
    <w:p w14:paraId="060D5F0B" w14:textId="77777777" w:rsidR="0081617A" w:rsidRDefault="0081617A" w:rsidP="00C73E0F">
      <w:pPr>
        <w:pStyle w:val="ListParagraph"/>
        <w:numPr>
          <w:ilvl w:val="0"/>
          <w:numId w:val="12"/>
        </w:numPr>
        <w:jc w:val="both"/>
        <w:rPr>
          <w:sz w:val="20"/>
          <w:szCs w:val="20"/>
        </w:rPr>
      </w:pPr>
      <w:r w:rsidRPr="0081617A">
        <w:rPr>
          <w:sz w:val="20"/>
          <w:szCs w:val="20"/>
        </w:rPr>
        <w:t>the transaction is approved by the corporation’s board of directors prior to the date the interested stockholder obtained interested stockholder status;</w:t>
      </w:r>
    </w:p>
    <w:p w14:paraId="4A03D940" w14:textId="77777777" w:rsidR="0081617A" w:rsidRDefault="0081617A" w:rsidP="0081617A">
      <w:pPr>
        <w:pStyle w:val="ListParagraph"/>
        <w:ind w:left="1080"/>
        <w:jc w:val="both"/>
        <w:rPr>
          <w:sz w:val="20"/>
          <w:szCs w:val="20"/>
        </w:rPr>
      </w:pPr>
    </w:p>
    <w:p w14:paraId="10B24531" w14:textId="77777777" w:rsidR="0081617A" w:rsidRDefault="0081617A" w:rsidP="00C73E0F">
      <w:pPr>
        <w:pStyle w:val="ListParagraph"/>
        <w:numPr>
          <w:ilvl w:val="0"/>
          <w:numId w:val="12"/>
        </w:numPr>
        <w:jc w:val="both"/>
        <w:rPr>
          <w:sz w:val="20"/>
          <w:szCs w:val="20"/>
        </w:rPr>
      </w:pPr>
      <w:r w:rsidRPr="0081617A">
        <w:rPr>
          <w:sz w:val="20"/>
          <w:szCs w:val="20"/>
        </w:rPr>
        <w:t>upon consummation of the transaction that resulted in the stockholder’s becoming an interested stockholder, the stockholder owned at least 85% of the voting stock of the corporation outstanding at the time the transaction commenced, excluding for purposes of determining the number of shares outstanding those shares owned by (a) persons who are directors and also officers and (b) employee stock plans in which employee participants do not have the right to determine confidentially whether shares held subject to the plan will be tendered in a tender or exchange offer; or</w:t>
      </w:r>
    </w:p>
    <w:p w14:paraId="22153395" w14:textId="77777777" w:rsidR="0081617A" w:rsidRPr="0081617A" w:rsidRDefault="0081617A" w:rsidP="0081617A">
      <w:pPr>
        <w:pStyle w:val="ListParagraph"/>
        <w:rPr>
          <w:sz w:val="20"/>
          <w:szCs w:val="20"/>
        </w:rPr>
      </w:pPr>
    </w:p>
    <w:p w14:paraId="2268993F" w14:textId="77777777" w:rsidR="0081617A" w:rsidRPr="0081617A" w:rsidRDefault="0081617A" w:rsidP="00C73E0F">
      <w:pPr>
        <w:pStyle w:val="ListParagraph"/>
        <w:numPr>
          <w:ilvl w:val="0"/>
          <w:numId w:val="12"/>
        </w:numPr>
        <w:jc w:val="both"/>
        <w:rPr>
          <w:sz w:val="20"/>
          <w:szCs w:val="20"/>
        </w:rPr>
      </w:pPr>
      <w:r w:rsidRPr="0081617A">
        <w:rPr>
          <w:sz w:val="20"/>
          <w:szCs w:val="20"/>
        </w:rPr>
        <w:t>on or subsequent to the date the business combination is approved by the corporation’s board of directors and authorized at an annual or special meeting of stockholders by the affirmative vote of at least 66 2/3% of the outstanding voting stock that is not owned by the interested stockholder.</w:t>
      </w:r>
    </w:p>
    <w:p w14:paraId="21CBCF9E" w14:textId="77777777" w:rsidR="0081617A" w:rsidRDefault="0081617A" w:rsidP="0081617A">
      <w:pPr>
        <w:ind w:firstLine="720"/>
        <w:jc w:val="both"/>
        <w:rPr>
          <w:sz w:val="20"/>
          <w:szCs w:val="20"/>
        </w:rPr>
      </w:pPr>
    </w:p>
    <w:p w14:paraId="22E8B00D" w14:textId="77777777" w:rsidR="0081617A" w:rsidRDefault="0081617A" w:rsidP="0081617A">
      <w:pPr>
        <w:ind w:firstLine="720"/>
        <w:jc w:val="both"/>
        <w:rPr>
          <w:sz w:val="20"/>
          <w:szCs w:val="20"/>
        </w:rPr>
      </w:pPr>
      <w:r>
        <w:rPr>
          <w:sz w:val="20"/>
          <w:szCs w:val="20"/>
        </w:rPr>
        <w:t>A “business combination” is defined to include mergers, asset sales and other transactions resulting in financial benefit to a stockholder. In general, an “interested stockholder” is a person who, together with affiliates and associates, owns or within three years, did own, 15% or more of a corporation’s voting stock.</w:t>
      </w:r>
    </w:p>
    <w:p w14:paraId="53B6996B" w14:textId="77777777" w:rsidR="0081617A" w:rsidRDefault="0081617A" w:rsidP="0081617A">
      <w:pPr>
        <w:ind w:firstLine="720"/>
        <w:jc w:val="both"/>
        <w:rPr>
          <w:sz w:val="20"/>
          <w:szCs w:val="20"/>
        </w:rPr>
      </w:pPr>
    </w:p>
    <w:p w14:paraId="1F288EA4" w14:textId="77777777" w:rsidR="0081617A" w:rsidRDefault="0081617A" w:rsidP="0081617A">
      <w:pPr>
        <w:ind w:firstLine="720"/>
        <w:jc w:val="both"/>
        <w:rPr>
          <w:sz w:val="20"/>
          <w:szCs w:val="20"/>
        </w:rPr>
      </w:pPr>
      <w:r>
        <w:rPr>
          <w:sz w:val="20"/>
          <w:szCs w:val="20"/>
        </w:rPr>
        <w:t>Section 203 applies to Delaware corporations that have a class of voting stock that is listed on a national securities exchange or held of record by more than 2,000 stockholders; provided, however, the restrictions of this statute will not apply to a corporation if:</w:t>
      </w:r>
    </w:p>
    <w:p w14:paraId="71F4EB36" w14:textId="77777777" w:rsidR="0081617A" w:rsidRDefault="0081617A" w:rsidP="0081617A">
      <w:pPr>
        <w:jc w:val="both"/>
        <w:rPr>
          <w:sz w:val="20"/>
          <w:szCs w:val="20"/>
        </w:rPr>
      </w:pPr>
    </w:p>
    <w:p w14:paraId="5BF07B50" w14:textId="77777777" w:rsidR="0081617A" w:rsidRDefault="0081617A" w:rsidP="00C73E0F">
      <w:pPr>
        <w:pStyle w:val="ListParagraph"/>
        <w:numPr>
          <w:ilvl w:val="0"/>
          <w:numId w:val="13"/>
        </w:numPr>
        <w:jc w:val="both"/>
        <w:rPr>
          <w:sz w:val="20"/>
          <w:szCs w:val="20"/>
        </w:rPr>
      </w:pPr>
      <w:r w:rsidRPr="0081617A">
        <w:rPr>
          <w:sz w:val="20"/>
          <w:szCs w:val="20"/>
        </w:rPr>
        <w:t>the corporation’s original charter contains a provision expressly electing not to be governed by the statute;</w:t>
      </w:r>
    </w:p>
    <w:p w14:paraId="33B7A047" w14:textId="77777777" w:rsidR="0081617A" w:rsidRDefault="0081617A" w:rsidP="0081617A">
      <w:pPr>
        <w:pStyle w:val="ListParagraph"/>
        <w:ind w:left="1080"/>
        <w:jc w:val="both"/>
        <w:rPr>
          <w:sz w:val="20"/>
          <w:szCs w:val="20"/>
        </w:rPr>
      </w:pPr>
    </w:p>
    <w:p w14:paraId="268C9312" w14:textId="77777777" w:rsidR="0081617A" w:rsidRDefault="0081617A" w:rsidP="00C73E0F">
      <w:pPr>
        <w:pStyle w:val="ListParagraph"/>
        <w:numPr>
          <w:ilvl w:val="0"/>
          <w:numId w:val="13"/>
        </w:numPr>
        <w:jc w:val="both"/>
        <w:rPr>
          <w:sz w:val="20"/>
          <w:szCs w:val="20"/>
        </w:rPr>
      </w:pPr>
      <w:r w:rsidRPr="0081617A">
        <w:rPr>
          <w:sz w:val="20"/>
          <w:szCs w:val="20"/>
        </w:rPr>
        <w:t>the corporation’s board of directors adopts an amendment to the corporation’s bylaws within 90 days of the effective date of the statute expressly electing not to be governed by it;</w:t>
      </w:r>
    </w:p>
    <w:p w14:paraId="79F2D3C1" w14:textId="77777777" w:rsidR="0081617A" w:rsidRPr="0081617A" w:rsidRDefault="0081617A" w:rsidP="0081617A">
      <w:pPr>
        <w:pStyle w:val="ListParagraph"/>
        <w:rPr>
          <w:sz w:val="20"/>
          <w:szCs w:val="20"/>
        </w:rPr>
      </w:pPr>
    </w:p>
    <w:p w14:paraId="73B2987C" w14:textId="77777777" w:rsidR="0081617A" w:rsidRDefault="0081617A" w:rsidP="00C73E0F">
      <w:pPr>
        <w:pStyle w:val="ListParagraph"/>
        <w:numPr>
          <w:ilvl w:val="0"/>
          <w:numId w:val="13"/>
        </w:numPr>
        <w:jc w:val="both"/>
        <w:rPr>
          <w:sz w:val="20"/>
          <w:szCs w:val="20"/>
        </w:rPr>
      </w:pPr>
      <w:r w:rsidRPr="0081617A">
        <w:rPr>
          <w:sz w:val="20"/>
          <w:szCs w:val="20"/>
        </w:rPr>
        <w:t>the stockholders of the corporation adopt an amendment to its charter or bylaws expressly electing not to be governed by the statute (so long as such amendment is approved by the affirmative vote of a majority of the shares entitled to vote);</w:t>
      </w:r>
    </w:p>
    <w:p w14:paraId="2590B32D" w14:textId="77777777" w:rsidR="0081617A" w:rsidRPr="0081617A" w:rsidRDefault="0081617A" w:rsidP="0081617A">
      <w:pPr>
        <w:pStyle w:val="ListParagraph"/>
        <w:rPr>
          <w:sz w:val="20"/>
          <w:szCs w:val="20"/>
        </w:rPr>
      </w:pPr>
    </w:p>
    <w:p w14:paraId="3B368F01" w14:textId="77777777" w:rsidR="0081617A" w:rsidRDefault="0081617A" w:rsidP="00C73E0F">
      <w:pPr>
        <w:pStyle w:val="ListParagraph"/>
        <w:numPr>
          <w:ilvl w:val="0"/>
          <w:numId w:val="13"/>
        </w:numPr>
        <w:jc w:val="both"/>
        <w:rPr>
          <w:sz w:val="20"/>
          <w:szCs w:val="20"/>
        </w:rPr>
      </w:pPr>
      <w:r w:rsidRPr="0081617A">
        <w:rPr>
          <w:sz w:val="20"/>
          <w:szCs w:val="20"/>
        </w:rPr>
        <w:t>a stockholder becomes an interested stockholder inadvertently and as soon as practicable divests himself of ownership of a sufficient number of shares so that he ceases to be an interested stockholder, and during the three-year period immediately prior to a business combination, would not have been an interested stockholder but for the inadvertent acquisition;</w:t>
      </w:r>
    </w:p>
    <w:p w14:paraId="3718E20B" w14:textId="77777777" w:rsidR="0081617A" w:rsidRPr="0081617A" w:rsidRDefault="0081617A" w:rsidP="0081617A">
      <w:pPr>
        <w:pStyle w:val="ListParagraph"/>
        <w:rPr>
          <w:sz w:val="20"/>
          <w:szCs w:val="20"/>
        </w:rPr>
      </w:pPr>
    </w:p>
    <w:p w14:paraId="50A4A12D" w14:textId="77777777" w:rsidR="0081617A" w:rsidRDefault="0081617A" w:rsidP="00C73E0F">
      <w:pPr>
        <w:pStyle w:val="ListParagraph"/>
        <w:numPr>
          <w:ilvl w:val="0"/>
          <w:numId w:val="13"/>
        </w:numPr>
        <w:jc w:val="both"/>
        <w:rPr>
          <w:sz w:val="20"/>
          <w:szCs w:val="20"/>
        </w:rPr>
      </w:pPr>
      <w:r w:rsidRPr="0081617A">
        <w:rPr>
          <w:sz w:val="20"/>
          <w:szCs w:val="20"/>
        </w:rPr>
        <w:t xml:space="preserve">the business combination is proposed prior to the consummation or abandonment of a merger or consolidation, a sale, lease, exchange, mortgage, pledge, transfer or other disposition of assets of the </w:t>
      </w:r>
      <w:r w:rsidRPr="0081617A">
        <w:rPr>
          <w:sz w:val="20"/>
          <w:szCs w:val="20"/>
        </w:rPr>
        <w:lastRenderedPageBreak/>
        <w:t>corporation or a proposed tender or exchange offer for 50% or more of the outstanding voting shares of the corporation; or</w:t>
      </w:r>
    </w:p>
    <w:p w14:paraId="56C82BBD" w14:textId="77777777" w:rsidR="0081617A" w:rsidRPr="0081617A" w:rsidRDefault="0081617A" w:rsidP="0081617A">
      <w:pPr>
        <w:pStyle w:val="ListParagraph"/>
        <w:rPr>
          <w:sz w:val="20"/>
          <w:szCs w:val="20"/>
        </w:rPr>
      </w:pPr>
    </w:p>
    <w:p w14:paraId="5842DD2E" w14:textId="77777777" w:rsidR="0081617A" w:rsidRPr="0081617A" w:rsidRDefault="0081617A" w:rsidP="00C73E0F">
      <w:pPr>
        <w:pStyle w:val="ListParagraph"/>
        <w:numPr>
          <w:ilvl w:val="0"/>
          <w:numId w:val="13"/>
        </w:numPr>
        <w:jc w:val="both"/>
        <w:rPr>
          <w:sz w:val="20"/>
          <w:szCs w:val="20"/>
        </w:rPr>
      </w:pPr>
      <w:r w:rsidRPr="0081617A">
        <w:rPr>
          <w:sz w:val="20"/>
          <w:szCs w:val="20"/>
        </w:rPr>
        <w:t>the business combination is with an interested stockholder who became an interested stockholder at a time when the restrictions contained in the statutes did not apply.</w:t>
      </w:r>
    </w:p>
    <w:p w14:paraId="035124F5" w14:textId="77777777" w:rsidR="0081617A" w:rsidRDefault="0081617A" w:rsidP="0081617A">
      <w:pPr>
        <w:pBdr>
          <w:left w:val="none" w:sz="0" w:space="7" w:color="auto"/>
          <w:right w:val="none" w:sz="0" w:space="7" w:color="auto"/>
        </w:pBdr>
        <w:rPr>
          <w:vanish/>
          <w:sz w:val="20"/>
          <w:szCs w:val="20"/>
        </w:rPr>
      </w:pPr>
    </w:p>
    <w:p w14:paraId="5B037D48" w14:textId="77777777" w:rsidR="0081617A" w:rsidRDefault="0081617A" w:rsidP="0081617A">
      <w:pPr>
        <w:ind w:firstLine="720"/>
        <w:jc w:val="both"/>
        <w:rPr>
          <w:sz w:val="20"/>
          <w:szCs w:val="20"/>
        </w:rPr>
      </w:pPr>
      <w:r>
        <w:rPr>
          <w:sz w:val="20"/>
          <w:szCs w:val="20"/>
        </w:rPr>
        <w:t>Our certificate of incorporation includes a provision electing not to be governed by Section 203 of the DCGL. Accordingly, our board of directors does not have the power to reject certain business combinations with interested stockholders based on Section 203 of the DCGL.</w:t>
      </w:r>
    </w:p>
    <w:p w14:paraId="2FEA086E" w14:textId="77777777" w:rsidR="0081617A" w:rsidRDefault="0081617A" w:rsidP="0081617A">
      <w:pPr>
        <w:ind w:firstLine="720"/>
        <w:jc w:val="both"/>
        <w:rPr>
          <w:sz w:val="20"/>
          <w:szCs w:val="20"/>
        </w:rPr>
      </w:pPr>
    </w:p>
    <w:p w14:paraId="40522333" w14:textId="77777777" w:rsidR="0081617A" w:rsidRDefault="0081617A" w:rsidP="0081617A">
      <w:pPr>
        <w:jc w:val="both"/>
        <w:rPr>
          <w:b/>
          <w:bCs/>
          <w:sz w:val="20"/>
          <w:szCs w:val="20"/>
        </w:rPr>
      </w:pPr>
      <w:r>
        <w:rPr>
          <w:b/>
          <w:bCs/>
          <w:sz w:val="20"/>
          <w:szCs w:val="20"/>
        </w:rPr>
        <w:t>Indemnification</w:t>
      </w:r>
    </w:p>
    <w:p w14:paraId="2A1D410F" w14:textId="77777777" w:rsidR="0081617A" w:rsidRDefault="0081617A" w:rsidP="0081617A">
      <w:pPr>
        <w:jc w:val="both"/>
        <w:rPr>
          <w:sz w:val="20"/>
          <w:szCs w:val="20"/>
        </w:rPr>
      </w:pPr>
    </w:p>
    <w:p w14:paraId="3F5594A5" w14:textId="77777777" w:rsidR="0081617A" w:rsidRDefault="0081617A" w:rsidP="0081617A">
      <w:pPr>
        <w:ind w:firstLine="720"/>
        <w:jc w:val="both"/>
        <w:rPr>
          <w:sz w:val="20"/>
          <w:szCs w:val="20"/>
        </w:rPr>
      </w:pPr>
      <w:r>
        <w:rPr>
          <w:sz w:val="20"/>
          <w:szCs w:val="20"/>
        </w:rPr>
        <w:t>Section 145 of the DGCL provides that a corporation has the power to indemnify a director, officer, employee or agent of the corporation, or a person serving at the request of the corporation for another corporation, partnership, joint venture, trust or other enterprise in related capacities against expenses (including attorneys’ fees), judgments, fines and amounts paid in settlement actually and reasonably incurred by the person in connection with an action, suit or proceeding to which he was or is a party or is threatened to be made a party to any threatened, ending or completed action, suit or proceeding by reason of such position, if such person acted in good faith and in a manner he reasonably believed to be in or not opposed to the best interests of the corporation, and, in any criminal action or proceeding, had no reasonable cause to believe his conduct was unlawful, except that, in the case of actions brought by or in the right of the corporation, no indemnification shall be made with respect to any claim, issue or matter as to which such person shall have been adjudged to be liable to the corporation unless and only to the extent that the Court of Chancery or other adjudicating court determines that, despite the adjudication of liability but in view of all of the circumstances of the case, such person is fairly and reasonably entitled to indemnity for such expenses which the Court of Chancery or such other court shall deem proper.</w:t>
      </w:r>
    </w:p>
    <w:p w14:paraId="5134609F" w14:textId="77777777" w:rsidR="0081617A" w:rsidRDefault="0081617A" w:rsidP="0081617A">
      <w:pPr>
        <w:ind w:firstLine="720"/>
        <w:jc w:val="both"/>
        <w:rPr>
          <w:sz w:val="20"/>
          <w:szCs w:val="20"/>
        </w:rPr>
      </w:pPr>
    </w:p>
    <w:p w14:paraId="616B9611" w14:textId="77777777" w:rsidR="0081617A" w:rsidRDefault="0081617A" w:rsidP="0081617A">
      <w:pPr>
        <w:ind w:firstLine="720"/>
        <w:jc w:val="both"/>
        <w:rPr>
          <w:sz w:val="20"/>
          <w:szCs w:val="20"/>
        </w:rPr>
      </w:pPr>
      <w:r>
        <w:rPr>
          <w:sz w:val="20"/>
          <w:szCs w:val="20"/>
        </w:rPr>
        <w:t>Our bylaws provide that we may indemnify any person who was or is a party or is threatened to be made a party to any threatened, pending or completed action, suit or proceeding, whether civil, criminal, administrative or investigative (other than an action by or in the right of the Company) by reason of the fact that the person is or was a director, officer, employee or agent of the Company, or is or was serving at the request of the Company as a director, officer, employee or agent of another corporation, partnership, joint venture, trust or other enterprise, against expenses (including attorneys’ fees), judgments, fines and amounts paid in settlement actually and reasonably incurred by the person in connection with such action, suit or proceeding if the person acted in good faith and in a manner the person reasonably believed to be in or not opposed to the best interests of the Company, and, with respect to any criminal action or proceeding, had no reasonable cause to believe the person’s conduct was unlawful. Our bylaws also provide that we may indemnify any person who was or is a party or is threatened to be made a party to any threatened, pending or completed action or suit by or in the right of the Company to procure a judgment in its favor by reason of the fact that the person is or was a director, officer, employee or agent of the Company, or is or was serving at the request of the Company as a director, officer, employee or agent of another corporation, partnership, joint venture, trust or other enterprise against expenses (including attorneys’ fees) actually and reasonably incurred by the person in connection with the defense or settlement of such action or suit if the person acted in good faith and in a manner the person reasonably believed to be in or not opposed to the best interests of the Company and except that no indemnification shall be made in respect of any claim, issue or matter as to which such person shall have been adjudged to be liable to the Company unless and only to the extent that the Delaware Court of Chancery or the court in which such action or suit was brought shall determine upon application that, despite the adjudication of liability but in view of all the circumstances of the case, such person is fairly and reasonably entitled to indemnity for such expenses which the Delaware Court of Chancery or such other court shall deem proper.</w:t>
      </w:r>
    </w:p>
    <w:p w14:paraId="7768F000" w14:textId="77777777" w:rsidR="0081617A" w:rsidRDefault="0081617A" w:rsidP="0081617A">
      <w:pPr>
        <w:ind w:firstLine="720"/>
        <w:jc w:val="both"/>
        <w:rPr>
          <w:sz w:val="20"/>
          <w:szCs w:val="20"/>
        </w:rPr>
      </w:pPr>
    </w:p>
    <w:p w14:paraId="0FCC2A70" w14:textId="77777777" w:rsidR="0081617A" w:rsidRDefault="0081617A" w:rsidP="0081617A">
      <w:pPr>
        <w:ind w:firstLine="720"/>
        <w:jc w:val="both"/>
        <w:rPr>
          <w:sz w:val="20"/>
          <w:szCs w:val="20"/>
        </w:rPr>
      </w:pPr>
      <w:r>
        <w:rPr>
          <w:sz w:val="20"/>
          <w:szCs w:val="20"/>
        </w:rPr>
        <w:t>Under our bylaws, expenses (including attorneys’ fees) incurred by an officer or director in defending any civil, criminal, administrative or investigative action, suit or proceeding may be paid by the Company in advance of the final disposition of such action, suit or proceeding upon receipt of an undertaking by or on behalf of such director or officer to repay such amount if it shall ultimately be determined that such person is not entitled to be indemnified by the Company. Such expenses (including attorneys’ fees) incurred by former directors and officers or other employees and agents may be so paid upon such terms and conditions, if any, as we deem appropriate.</w:t>
      </w:r>
    </w:p>
    <w:p w14:paraId="2684B6AC" w14:textId="77777777" w:rsidR="0081617A" w:rsidRDefault="0081617A" w:rsidP="0081617A">
      <w:pPr>
        <w:ind w:firstLine="720"/>
        <w:jc w:val="both"/>
        <w:rPr>
          <w:sz w:val="20"/>
          <w:szCs w:val="20"/>
        </w:rPr>
      </w:pPr>
    </w:p>
    <w:p w14:paraId="4C60AFDD" w14:textId="77777777" w:rsidR="0081617A" w:rsidRDefault="0081617A" w:rsidP="0081617A">
      <w:pPr>
        <w:ind w:firstLine="720"/>
        <w:jc w:val="both"/>
        <w:rPr>
          <w:sz w:val="20"/>
          <w:szCs w:val="20"/>
        </w:rPr>
      </w:pPr>
      <w:r>
        <w:rPr>
          <w:sz w:val="20"/>
          <w:szCs w:val="20"/>
        </w:rPr>
        <w:lastRenderedPageBreak/>
        <w:t>The indemnification and advancement of expenses provided by our bylaws is not exclusive, both as to action in such person’s official capacity and as to action in another capacity while holding such office.</w:t>
      </w:r>
    </w:p>
    <w:p w14:paraId="344780C9" w14:textId="77777777" w:rsidR="0081617A" w:rsidRDefault="0081617A" w:rsidP="0081617A">
      <w:pPr>
        <w:ind w:firstLine="720"/>
        <w:jc w:val="both"/>
        <w:rPr>
          <w:sz w:val="20"/>
          <w:szCs w:val="20"/>
        </w:rPr>
      </w:pPr>
    </w:p>
    <w:p w14:paraId="36246E25" w14:textId="77777777" w:rsidR="0081617A" w:rsidRDefault="0081617A" w:rsidP="0081617A">
      <w:pPr>
        <w:ind w:firstLine="720"/>
        <w:jc w:val="both"/>
        <w:rPr>
          <w:sz w:val="20"/>
          <w:szCs w:val="20"/>
        </w:rPr>
      </w:pPr>
      <w:r>
        <w:rPr>
          <w:sz w:val="20"/>
          <w:szCs w:val="20"/>
        </w:rPr>
        <w:t>Our bylaws also provide that we may purchase and maintain insurance on behalf of any person who is or was a director, officer, employee or agent of the Company, or is or was serving at the request of the Company as a director, officer, employee or agent of another corporation, partnership, joint venture, trust or other enterprise against any liability asserted against such person and incurred by such person in any such capacity, or arising out of such person’s status as such, whether or not the Company would have the power to indemnify such person against such liability under our bylaws. The Company maintains an insurance policy providing for indemnification of its officers, directors and certain other persons against liabilities and expenses incurred by any of them in certain stated proceedings and under certain stated conditions.</w:t>
      </w:r>
    </w:p>
    <w:p w14:paraId="2EA25417" w14:textId="77777777" w:rsidR="0081617A" w:rsidRDefault="0081617A" w:rsidP="0081617A">
      <w:pPr>
        <w:ind w:firstLine="720"/>
        <w:jc w:val="both"/>
        <w:rPr>
          <w:sz w:val="20"/>
          <w:szCs w:val="20"/>
        </w:rPr>
      </w:pPr>
    </w:p>
    <w:p w14:paraId="2480B73F" w14:textId="77777777" w:rsidR="00171CB0" w:rsidRDefault="0081617A" w:rsidP="0081617A">
      <w:pPr>
        <w:ind w:firstLine="720"/>
        <w:jc w:val="both"/>
        <w:rPr>
          <w:sz w:val="20"/>
          <w:szCs w:val="20"/>
        </w:rPr>
      </w:pPr>
      <w:r>
        <w:rPr>
          <w:sz w:val="20"/>
          <w:szCs w:val="20"/>
        </w:rPr>
        <w:t xml:space="preserve">In October 2006, </w:t>
      </w:r>
      <w:proofErr w:type="spellStart"/>
      <w:r>
        <w:rPr>
          <w:sz w:val="20"/>
          <w:szCs w:val="20"/>
        </w:rPr>
        <w:t>GeoVax</w:t>
      </w:r>
      <w:proofErr w:type="spellEnd"/>
      <w:r>
        <w:rPr>
          <w:sz w:val="20"/>
          <w:szCs w:val="20"/>
        </w:rPr>
        <w:t xml:space="preserve"> and our subsidiary, </w:t>
      </w:r>
      <w:proofErr w:type="spellStart"/>
      <w:r>
        <w:rPr>
          <w:sz w:val="20"/>
          <w:szCs w:val="20"/>
        </w:rPr>
        <w:t>GeoVax</w:t>
      </w:r>
      <w:proofErr w:type="spellEnd"/>
      <w:r>
        <w:rPr>
          <w:sz w:val="20"/>
          <w:szCs w:val="20"/>
        </w:rPr>
        <w:t>, Inc. entered into indemnification agreements with Messrs. McNally, Reynolds, Kollintzas and Spencer. Pursuant to these agreements, we have agreed to hold harmless and indemnify these directors and officers to the full extent authorized or permitted by applicable Illinois and Georgia law against certain expenses and other liabilities actually and reasonably incurred by these individuals in connection with certain proceedings if they acted in a manner they believed in good faith to be in or not opposed to the best interests of the Company and, with respect to any criminal proceeding, had no reasonable cause to believe that such conduct was unlawful. The agreements also provide for the advancement of expenses to these individuals subject to specified conditions. Under these agreements, we will not indemnify these individuals for expenses or other amounts for which applicable Illinois and Georgia law prohibit indemnification. The obligations under these agreements continue during the period in which these individuals are our directors or officers and continue thereafter so long as these individuals shall be subject to any proceeding by reason of their service to the Company, whether or not they are serving in any such capacity at the time the liability or expense incurred for which indemnification can be provided under the agreements.</w:t>
      </w:r>
    </w:p>
    <w:p w14:paraId="7902AAE6" w14:textId="77777777" w:rsidR="0081617A" w:rsidRDefault="0081617A" w:rsidP="0081617A">
      <w:pPr>
        <w:ind w:firstLine="720"/>
        <w:jc w:val="both"/>
        <w:rPr>
          <w:sz w:val="20"/>
          <w:szCs w:val="20"/>
        </w:rPr>
      </w:pPr>
    </w:p>
    <w:p w14:paraId="7663308A" w14:textId="77777777" w:rsidR="0081617A" w:rsidRDefault="0081617A" w:rsidP="0081617A">
      <w:pPr>
        <w:ind w:firstLine="720"/>
        <w:jc w:val="both"/>
        <w:rPr>
          <w:sz w:val="20"/>
          <w:szCs w:val="20"/>
        </w:rPr>
      </w:pPr>
      <w:r w:rsidRPr="0081617A">
        <w:rPr>
          <w:sz w:val="20"/>
          <w:szCs w:val="20"/>
        </w:rPr>
        <w:t>Insofar as indemnification for liabilities arising under the Securities Act may be permitted to directors, officers or persons controlling the registrant pursuant to the foregoing provisions, the registrant has been informed that in the opinion of the SEC such indemnification is against public policy as expressed in the Securities Act and is therefore unenforceable.</w:t>
      </w:r>
    </w:p>
    <w:p w14:paraId="564A090E" w14:textId="77777777" w:rsidR="0081617A" w:rsidRPr="0081617A" w:rsidRDefault="0081617A" w:rsidP="0081617A">
      <w:pPr>
        <w:ind w:firstLine="720"/>
        <w:jc w:val="both"/>
        <w:rPr>
          <w:sz w:val="20"/>
          <w:szCs w:val="20"/>
        </w:rPr>
      </w:pPr>
    </w:p>
    <w:p w14:paraId="714A3FB7" w14:textId="77777777" w:rsidR="0081617A" w:rsidRDefault="0081617A" w:rsidP="0081617A">
      <w:pPr>
        <w:ind w:firstLine="720"/>
        <w:jc w:val="both"/>
        <w:rPr>
          <w:sz w:val="20"/>
          <w:szCs w:val="20"/>
        </w:rPr>
      </w:pPr>
      <w:r w:rsidRPr="0081617A">
        <w:rPr>
          <w:sz w:val="20"/>
          <w:szCs w:val="20"/>
        </w:rPr>
        <w:t>In the event that a claims for indemnification against such liabilities (other than our payment of expenses incurred or paid by a director, officer or controlling person in the successful defense of any action, suit or proceeding) is asserted by such director, officer or controlling person in connection with the securities being registered, we will, unless in the opinion of our counsel the matter has been settled by controlling precedent, submit to a court of appropriate jurisdiction the question whether such indemnification by us is against public policy as expressed in the Securities Act and will be governed by the final adjudication of such issue.</w:t>
      </w:r>
    </w:p>
    <w:p w14:paraId="487B4352" w14:textId="77777777" w:rsidR="0081617A" w:rsidRDefault="0081617A" w:rsidP="00A84152">
      <w:pPr>
        <w:jc w:val="both"/>
        <w:rPr>
          <w:b/>
          <w:bCs/>
          <w:sz w:val="20"/>
          <w:szCs w:val="20"/>
        </w:rPr>
      </w:pPr>
    </w:p>
    <w:p w14:paraId="3BD273BC" w14:textId="77777777" w:rsidR="00A84152" w:rsidRPr="00A84152" w:rsidRDefault="00A84152" w:rsidP="00A84152">
      <w:pPr>
        <w:jc w:val="both"/>
        <w:rPr>
          <w:b/>
          <w:bCs/>
          <w:sz w:val="20"/>
          <w:szCs w:val="20"/>
        </w:rPr>
      </w:pPr>
      <w:r w:rsidRPr="00A84152">
        <w:rPr>
          <w:b/>
          <w:bCs/>
          <w:sz w:val="20"/>
          <w:szCs w:val="20"/>
        </w:rPr>
        <w:t>Transfer Agent, Warrant Agent and Registrar</w:t>
      </w:r>
    </w:p>
    <w:p w14:paraId="13AED010" w14:textId="77777777" w:rsidR="00A84152" w:rsidRPr="00A84152" w:rsidRDefault="00A84152" w:rsidP="00A84152">
      <w:pPr>
        <w:jc w:val="both"/>
        <w:rPr>
          <w:b/>
          <w:bCs/>
          <w:sz w:val="20"/>
          <w:szCs w:val="20"/>
        </w:rPr>
      </w:pPr>
    </w:p>
    <w:p w14:paraId="3470A458" w14:textId="77777777" w:rsidR="0087113F" w:rsidRPr="0081617A" w:rsidRDefault="00A84152" w:rsidP="00A84152">
      <w:pPr>
        <w:ind w:firstLine="720"/>
        <w:jc w:val="both"/>
        <w:rPr>
          <w:sz w:val="20"/>
          <w:szCs w:val="20"/>
        </w:rPr>
      </w:pPr>
      <w:r w:rsidRPr="00A84152">
        <w:rPr>
          <w:bCs/>
          <w:sz w:val="20"/>
          <w:szCs w:val="20"/>
        </w:rPr>
        <w:t xml:space="preserve">The transfer agent and registrar for our common stock and warrant agent for our September Warrants is </w:t>
      </w:r>
      <w:r w:rsidRPr="0081617A">
        <w:rPr>
          <w:bCs/>
          <w:sz w:val="20"/>
          <w:szCs w:val="20"/>
        </w:rPr>
        <w:t>American Stock Transfer &amp; Trust Company, LLC, 6201 15th Avenue, Brooklyn, NY 11219, telephone (718) 921-8200.</w:t>
      </w:r>
      <w:r w:rsidR="004837DC" w:rsidRPr="0081617A">
        <w:rPr>
          <w:sz w:val="20"/>
          <w:szCs w:val="20"/>
        </w:rPr>
        <w:t> </w:t>
      </w:r>
    </w:p>
    <w:p w14:paraId="605D9617" w14:textId="77777777" w:rsidR="00A84152" w:rsidRPr="0081617A" w:rsidRDefault="00A84152">
      <w:pPr>
        <w:jc w:val="both"/>
        <w:rPr>
          <w:b/>
          <w:bCs/>
          <w:sz w:val="20"/>
          <w:szCs w:val="20"/>
        </w:rPr>
      </w:pPr>
    </w:p>
    <w:p w14:paraId="0153CD32" w14:textId="77777777" w:rsidR="0087113F" w:rsidRPr="0081617A" w:rsidRDefault="004837DC">
      <w:pPr>
        <w:jc w:val="both"/>
        <w:rPr>
          <w:sz w:val="20"/>
          <w:szCs w:val="20"/>
        </w:rPr>
      </w:pPr>
      <w:r w:rsidRPr="0081617A">
        <w:rPr>
          <w:b/>
          <w:bCs/>
          <w:sz w:val="20"/>
          <w:szCs w:val="20"/>
        </w:rPr>
        <w:t>Listing</w:t>
      </w:r>
    </w:p>
    <w:p w14:paraId="06F3ACAB" w14:textId="77777777" w:rsidR="0087113F" w:rsidRPr="0081617A" w:rsidRDefault="004837DC">
      <w:pPr>
        <w:jc w:val="both"/>
        <w:rPr>
          <w:sz w:val="20"/>
          <w:szCs w:val="20"/>
        </w:rPr>
      </w:pPr>
      <w:r w:rsidRPr="0081617A">
        <w:rPr>
          <w:sz w:val="20"/>
          <w:szCs w:val="20"/>
        </w:rPr>
        <w:t> </w:t>
      </w:r>
    </w:p>
    <w:p w14:paraId="4D33C3C2" w14:textId="77777777" w:rsidR="0087113F" w:rsidRPr="0081617A" w:rsidRDefault="004837DC">
      <w:pPr>
        <w:ind w:firstLine="720"/>
        <w:jc w:val="both"/>
        <w:rPr>
          <w:sz w:val="20"/>
          <w:szCs w:val="20"/>
        </w:rPr>
      </w:pPr>
      <w:r w:rsidRPr="0081617A">
        <w:rPr>
          <w:sz w:val="20"/>
          <w:szCs w:val="20"/>
        </w:rPr>
        <w:t xml:space="preserve">Our </w:t>
      </w:r>
      <w:r w:rsidR="0081617A" w:rsidRPr="0081617A">
        <w:rPr>
          <w:sz w:val="20"/>
          <w:szCs w:val="20"/>
        </w:rPr>
        <w:t>c</w:t>
      </w:r>
      <w:r w:rsidRPr="0081617A">
        <w:rPr>
          <w:sz w:val="20"/>
          <w:szCs w:val="20"/>
        </w:rPr>
        <w:t xml:space="preserve">ommon </w:t>
      </w:r>
      <w:r w:rsidR="0081617A" w:rsidRPr="0081617A">
        <w:rPr>
          <w:sz w:val="20"/>
          <w:szCs w:val="20"/>
        </w:rPr>
        <w:t>s</w:t>
      </w:r>
      <w:r w:rsidRPr="0081617A">
        <w:rPr>
          <w:sz w:val="20"/>
          <w:szCs w:val="20"/>
        </w:rPr>
        <w:t xml:space="preserve">tock is listed on The </w:t>
      </w:r>
      <w:r w:rsidR="0081617A" w:rsidRPr="0081617A">
        <w:rPr>
          <w:sz w:val="20"/>
          <w:szCs w:val="20"/>
        </w:rPr>
        <w:t>Nasdaq Capital Market</w:t>
      </w:r>
      <w:r w:rsidRPr="0081617A">
        <w:rPr>
          <w:sz w:val="20"/>
          <w:szCs w:val="20"/>
        </w:rPr>
        <w:t xml:space="preserve"> under the symbol “</w:t>
      </w:r>
      <w:r w:rsidR="0081617A" w:rsidRPr="0081617A">
        <w:rPr>
          <w:sz w:val="20"/>
          <w:szCs w:val="20"/>
        </w:rPr>
        <w:t>GOVX</w:t>
      </w:r>
      <w:r w:rsidRPr="0081617A">
        <w:rPr>
          <w:sz w:val="20"/>
          <w:szCs w:val="20"/>
        </w:rPr>
        <w:t>.”</w:t>
      </w:r>
    </w:p>
    <w:p w14:paraId="55E9D230" w14:textId="77777777" w:rsidR="0087113F" w:rsidRPr="0081617A" w:rsidRDefault="004837DC">
      <w:pPr>
        <w:ind w:firstLine="720"/>
        <w:jc w:val="both"/>
        <w:rPr>
          <w:sz w:val="20"/>
          <w:szCs w:val="20"/>
        </w:rPr>
      </w:pPr>
      <w:r w:rsidRPr="0081617A">
        <w:rPr>
          <w:sz w:val="20"/>
          <w:szCs w:val="20"/>
        </w:rPr>
        <w:t> </w:t>
      </w:r>
    </w:p>
    <w:p w14:paraId="06316265" w14:textId="77777777" w:rsidR="00C56AF0" w:rsidRDefault="004837DC">
      <w:pPr>
        <w:ind w:firstLine="720"/>
        <w:jc w:val="both"/>
        <w:rPr>
          <w:sz w:val="20"/>
          <w:szCs w:val="20"/>
        </w:rPr>
        <w:sectPr w:rsidR="00C56AF0" w:rsidSect="00AE0555">
          <w:pgSz w:w="12240" w:h="15840"/>
          <w:pgMar w:top="1440" w:right="1440" w:bottom="1440" w:left="1440" w:header="720" w:footer="720" w:gutter="0"/>
          <w:cols w:space="720"/>
          <w:docGrid w:linePitch="326"/>
        </w:sectPr>
      </w:pPr>
      <w:r w:rsidRPr="00C56AF0">
        <w:rPr>
          <w:sz w:val="20"/>
          <w:szCs w:val="20"/>
        </w:rPr>
        <w:t> </w:t>
      </w:r>
    </w:p>
    <w:p w14:paraId="2F985FD6" w14:textId="77777777" w:rsidR="0087113F" w:rsidRPr="00C56AF0" w:rsidRDefault="004837DC">
      <w:pPr>
        <w:jc w:val="center"/>
        <w:rPr>
          <w:sz w:val="20"/>
          <w:szCs w:val="20"/>
        </w:rPr>
      </w:pPr>
      <w:bookmarkStart w:id="53" w:name="s_005"/>
      <w:bookmarkEnd w:id="53"/>
      <w:r w:rsidRPr="00C56AF0">
        <w:rPr>
          <w:b/>
          <w:bCs/>
          <w:caps/>
          <w:sz w:val="20"/>
          <w:szCs w:val="20"/>
        </w:rPr>
        <w:lastRenderedPageBreak/>
        <w:t>PLAN OF DISTRIBUTION</w:t>
      </w:r>
    </w:p>
    <w:p w14:paraId="03A14F7D" w14:textId="4A72B7C0" w:rsidR="0087113F" w:rsidRPr="00C56AF0" w:rsidRDefault="004837DC">
      <w:pPr>
        <w:jc w:val="center"/>
        <w:rPr>
          <w:sz w:val="20"/>
          <w:szCs w:val="20"/>
        </w:rPr>
      </w:pPr>
      <w:r w:rsidRPr="00C56AF0">
        <w:rPr>
          <w:sz w:val="20"/>
          <w:szCs w:val="20"/>
        </w:rPr>
        <w:t> </w:t>
      </w:r>
    </w:p>
    <w:p w14:paraId="5E733178" w14:textId="6DE729F7" w:rsidR="00C56AF0" w:rsidRDefault="005B1C7A" w:rsidP="00C56AF0">
      <w:pPr>
        <w:ind w:firstLine="720"/>
        <w:jc w:val="both"/>
        <w:rPr>
          <w:sz w:val="20"/>
          <w:szCs w:val="20"/>
        </w:rPr>
      </w:pPr>
      <w:r>
        <w:rPr>
          <w:sz w:val="20"/>
          <w:szCs w:val="20"/>
        </w:rPr>
        <w:t xml:space="preserve">Each </w:t>
      </w:r>
      <w:r w:rsidR="00C56AF0" w:rsidRPr="00C56AF0">
        <w:rPr>
          <w:sz w:val="20"/>
          <w:szCs w:val="20"/>
        </w:rPr>
        <w:t xml:space="preserve">Selling Stockholder and any of </w:t>
      </w:r>
      <w:r>
        <w:rPr>
          <w:sz w:val="20"/>
          <w:szCs w:val="20"/>
        </w:rPr>
        <w:t xml:space="preserve">their respective </w:t>
      </w:r>
      <w:r w:rsidR="00C56AF0" w:rsidRPr="00C56AF0">
        <w:rPr>
          <w:sz w:val="20"/>
          <w:szCs w:val="20"/>
        </w:rPr>
        <w:t xml:space="preserve">pledgees, assignees and successors-in-interest may, from time to time, sell any or all of their securities covered hereby on the </w:t>
      </w:r>
      <w:r w:rsidR="00C56AF0">
        <w:rPr>
          <w:sz w:val="20"/>
          <w:szCs w:val="20"/>
        </w:rPr>
        <w:t xml:space="preserve">Nasdaq or any other stock </w:t>
      </w:r>
      <w:r w:rsidR="00C56AF0" w:rsidRPr="00C56AF0">
        <w:rPr>
          <w:sz w:val="20"/>
          <w:szCs w:val="20"/>
        </w:rPr>
        <w:t>exchange, market or trading facility on which the securities are traded or in p</w:t>
      </w:r>
      <w:r w:rsidR="00C56AF0">
        <w:rPr>
          <w:sz w:val="20"/>
          <w:szCs w:val="20"/>
        </w:rPr>
        <w:t xml:space="preserve">rivate </w:t>
      </w:r>
      <w:r w:rsidR="00C56AF0" w:rsidRPr="00C56AF0">
        <w:rPr>
          <w:sz w:val="20"/>
          <w:szCs w:val="20"/>
        </w:rPr>
        <w:t>transactions. These sales may be at fixed or negotiate</w:t>
      </w:r>
      <w:r w:rsidR="00C56AF0">
        <w:rPr>
          <w:sz w:val="20"/>
          <w:szCs w:val="20"/>
        </w:rPr>
        <w:t xml:space="preserve">d prices. </w:t>
      </w:r>
      <w:r>
        <w:rPr>
          <w:sz w:val="20"/>
          <w:szCs w:val="20"/>
        </w:rPr>
        <w:t xml:space="preserve">Each </w:t>
      </w:r>
      <w:r w:rsidR="00C56AF0">
        <w:rPr>
          <w:sz w:val="20"/>
          <w:szCs w:val="20"/>
        </w:rPr>
        <w:t xml:space="preserve">Selling Stockholder </w:t>
      </w:r>
      <w:r w:rsidR="00C56AF0" w:rsidRPr="00C56AF0">
        <w:rPr>
          <w:sz w:val="20"/>
          <w:szCs w:val="20"/>
        </w:rPr>
        <w:t>may use any one or more of the following methods when selling securities:</w:t>
      </w:r>
    </w:p>
    <w:p w14:paraId="043DB83E" w14:textId="77777777" w:rsidR="00C56AF0" w:rsidRPr="00C56AF0" w:rsidRDefault="00C56AF0" w:rsidP="00C56AF0">
      <w:pPr>
        <w:ind w:firstLine="720"/>
        <w:jc w:val="both"/>
        <w:rPr>
          <w:sz w:val="20"/>
          <w:szCs w:val="20"/>
        </w:rPr>
      </w:pPr>
    </w:p>
    <w:p w14:paraId="4ED1C85D" w14:textId="77777777" w:rsidR="00C56AF0" w:rsidRDefault="00C56AF0" w:rsidP="00C73E0F">
      <w:pPr>
        <w:pStyle w:val="ListParagraph"/>
        <w:numPr>
          <w:ilvl w:val="0"/>
          <w:numId w:val="4"/>
        </w:numPr>
        <w:jc w:val="both"/>
        <w:rPr>
          <w:sz w:val="20"/>
          <w:szCs w:val="20"/>
        </w:rPr>
      </w:pPr>
      <w:r w:rsidRPr="00C56AF0">
        <w:rPr>
          <w:sz w:val="20"/>
          <w:szCs w:val="20"/>
        </w:rPr>
        <w:t>ordinary brokerage transactions and transactions in which the</w:t>
      </w:r>
      <w:r>
        <w:rPr>
          <w:sz w:val="20"/>
          <w:szCs w:val="20"/>
        </w:rPr>
        <w:t xml:space="preserve"> </w:t>
      </w:r>
      <w:r w:rsidRPr="00C56AF0">
        <w:rPr>
          <w:sz w:val="20"/>
          <w:szCs w:val="20"/>
        </w:rPr>
        <w:t>broker-dealer solicits purchasers;</w:t>
      </w:r>
    </w:p>
    <w:p w14:paraId="67844AC5" w14:textId="77777777" w:rsidR="00C56AF0" w:rsidRDefault="00C56AF0" w:rsidP="00C73E0F">
      <w:pPr>
        <w:pStyle w:val="ListParagraph"/>
        <w:numPr>
          <w:ilvl w:val="0"/>
          <w:numId w:val="4"/>
        </w:numPr>
        <w:jc w:val="both"/>
        <w:rPr>
          <w:sz w:val="20"/>
          <w:szCs w:val="20"/>
        </w:rPr>
      </w:pPr>
      <w:r w:rsidRPr="00C56AF0">
        <w:rPr>
          <w:sz w:val="20"/>
          <w:szCs w:val="20"/>
        </w:rPr>
        <w:t>block trades in which the broker-dealer will attempt to sell the securities as</w:t>
      </w:r>
      <w:r>
        <w:rPr>
          <w:sz w:val="20"/>
          <w:szCs w:val="20"/>
        </w:rPr>
        <w:t xml:space="preserve"> </w:t>
      </w:r>
      <w:r w:rsidRPr="00C56AF0">
        <w:rPr>
          <w:sz w:val="20"/>
          <w:szCs w:val="20"/>
        </w:rPr>
        <w:t>agent but may position and resell a portion of the block as principal to</w:t>
      </w:r>
      <w:r>
        <w:rPr>
          <w:sz w:val="20"/>
          <w:szCs w:val="20"/>
        </w:rPr>
        <w:t xml:space="preserve"> </w:t>
      </w:r>
      <w:r w:rsidRPr="00C56AF0">
        <w:rPr>
          <w:sz w:val="20"/>
          <w:szCs w:val="20"/>
        </w:rPr>
        <w:t>facilitate the transaction;</w:t>
      </w:r>
      <w:r>
        <w:rPr>
          <w:sz w:val="20"/>
          <w:szCs w:val="20"/>
        </w:rPr>
        <w:t xml:space="preserve"> </w:t>
      </w:r>
    </w:p>
    <w:p w14:paraId="7064E78A" w14:textId="77777777" w:rsidR="00C56AF0" w:rsidRDefault="00C56AF0" w:rsidP="00C73E0F">
      <w:pPr>
        <w:pStyle w:val="ListParagraph"/>
        <w:numPr>
          <w:ilvl w:val="0"/>
          <w:numId w:val="4"/>
        </w:numPr>
        <w:jc w:val="both"/>
        <w:rPr>
          <w:sz w:val="20"/>
          <w:szCs w:val="20"/>
        </w:rPr>
      </w:pPr>
      <w:r w:rsidRPr="00C56AF0">
        <w:rPr>
          <w:sz w:val="20"/>
          <w:szCs w:val="20"/>
        </w:rPr>
        <w:t>purchases by a broker-dealer as principal and resale by the broker-dealer</w:t>
      </w:r>
      <w:r>
        <w:rPr>
          <w:sz w:val="20"/>
          <w:szCs w:val="20"/>
        </w:rPr>
        <w:t xml:space="preserve"> </w:t>
      </w:r>
      <w:r w:rsidRPr="00C56AF0">
        <w:rPr>
          <w:sz w:val="20"/>
          <w:szCs w:val="20"/>
        </w:rPr>
        <w:t>for its account;</w:t>
      </w:r>
    </w:p>
    <w:p w14:paraId="09705223" w14:textId="77777777" w:rsidR="00C56AF0" w:rsidRDefault="00C56AF0" w:rsidP="00C73E0F">
      <w:pPr>
        <w:pStyle w:val="ListParagraph"/>
        <w:numPr>
          <w:ilvl w:val="0"/>
          <w:numId w:val="4"/>
        </w:numPr>
        <w:jc w:val="both"/>
        <w:rPr>
          <w:sz w:val="20"/>
          <w:szCs w:val="20"/>
        </w:rPr>
      </w:pPr>
      <w:r w:rsidRPr="00C56AF0">
        <w:rPr>
          <w:sz w:val="20"/>
          <w:szCs w:val="20"/>
        </w:rPr>
        <w:t>an exchange distribution in accordance with the rules of the applicable</w:t>
      </w:r>
      <w:r>
        <w:rPr>
          <w:sz w:val="20"/>
          <w:szCs w:val="20"/>
        </w:rPr>
        <w:t xml:space="preserve"> </w:t>
      </w:r>
      <w:r w:rsidRPr="00C56AF0">
        <w:rPr>
          <w:sz w:val="20"/>
          <w:szCs w:val="20"/>
        </w:rPr>
        <w:t>exchange;</w:t>
      </w:r>
    </w:p>
    <w:p w14:paraId="2086FB39" w14:textId="77777777" w:rsidR="00C56AF0" w:rsidRDefault="00C56AF0" w:rsidP="00C73E0F">
      <w:pPr>
        <w:pStyle w:val="ListParagraph"/>
        <w:numPr>
          <w:ilvl w:val="0"/>
          <w:numId w:val="4"/>
        </w:numPr>
        <w:jc w:val="both"/>
        <w:rPr>
          <w:sz w:val="20"/>
          <w:szCs w:val="20"/>
        </w:rPr>
      </w:pPr>
      <w:r w:rsidRPr="00C56AF0">
        <w:rPr>
          <w:sz w:val="20"/>
          <w:szCs w:val="20"/>
        </w:rPr>
        <w:t>privately negotiated transactions;</w:t>
      </w:r>
    </w:p>
    <w:p w14:paraId="1054C9B9" w14:textId="77777777" w:rsidR="00C56AF0" w:rsidRDefault="00C56AF0" w:rsidP="00C73E0F">
      <w:pPr>
        <w:pStyle w:val="ListParagraph"/>
        <w:numPr>
          <w:ilvl w:val="0"/>
          <w:numId w:val="4"/>
        </w:numPr>
        <w:jc w:val="both"/>
        <w:rPr>
          <w:sz w:val="20"/>
          <w:szCs w:val="20"/>
        </w:rPr>
      </w:pPr>
      <w:r w:rsidRPr="00C56AF0">
        <w:rPr>
          <w:sz w:val="20"/>
          <w:szCs w:val="20"/>
        </w:rPr>
        <w:t>settlement of short sales;</w:t>
      </w:r>
    </w:p>
    <w:p w14:paraId="5AD5183F" w14:textId="510ECC62" w:rsidR="00C56AF0" w:rsidRDefault="00C56AF0" w:rsidP="00C73E0F">
      <w:pPr>
        <w:pStyle w:val="ListParagraph"/>
        <w:numPr>
          <w:ilvl w:val="0"/>
          <w:numId w:val="4"/>
        </w:numPr>
        <w:jc w:val="both"/>
        <w:rPr>
          <w:sz w:val="20"/>
          <w:szCs w:val="20"/>
        </w:rPr>
      </w:pPr>
      <w:r w:rsidRPr="00C56AF0">
        <w:rPr>
          <w:sz w:val="20"/>
          <w:szCs w:val="20"/>
        </w:rPr>
        <w:t xml:space="preserve">in transactions through broker-dealers that agree with </w:t>
      </w:r>
      <w:r w:rsidR="005B1C7A">
        <w:rPr>
          <w:sz w:val="20"/>
          <w:szCs w:val="20"/>
        </w:rPr>
        <w:t>such</w:t>
      </w:r>
      <w:r w:rsidRPr="00C56AF0">
        <w:rPr>
          <w:sz w:val="20"/>
          <w:szCs w:val="20"/>
        </w:rPr>
        <w:t xml:space="preserve"> Selling</w:t>
      </w:r>
      <w:r>
        <w:rPr>
          <w:sz w:val="20"/>
          <w:szCs w:val="20"/>
        </w:rPr>
        <w:t xml:space="preserve"> </w:t>
      </w:r>
      <w:r w:rsidRPr="00C56AF0">
        <w:rPr>
          <w:sz w:val="20"/>
          <w:szCs w:val="20"/>
        </w:rPr>
        <w:t>Stockholder to sell a specified number of such securities at a stipulated</w:t>
      </w:r>
      <w:r>
        <w:rPr>
          <w:sz w:val="20"/>
          <w:szCs w:val="20"/>
        </w:rPr>
        <w:t xml:space="preserve"> </w:t>
      </w:r>
      <w:r w:rsidRPr="00C56AF0">
        <w:rPr>
          <w:sz w:val="20"/>
          <w:szCs w:val="20"/>
        </w:rPr>
        <w:t>price per security;</w:t>
      </w:r>
    </w:p>
    <w:p w14:paraId="4D342C05" w14:textId="77777777" w:rsidR="00C56AF0" w:rsidRDefault="00C56AF0" w:rsidP="00C73E0F">
      <w:pPr>
        <w:pStyle w:val="ListParagraph"/>
        <w:numPr>
          <w:ilvl w:val="0"/>
          <w:numId w:val="4"/>
        </w:numPr>
        <w:jc w:val="both"/>
        <w:rPr>
          <w:sz w:val="20"/>
          <w:szCs w:val="20"/>
        </w:rPr>
      </w:pPr>
      <w:r w:rsidRPr="00C56AF0">
        <w:rPr>
          <w:sz w:val="20"/>
          <w:szCs w:val="20"/>
        </w:rPr>
        <w:t>through the writing or settlement of options or other hedging transactions,</w:t>
      </w:r>
      <w:r>
        <w:rPr>
          <w:sz w:val="20"/>
          <w:szCs w:val="20"/>
        </w:rPr>
        <w:t xml:space="preserve"> </w:t>
      </w:r>
      <w:r w:rsidRPr="00C56AF0">
        <w:rPr>
          <w:sz w:val="20"/>
          <w:szCs w:val="20"/>
        </w:rPr>
        <w:t>whether through an options exchange or otherwise;</w:t>
      </w:r>
    </w:p>
    <w:p w14:paraId="6822B804" w14:textId="77777777" w:rsidR="00C56AF0" w:rsidRDefault="00C56AF0" w:rsidP="00C73E0F">
      <w:pPr>
        <w:pStyle w:val="ListParagraph"/>
        <w:numPr>
          <w:ilvl w:val="0"/>
          <w:numId w:val="4"/>
        </w:numPr>
        <w:jc w:val="both"/>
        <w:rPr>
          <w:sz w:val="20"/>
          <w:szCs w:val="20"/>
        </w:rPr>
      </w:pPr>
      <w:r w:rsidRPr="00C56AF0">
        <w:rPr>
          <w:sz w:val="20"/>
          <w:szCs w:val="20"/>
        </w:rPr>
        <w:t>a combination of any such methods of sale; or</w:t>
      </w:r>
    </w:p>
    <w:p w14:paraId="1C3581C4" w14:textId="77777777" w:rsidR="00C56AF0" w:rsidRPr="00C56AF0" w:rsidRDefault="00C56AF0" w:rsidP="00C73E0F">
      <w:pPr>
        <w:pStyle w:val="ListParagraph"/>
        <w:numPr>
          <w:ilvl w:val="0"/>
          <w:numId w:val="4"/>
        </w:numPr>
        <w:jc w:val="both"/>
        <w:rPr>
          <w:sz w:val="20"/>
          <w:szCs w:val="20"/>
        </w:rPr>
      </w:pPr>
      <w:r w:rsidRPr="00C56AF0">
        <w:rPr>
          <w:sz w:val="20"/>
          <w:szCs w:val="20"/>
        </w:rPr>
        <w:t>any other method permitted pursuant to applicable law.</w:t>
      </w:r>
    </w:p>
    <w:p w14:paraId="4BBFEB7C" w14:textId="77777777" w:rsidR="00C56AF0" w:rsidRDefault="00C56AF0" w:rsidP="00C56AF0">
      <w:pPr>
        <w:ind w:firstLine="720"/>
        <w:jc w:val="both"/>
        <w:rPr>
          <w:sz w:val="20"/>
          <w:szCs w:val="20"/>
        </w:rPr>
      </w:pPr>
    </w:p>
    <w:p w14:paraId="1CB9BF21" w14:textId="3D2F08EA" w:rsidR="00C56AF0" w:rsidRPr="00C56AF0" w:rsidRDefault="005B1C7A" w:rsidP="00C56AF0">
      <w:pPr>
        <w:ind w:firstLine="720"/>
        <w:jc w:val="both"/>
        <w:rPr>
          <w:sz w:val="20"/>
          <w:szCs w:val="20"/>
        </w:rPr>
      </w:pPr>
      <w:r>
        <w:rPr>
          <w:sz w:val="20"/>
          <w:szCs w:val="20"/>
        </w:rPr>
        <w:t>Each</w:t>
      </w:r>
      <w:r w:rsidR="00C56AF0" w:rsidRPr="00C56AF0">
        <w:rPr>
          <w:sz w:val="20"/>
          <w:szCs w:val="20"/>
        </w:rPr>
        <w:t xml:space="preserve"> Selling Stockholder may also sell securit</w:t>
      </w:r>
      <w:r w:rsidR="00C56AF0">
        <w:rPr>
          <w:sz w:val="20"/>
          <w:szCs w:val="20"/>
        </w:rPr>
        <w:t xml:space="preserve">ies under Rule 144 or any other </w:t>
      </w:r>
      <w:r w:rsidR="00C56AF0" w:rsidRPr="00C56AF0">
        <w:rPr>
          <w:sz w:val="20"/>
          <w:szCs w:val="20"/>
        </w:rPr>
        <w:t xml:space="preserve">exemption from registration under the </w:t>
      </w:r>
      <w:r w:rsidR="00A0408C">
        <w:rPr>
          <w:sz w:val="20"/>
          <w:szCs w:val="20"/>
        </w:rPr>
        <w:t>Securities Act</w:t>
      </w:r>
      <w:r w:rsidR="00C56AF0" w:rsidRPr="00C56AF0">
        <w:rPr>
          <w:sz w:val="20"/>
          <w:szCs w:val="20"/>
        </w:rPr>
        <w:t>, if available, rather than under this prospectus.</w:t>
      </w:r>
    </w:p>
    <w:p w14:paraId="1CE6089E" w14:textId="77777777" w:rsidR="00C56AF0" w:rsidRDefault="00C56AF0" w:rsidP="00C56AF0">
      <w:pPr>
        <w:ind w:firstLine="720"/>
        <w:jc w:val="both"/>
        <w:rPr>
          <w:sz w:val="20"/>
          <w:szCs w:val="20"/>
        </w:rPr>
      </w:pPr>
    </w:p>
    <w:p w14:paraId="3FE54EA5" w14:textId="2B7E761F" w:rsidR="00C56AF0" w:rsidRDefault="00C56AF0" w:rsidP="00C56AF0">
      <w:pPr>
        <w:ind w:firstLine="720"/>
        <w:jc w:val="both"/>
        <w:rPr>
          <w:sz w:val="20"/>
          <w:szCs w:val="20"/>
        </w:rPr>
      </w:pPr>
      <w:r w:rsidRPr="00C56AF0">
        <w:rPr>
          <w:sz w:val="20"/>
          <w:szCs w:val="20"/>
        </w:rPr>
        <w:t xml:space="preserve">Broker-dealers engaged by </w:t>
      </w:r>
      <w:r w:rsidR="005B1C7A">
        <w:rPr>
          <w:sz w:val="20"/>
          <w:szCs w:val="20"/>
        </w:rPr>
        <w:t>a</w:t>
      </w:r>
      <w:r w:rsidRPr="00C56AF0">
        <w:rPr>
          <w:sz w:val="20"/>
          <w:szCs w:val="20"/>
        </w:rPr>
        <w:t xml:space="preserve"> Selling St</w:t>
      </w:r>
      <w:r>
        <w:rPr>
          <w:sz w:val="20"/>
          <w:szCs w:val="20"/>
        </w:rPr>
        <w:t xml:space="preserve">ockholder may arrange for other </w:t>
      </w:r>
      <w:r w:rsidRPr="00C56AF0">
        <w:rPr>
          <w:sz w:val="20"/>
          <w:szCs w:val="20"/>
        </w:rPr>
        <w:t>brokers-dealers to participate in sales. Broker-dea</w:t>
      </w:r>
      <w:r>
        <w:rPr>
          <w:sz w:val="20"/>
          <w:szCs w:val="20"/>
        </w:rPr>
        <w:t xml:space="preserve">lers may receive commissions or </w:t>
      </w:r>
      <w:r w:rsidRPr="00C56AF0">
        <w:rPr>
          <w:sz w:val="20"/>
          <w:szCs w:val="20"/>
        </w:rPr>
        <w:t xml:space="preserve">discounts from </w:t>
      </w:r>
      <w:r w:rsidR="005B1C7A">
        <w:rPr>
          <w:sz w:val="20"/>
          <w:szCs w:val="20"/>
        </w:rPr>
        <w:t>a</w:t>
      </w:r>
      <w:r w:rsidRPr="00C56AF0">
        <w:rPr>
          <w:sz w:val="20"/>
          <w:szCs w:val="20"/>
        </w:rPr>
        <w:t xml:space="preserve"> Selling Stockholder (or, if any broker-dealer acts a</w:t>
      </w:r>
      <w:r>
        <w:rPr>
          <w:sz w:val="20"/>
          <w:szCs w:val="20"/>
        </w:rPr>
        <w:t xml:space="preserve">s agent for the </w:t>
      </w:r>
      <w:r w:rsidRPr="00C56AF0">
        <w:rPr>
          <w:sz w:val="20"/>
          <w:szCs w:val="20"/>
        </w:rPr>
        <w:t>purchaser of securities, from the purchaser) in amounts t</w:t>
      </w:r>
      <w:r>
        <w:rPr>
          <w:sz w:val="20"/>
          <w:szCs w:val="20"/>
        </w:rPr>
        <w:t xml:space="preserve">o be negotiated, but, except as </w:t>
      </w:r>
      <w:r w:rsidRPr="00C56AF0">
        <w:rPr>
          <w:sz w:val="20"/>
          <w:szCs w:val="20"/>
        </w:rPr>
        <w:t xml:space="preserve">set forth in a supplement to this Prospectus, in the case </w:t>
      </w:r>
      <w:r>
        <w:rPr>
          <w:sz w:val="20"/>
          <w:szCs w:val="20"/>
        </w:rPr>
        <w:t xml:space="preserve">of an agency transaction not in </w:t>
      </w:r>
      <w:r w:rsidRPr="00C56AF0">
        <w:rPr>
          <w:sz w:val="20"/>
          <w:szCs w:val="20"/>
        </w:rPr>
        <w:t>excess of a customary brokerage commission in compl</w:t>
      </w:r>
      <w:r>
        <w:rPr>
          <w:sz w:val="20"/>
          <w:szCs w:val="20"/>
        </w:rPr>
        <w:t xml:space="preserve">iance with FINRA Rule 2121; and </w:t>
      </w:r>
      <w:r w:rsidRPr="00C56AF0">
        <w:rPr>
          <w:sz w:val="20"/>
          <w:szCs w:val="20"/>
        </w:rPr>
        <w:t>in the case of a principal transaction a markup or ma</w:t>
      </w:r>
      <w:r>
        <w:rPr>
          <w:sz w:val="20"/>
          <w:szCs w:val="20"/>
        </w:rPr>
        <w:t xml:space="preserve">rkdown in compliance with FINRA </w:t>
      </w:r>
      <w:r w:rsidRPr="00C56AF0">
        <w:rPr>
          <w:sz w:val="20"/>
          <w:szCs w:val="20"/>
        </w:rPr>
        <w:t>Rule 2121.</w:t>
      </w:r>
    </w:p>
    <w:p w14:paraId="5B06E116" w14:textId="77777777" w:rsidR="00C56AF0" w:rsidRPr="00C56AF0" w:rsidRDefault="00C56AF0" w:rsidP="00C56AF0">
      <w:pPr>
        <w:ind w:firstLine="720"/>
        <w:jc w:val="both"/>
        <w:rPr>
          <w:sz w:val="20"/>
          <w:szCs w:val="20"/>
        </w:rPr>
      </w:pPr>
    </w:p>
    <w:p w14:paraId="31F5FE55" w14:textId="027CA94F" w:rsidR="00C56AF0" w:rsidRPr="00C56AF0" w:rsidRDefault="00C56AF0" w:rsidP="00C56AF0">
      <w:pPr>
        <w:ind w:firstLine="720"/>
        <w:jc w:val="both"/>
        <w:rPr>
          <w:sz w:val="20"/>
          <w:szCs w:val="20"/>
        </w:rPr>
      </w:pPr>
      <w:r w:rsidRPr="00C56AF0">
        <w:rPr>
          <w:sz w:val="20"/>
          <w:szCs w:val="20"/>
        </w:rPr>
        <w:t xml:space="preserve">In connection with the sale of the securities or interests therein, </w:t>
      </w:r>
      <w:r w:rsidR="005B1C7A">
        <w:rPr>
          <w:sz w:val="20"/>
          <w:szCs w:val="20"/>
        </w:rPr>
        <w:t>each</w:t>
      </w:r>
      <w:r w:rsidRPr="00C56AF0">
        <w:rPr>
          <w:sz w:val="20"/>
          <w:szCs w:val="20"/>
        </w:rPr>
        <w:t xml:space="preserve"> Selli</w:t>
      </w:r>
      <w:r>
        <w:rPr>
          <w:sz w:val="20"/>
          <w:szCs w:val="20"/>
        </w:rPr>
        <w:t xml:space="preserve">ng </w:t>
      </w:r>
      <w:r w:rsidRPr="00C56AF0">
        <w:rPr>
          <w:sz w:val="20"/>
          <w:szCs w:val="20"/>
        </w:rPr>
        <w:t>Stockholder may enter into hedging transactions with br</w:t>
      </w:r>
      <w:r>
        <w:rPr>
          <w:sz w:val="20"/>
          <w:szCs w:val="20"/>
        </w:rPr>
        <w:t xml:space="preserve">oker-dealers or other financial </w:t>
      </w:r>
      <w:r w:rsidRPr="00C56AF0">
        <w:rPr>
          <w:sz w:val="20"/>
          <w:szCs w:val="20"/>
        </w:rPr>
        <w:t xml:space="preserve">institutions, which may in turn engage in short sales of </w:t>
      </w:r>
      <w:r>
        <w:rPr>
          <w:sz w:val="20"/>
          <w:szCs w:val="20"/>
        </w:rPr>
        <w:t xml:space="preserve">the securities in the course of </w:t>
      </w:r>
      <w:r w:rsidRPr="00C56AF0">
        <w:rPr>
          <w:sz w:val="20"/>
          <w:szCs w:val="20"/>
        </w:rPr>
        <w:t xml:space="preserve">hedging the positions they assume. </w:t>
      </w:r>
      <w:r w:rsidR="005B1C7A">
        <w:rPr>
          <w:sz w:val="20"/>
          <w:szCs w:val="20"/>
        </w:rPr>
        <w:t xml:space="preserve">A </w:t>
      </w:r>
      <w:r w:rsidRPr="00C56AF0">
        <w:rPr>
          <w:sz w:val="20"/>
          <w:szCs w:val="20"/>
        </w:rPr>
        <w:t>Selling Stockholder may also sell secu</w:t>
      </w:r>
      <w:r>
        <w:rPr>
          <w:sz w:val="20"/>
          <w:szCs w:val="20"/>
        </w:rPr>
        <w:t xml:space="preserve">rities short </w:t>
      </w:r>
      <w:r w:rsidRPr="00C56AF0">
        <w:rPr>
          <w:sz w:val="20"/>
          <w:szCs w:val="20"/>
        </w:rPr>
        <w:t>and deliver these securities to close out their short p</w:t>
      </w:r>
      <w:r>
        <w:rPr>
          <w:sz w:val="20"/>
          <w:szCs w:val="20"/>
        </w:rPr>
        <w:t xml:space="preserve">ositions, or loan or pledge the </w:t>
      </w:r>
      <w:r w:rsidRPr="00C56AF0">
        <w:rPr>
          <w:sz w:val="20"/>
          <w:szCs w:val="20"/>
        </w:rPr>
        <w:t>securities to broker-dealers that in turn may sell these secu</w:t>
      </w:r>
      <w:r>
        <w:rPr>
          <w:sz w:val="20"/>
          <w:szCs w:val="20"/>
        </w:rPr>
        <w:t xml:space="preserve">rities. </w:t>
      </w:r>
      <w:r w:rsidR="005B1C7A">
        <w:rPr>
          <w:sz w:val="20"/>
          <w:szCs w:val="20"/>
        </w:rPr>
        <w:t xml:space="preserve">A </w:t>
      </w:r>
      <w:r>
        <w:rPr>
          <w:sz w:val="20"/>
          <w:szCs w:val="20"/>
        </w:rPr>
        <w:t xml:space="preserve">Selling Stockholder </w:t>
      </w:r>
      <w:r w:rsidRPr="00C56AF0">
        <w:rPr>
          <w:sz w:val="20"/>
          <w:szCs w:val="20"/>
        </w:rPr>
        <w:t>may also enter into option or other transactions with broker-de</w:t>
      </w:r>
      <w:r>
        <w:rPr>
          <w:sz w:val="20"/>
          <w:szCs w:val="20"/>
        </w:rPr>
        <w:t xml:space="preserve">alers or other financial </w:t>
      </w:r>
      <w:r w:rsidRPr="00C56AF0">
        <w:rPr>
          <w:sz w:val="20"/>
          <w:szCs w:val="20"/>
        </w:rPr>
        <w:t>institutions or create one or more derivative securities whi</w:t>
      </w:r>
      <w:r>
        <w:rPr>
          <w:sz w:val="20"/>
          <w:szCs w:val="20"/>
        </w:rPr>
        <w:t xml:space="preserve">ch require the delivery to such </w:t>
      </w:r>
      <w:r w:rsidRPr="00C56AF0">
        <w:rPr>
          <w:sz w:val="20"/>
          <w:szCs w:val="20"/>
        </w:rPr>
        <w:t>broker-dealer or other financial institution of securities of</w:t>
      </w:r>
      <w:r>
        <w:rPr>
          <w:sz w:val="20"/>
          <w:szCs w:val="20"/>
        </w:rPr>
        <w:t xml:space="preserve">fered by this prospectus, which </w:t>
      </w:r>
      <w:r w:rsidRPr="00C56AF0">
        <w:rPr>
          <w:sz w:val="20"/>
          <w:szCs w:val="20"/>
        </w:rPr>
        <w:t>securities such broker-dealer or other financial institut</w:t>
      </w:r>
      <w:r>
        <w:rPr>
          <w:sz w:val="20"/>
          <w:szCs w:val="20"/>
        </w:rPr>
        <w:t xml:space="preserve">ion may resell pursuant to this </w:t>
      </w:r>
      <w:r w:rsidRPr="00C56AF0">
        <w:rPr>
          <w:sz w:val="20"/>
          <w:szCs w:val="20"/>
        </w:rPr>
        <w:t>prospectus (as supplemented or amended to reflect such transaction).</w:t>
      </w:r>
    </w:p>
    <w:p w14:paraId="452AC797" w14:textId="77777777" w:rsidR="00C56AF0" w:rsidRDefault="00C56AF0" w:rsidP="00C56AF0">
      <w:pPr>
        <w:ind w:firstLine="720"/>
        <w:jc w:val="both"/>
        <w:rPr>
          <w:sz w:val="20"/>
          <w:szCs w:val="20"/>
        </w:rPr>
      </w:pPr>
    </w:p>
    <w:p w14:paraId="1537B4FD" w14:textId="28D5878D" w:rsidR="00C56AF0" w:rsidRPr="00C56AF0" w:rsidRDefault="005B1C7A" w:rsidP="00C56AF0">
      <w:pPr>
        <w:ind w:firstLine="720"/>
        <w:jc w:val="both"/>
        <w:rPr>
          <w:sz w:val="20"/>
          <w:szCs w:val="20"/>
        </w:rPr>
      </w:pPr>
      <w:r>
        <w:rPr>
          <w:sz w:val="20"/>
          <w:szCs w:val="20"/>
        </w:rPr>
        <w:t>A</w:t>
      </w:r>
      <w:r w:rsidR="00C56AF0" w:rsidRPr="00C56AF0">
        <w:rPr>
          <w:sz w:val="20"/>
          <w:szCs w:val="20"/>
        </w:rPr>
        <w:t xml:space="preserve"> Selling Stockholder and any broker-dealers</w:t>
      </w:r>
      <w:r w:rsidR="00C56AF0">
        <w:rPr>
          <w:sz w:val="20"/>
          <w:szCs w:val="20"/>
        </w:rPr>
        <w:t xml:space="preserve"> or agents that are involved in </w:t>
      </w:r>
      <w:r w:rsidR="00C56AF0" w:rsidRPr="00C56AF0">
        <w:rPr>
          <w:sz w:val="20"/>
          <w:szCs w:val="20"/>
        </w:rPr>
        <w:t>selling the securities may be deemed to be “underwriters” within t</w:t>
      </w:r>
      <w:r w:rsidR="00C56AF0">
        <w:rPr>
          <w:sz w:val="20"/>
          <w:szCs w:val="20"/>
        </w:rPr>
        <w:t xml:space="preserve">he meaning of the </w:t>
      </w:r>
      <w:r w:rsidR="00C56AF0" w:rsidRPr="00C56AF0">
        <w:rPr>
          <w:sz w:val="20"/>
          <w:szCs w:val="20"/>
        </w:rPr>
        <w:t>Securities Act in connection with such sales. In such eve</w:t>
      </w:r>
      <w:r w:rsidR="00C56AF0">
        <w:rPr>
          <w:sz w:val="20"/>
          <w:szCs w:val="20"/>
        </w:rPr>
        <w:t xml:space="preserve">nt, any commissions received by </w:t>
      </w:r>
      <w:r w:rsidR="00C56AF0" w:rsidRPr="00C56AF0">
        <w:rPr>
          <w:sz w:val="20"/>
          <w:szCs w:val="20"/>
        </w:rPr>
        <w:t>such broker-dealers or agents and any profit on the resale</w:t>
      </w:r>
      <w:r w:rsidR="00C56AF0">
        <w:rPr>
          <w:sz w:val="20"/>
          <w:szCs w:val="20"/>
        </w:rPr>
        <w:t xml:space="preserve"> of the securities purchased by </w:t>
      </w:r>
      <w:r w:rsidR="00C56AF0" w:rsidRPr="00C56AF0">
        <w:rPr>
          <w:sz w:val="20"/>
          <w:szCs w:val="20"/>
        </w:rPr>
        <w:t>them may be deemed to be underwriting commissions or discou</w:t>
      </w:r>
      <w:r w:rsidR="00C56AF0">
        <w:rPr>
          <w:sz w:val="20"/>
          <w:szCs w:val="20"/>
        </w:rPr>
        <w:t xml:space="preserve">nts under the Securities </w:t>
      </w:r>
      <w:r w:rsidR="00C56AF0" w:rsidRPr="00C56AF0">
        <w:rPr>
          <w:sz w:val="20"/>
          <w:szCs w:val="20"/>
        </w:rPr>
        <w:t xml:space="preserve">Act. </w:t>
      </w:r>
      <w:r>
        <w:rPr>
          <w:sz w:val="20"/>
          <w:szCs w:val="20"/>
        </w:rPr>
        <w:t>Each</w:t>
      </w:r>
      <w:r w:rsidR="00C56AF0" w:rsidRPr="00C56AF0">
        <w:rPr>
          <w:sz w:val="20"/>
          <w:szCs w:val="20"/>
        </w:rPr>
        <w:t xml:space="preserve"> Selling Stockholder has informed </w:t>
      </w:r>
      <w:r w:rsidR="00A0408C">
        <w:rPr>
          <w:sz w:val="20"/>
          <w:szCs w:val="20"/>
        </w:rPr>
        <w:t>us</w:t>
      </w:r>
      <w:r w:rsidR="00C56AF0">
        <w:rPr>
          <w:sz w:val="20"/>
          <w:szCs w:val="20"/>
        </w:rPr>
        <w:t xml:space="preserve"> that it does not have any </w:t>
      </w:r>
      <w:r w:rsidR="00C56AF0" w:rsidRPr="00C56AF0">
        <w:rPr>
          <w:sz w:val="20"/>
          <w:szCs w:val="20"/>
        </w:rPr>
        <w:t>written or oral agreement or understanding, directly or</w:t>
      </w:r>
      <w:r w:rsidR="00C56AF0">
        <w:rPr>
          <w:sz w:val="20"/>
          <w:szCs w:val="20"/>
        </w:rPr>
        <w:t xml:space="preserve"> indirectly, with any person to </w:t>
      </w:r>
      <w:r w:rsidR="00C56AF0" w:rsidRPr="00C56AF0">
        <w:rPr>
          <w:sz w:val="20"/>
          <w:szCs w:val="20"/>
        </w:rPr>
        <w:t>distribute the securities.</w:t>
      </w:r>
    </w:p>
    <w:p w14:paraId="15270C2E" w14:textId="77777777" w:rsidR="00C56AF0" w:rsidRDefault="00C56AF0" w:rsidP="00C56AF0">
      <w:pPr>
        <w:ind w:firstLine="720"/>
        <w:jc w:val="both"/>
        <w:rPr>
          <w:sz w:val="20"/>
          <w:szCs w:val="20"/>
        </w:rPr>
      </w:pPr>
    </w:p>
    <w:p w14:paraId="160AF204" w14:textId="1F0398BB" w:rsidR="00C56AF0" w:rsidRPr="00C56AF0" w:rsidRDefault="00A0408C" w:rsidP="00C56AF0">
      <w:pPr>
        <w:ind w:firstLine="720"/>
        <w:jc w:val="both"/>
        <w:rPr>
          <w:sz w:val="20"/>
          <w:szCs w:val="20"/>
        </w:rPr>
      </w:pPr>
      <w:r>
        <w:rPr>
          <w:sz w:val="20"/>
          <w:szCs w:val="20"/>
        </w:rPr>
        <w:t>We are</w:t>
      </w:r>
      <w:r w:rsidR="00C56AF0" w:rsidRPr="00C56AF0">
        <w:rPr>
          <w:sz w:val="20"/>
          <w:szCs w:val="20"/>
        </w:rPr>
        <w:t xml:space="preserve"> required to pay certain fe</w:t>
      </w:r>
      <w:r w:rsidR="00C56AF0">
        <w:rPr>
          <w:sz w:val="20"/>
          <w:szCs w:val="20"/>
        </w:rPr>
        <w:t xml:space="preserve">es and expenses incurred by </w:t>
      </w:r>
      <w:r>
        <w:rPr>
          <w:sz w:val="20"/>
          <w:szCs w:val="20"/>
        </w:rPr>
        <w:t>us</w:t>
      </w:r>
      <w:r w:rsidR="00C56AF0" w:rsidRPr="00C56AF0">
        <w:rPr>
          <w:sz w:val="20"/>
          <w:szCs w:val="20"/>
        </w:rPr>
        <w:t xml:space="preserve"> incident to the registration of the securi</w:t>
      </w:r>
      <w:r w:rsidR="00C56AF0">
        <w:rPr>
          <w:sz w:val="20"/>
          <w:szCs w:val="20"/>
        </w:rPr>
        <w:t xml:space="preserve">ties. </w:t>
      </w:r>
      <w:r>
        <w:rPr>
          <w:sz w:val="20"/>
          <w:szCs w:val="20"/>
        </w:rPr>
        <w:t>We have</w:t>
      </w:r>
      <w:r w:rsidR="00C56AF0">
        <w:rPr>
          <w:sz w:val="20"/>
          <w:szCs w:val="20"/>
        </w:rPr>
        <w:t xml:space="preserve"> agreed to </w:t>
      </w:r>
      <w:r w:rsidR="00C56AF0" w:rsidRPr="00C56AF0">
        <w:rPr>
          <w:sz w:val="20"/>
          <w:szCs w:val="20"/>
        </w:rPr>
        <w:t xml:space="preserve">indemnify </w:t>
      </w:r>
      <w:r w:rsidR="005B1C7A">
        <w:rPr>
          <w:sz w:val="20"/>
          <w:szCs w:val="20"/>
        </w:rPr>
        <w:t>each</w:t>
      </w:r>
      <w:r w:rsidR="00C56AF0" w:rsidRPr="00C56AF0">
        <w:rPr>
          <w:sz w:val="20"/>
          <w:szCs w:val="20"/>
        </w:rPr>
        <w:t xml:space="preserve"> Selling Stockholder against certain losses, c</w:t>
      </w:r>
      <w:r w:rsidR="00C56AF0">
        <w:rPr>
          <w:sz w:val="20"/>
          <w:szCs w:val="20"/>
        </w:rPr>
        <w:t xml:space="preserve">laims, damages and liabilities, </w:t>
      </w:r>
      <w:r w:rsidR="00C56AF0" w:rsidRPr="00C56AF0">
        <w:rPr>
          <w:sz w:val="20"/>
          <w:szCs w:val="20"/>
        </w:rPr>
        <w:t>including liabilities under the Securities Act.</w:t>
      </w:r>
    </w:p>
    <w:p w14:paraId="3CF34ADC" w14:textId="77777777" w:rsidR="00C56AF0" w:rsidRDefault="00C56AF0" w:rsidP="00C56AF0">
      <w:pPr>
        <w:ind w:firstLine="720"/>
        <w:jc w:val="both"/>
        <w:rPr>
          <w:sz w:val="20"/>
          <w:szCs w:val="20"/>
        </w:rPr>
      </w:pPr>
    </w:p>
    <w:p w14:paraId="5C8BB7BB" w14:textId="2CD5092A" w:rsidR="00C56AF0" w:rsidRDefault="00C56AF0" w:rsidP="00C56AF0">
      <w:pPr>
        <w:ind w:firstLine="720"/>
        <w:jc w:val="both"/>
        <w:rPr>
          <w:sz w:val="20"/>
          <w:szCs w:val="20"/>
        </w:rPr>
      </w:pPr>
      <w:r w:rsidRPr="00C56AF0">
        <w:rPr>
          <w:sz w:val="20"/>
          <w:szCs w:val="20"/>
        </w:rPr>
        <w:t>We agreed to keep this prospectus effective until</w:t>
      </w:r>
      <w:r>
        <w:rPr>
          <w:sz w:val="20"/>
          <w:szCs w:val="20"/>
        </w:rPr>
        <w:t xml:space="preserve"> the earlier of (i) the date on </w:t>
      </w:r>
      <w:r w:rsidRPr="00C56AF0">
        <w:rPr>
          <w:sz w:val="20"/>
          <w:szCs w:val="20"/>
        </w:rPr>
        <w:t xml:space="preserve">which the securities may be resold by </w:t>
      </w:r>
      <w:r w:rsidR="005B1C7A">
        <w:rPr>
          <w:sz w:val="20"/>
          <w:szCs w:val="20"/>
        </w:rPr>
        <w:t>a</w:t>
      </w:r>
      <w:r w:rsidRPr="00C56AF0">
        <w:rPr>
          <w:sz w:val="20"/>
          <w:szCs w:val="20"/>
        </w:rPr>
        <w:t xml:space="preserve"> Selling Stockholder without registration and</w:t>
      </w:r>
      <w:r>
        <w:rPr>
          <w:sz w:val="20"/>
          <w:szCs w:val="20"/>
        </w:rPr>
        <w:t xml:space="preserve"> </w:t>
      </w:r>
      <w:r w:rsidRPr="00C56AF0">
        <w:rPr>
          <w:sz w:val="20"/>
          <w:szCs w:val="20"/>
        </w:rPr>
        <w:t>without regard to any volume or manner-of-sale lim</w:t>
      </w:r>
      <w:r>
        <w:rPr>
          <w:sz w:val="20"/>
          <w:szCs w:val="20"/>
        </w:rPr>
        <w:t xml:space="preserve">itations by reason of Rule 144, </w:t>
      </w:r>
      <w:r w:rsidRPr="00C56AF0">
        <w:rPr>
          <w:sz w:val="20"/>
          <w:szCs w:val="20"/>
        </w:rPr>
        <w:t xml:space="preserve">without the requirement for </w:t>
      </w:r>
      <w:r w:rsidR="00A0408C">
        <w:rPr>
          <w:sz w:val="20"/>
          <w:szCs w:val="20"/>
        </w:rPr>
        <w:t>us</w:t>
      </w:r>
      <w:r w:rsidRPr="00C56AF0">
        <w:rPr>
          <w:sz w:val="20"/>
          <w:szCs w:val="20"/>
        </w:rPr>
        <w:t xml:space="preserve"> to be in com</w:t>
      </w:r>
      <w:r>
        <w:rPr>
          <w:sz w:val="20"/>
          <w:szCs w:val="20"/>
        </w:rPr>
        <w:t xml:space="preserve">pliance with the current public </w:t>
      </w:r>
      <w:r w:rsidRPr="00C56AF0">
        <w:rPr>
          <w:sz w:val="20"/>
          <w:szCs w:val="20"/>
        </w:rPr>
        <w:t xml:space="preserve">information under </w:t>
      </w:r>
      <w:r w:rsidRPr="00C56AF0">
        <w:rPr>
          <w:sz w:val="20"/>
          <w:szCs w:val="20"/>
        </w:rPr>
        <w:lastRenderedPageBreak/>
        <w:t xml:space="preserve">Rule 144 under the Securities Act or any </w:t>
      </w:r>
      <w:r>
        <w:rPr>
          <w:sz w:val="20"/>
          <w:szCs w:val="20"/>
        </w:rPr>
        <w:t xml:space="preserve">other rule of similar effect or </w:t>
      </w:r>
      <w:r w:rsidRPr="00C56AF0">
        <w:rPr>
          <w:sz w:val="20"/>
          <w:szCs w:val="20"/>
        </w:rPr>
        <w:t>(ii) all of the securities have been sold pursuant to this prospectus or Rule 144</w:t>
      </w:r>
      <w:r>
        <w:rPr>
          <w:sz w:val="20"/>
          <w:szCs w:val="20"/>
        </w:rPr>
        <w:t xml:space="preserve"> under the </w:t>
      </w:r>
      <w:r w:rsidRPr="00C56AF0">
        <w:rPr>
          <w:sz w:val="20"/>
          <w:szCs w:val="20"/>
        </w:rPr>
        <w:t>Securities Act or any other rule of similar effect. The resa</w:t>
      </w:r>
      <w:r>
        <w:rPr>
          <w:sz w:val="20"/>
          <w:szCs w:val="20"/>
        </w:rPr>
        <w:t xml:space="preserve">le securities will be sold only </w:t>
      </w:r>
      <w:r w:rsidRPr="00C56AF0">
        <w:rPr>
          <w:sz w:val="20"/>
          <w:szCs w:val="20"/>
        </w:rPr>
        <w:t xml:space="preserve">through registered or licensed brokers or dealers if </w:t>
      </w:r>
      <w:r>
        <w:rPr>
          <w:sz w:val="20"/>
          <w:szCs w:val="20"/>
        </w:rPr>
        <w:t xml:space="preserve">required under applicable state </w:t>
      </w:r>
      <w:r w:rsidRPr="00C56AF0">
        <w:rPr>
          <w:sz w:val="20"/>
          <w:szCs w:val="20"/>
        </w:rPr>
        <w:t>securities laws. In addition, in certain states, the resale securiti</w:t>
      </w:r>
      <w:r>
        <w:rPr>
          <w:sz w:val="20"/>
          <w:szCs w:val="20"/>
        </w:rPr>
        <w:t xml:space="preserve">es covered hereby may not </w:t>
      </w:r>
      <w:r w:rsidRPr="00C56AF0">
        <w:rPr>
          <w:sz w:val="20"/>
          <w:szCs w:val="20"/>
        </w:rPr>
        <w:t>be sold unless they have been registered or qualified for sal</w:t>
      </w:r>
      <w:r>
        <w:rPr>
          <w:sz w:val="20"/>
          <w:szCs w:val="20"/>
        </w:rPr>
        <w:t xml:space="preserve">e in the applicable state or an </w:t>
      </w:r>
      <w:r w:rsidRPr="00C56AF0">
        <w:rPr>
          <w:sz w:val="20"/>
          <w:szCs w:val="20"/>
        </w:rPr>
        <w:t>exemption from the registration or qualification requireme</w:t>
      </w:r>
      <w:r>
        <w:rPr>
          <w:sz w:val="20"/>
          <w:szCs w:val="20"/>
        </w:rPr>
        <w:t xml:space="preserve">nt is available and is complied </w:t>
      </w:r>
      <w:r w:rsidRPr="00C56AF0">
        <w:rPr>
          <w:sz w:val="20"/>
          <w:szCs w:val="20"/>
        </w:rPr>
        <w:t>with.</w:t>
      </w:r>
    </w:p>
    <w:p w14:paraId="77146AA8" w14:textId="77777777" w:rsidR="00C56AF0" w:rsidRPr="00C56AF0" w:rsidRDefault="00C56AF0" w:rsidP="00C56AF0">
      <w:pPr>
        <w:ind w:firstLine="720"/>
        <w:jc w:val="both"/>
        <w:rPr>
          <w:sz w:val="20"/>
          <w:szCs w:val="20"/>
        </w:rPr>
      </w:pPr>
    </w:p>
    <w:p w14:paraId="654C942F" w14:textId="7894291E" w:rsidR="0087113F" w:rsidRDefault="00C56AF0" w:rsidP="00C56AF0">
      <w:pPr>
        <w:ind w:firstLine="720"/>
        <w:jc w:val="both"/>
        <w:rPr>
          <w:sz w:val="20"/>
          <w:szCs w:val="20"/>
        </w:rPr>
      </w:pPr>
      <w:r w:rsidRPr="00C56AF0">
        <w:rPr>
          <w:sz w:val="20"/>
          <w:szCs w:val="20"/>
        </w:rPr>
        <w:t>Under applicable rules and regulations und</w:t>
      </w:r>
      <w:r>
        <w:rPr>
          <w:sz w:val="20"/>
          <w:szCs w:val="20"/>
        </w:rPr>
        <w:t xml:space="preserve">er the Exchange Act, any person </w:t>
      </w:r>
      <w:r w:rsidRPr="00C56AF0">
        <w:rPr>
          <w:sz w:val="20"/>
          <w:szCs w:val="20"/>
        </w:rPr>
        <w:t>engaged in the distribution of the resale securities m</w:t>
      </w:r>
      <w:r>
        <w:rPr>
          <w:sz w:val="20"/>
          <w:szCs w:val="20"/>
        </w:rPr>
        <w:t xml:space="preserve">ay not simultaneously engage in </w:t>
      </w:r>
      <w:r w:rsidRPr="00C56AF0">
        <w:rPr>
          <w:sz w:val="20"/>
          <w:szCs w:val="20"/>
        </w:rPr>
        <w:t>market making activities with respect to the common stoc</w:t>
      </w:r>
      <w:r>
        <w:rPr>
          <w:sz w:val="20"/>
          <w:szCs w:val="20"/>
        </w:rPr>
        <w:t xml:space="preserve">k for the applicable restricted </w:t>
      </w:r>
      <w:r w:rsidRPr="00C56AF0">
        <w:rPr>
          <w:sz w:val="20"/>
          <w:szCs w:val="20"/>
        </w:rPr>
        <w:t>period, as defined in Regulation M, prior to the comme</w:t>
      </w:r>
      <w:r>
        <w:rPr>
          <w:sz w:val="20"/>
          <w:szCs w:val="20"/>
        </w:rPr>
        <w:t xml:space="preserve">ncement of the distribution. In </w:t>
      </w:r>
      <w:r w:rsidRPr="00C56AF0">
        <w:rPr>
          <w:sz w:val="20"/>
          <w:szCs w:val="20"/>
        </w:rPr>
        <w:t xml:space="preserve">addition, </w:t>
      </w:r>
      <w:r w:rsidR="005B1C7A">
        <w:rPr>
          <w:sz w:val="20"/>
          <w:szCs w:val="20"/>
        </w:rPr>
        <w:t>each</w:t>
      </w:r>
      <w:r w:rsidRPr="00C56AF0">
        <w:rPr>
          <w:sz w:val="20"/>
          <w:szCs w:val="20"/>
        </w:rPr>
        <w:t xml:space="preserve"> Selling Stockholder will be subject to applic</w:t>
      </w:r>
      <w:r>
        <w:rPr>
          <w:sz w:val="20"/>
          <w:szCs w:val="20"/>
        </w:rPr>
        <w:t xml:space="preserve">able provisions of the Exchange </w:t>
      </w:r>
      <w:r w:rsidRPr="00C56AF0">
        <w:rPr>
          <w:sz w:val="20"/>
          <w:szCs w:val="20"/>
        </w:rPr>
        <w:t>Act and the rules and regulations thereunder, includin</w:t>
      </w:r>
      <w:r>
        <w:rPr>
          <w:sz w:val="20"/>
          <w:szCs w:val="20"/>
        </w:rPr>
        <w:t xml:space="preserve">g Regulation M, which may limit </w:t>
      </w:r>
      <w:r w:rsidRPr="00C56AF0">
        <w:rPr>
          <w:sz w:val="20"/>
          <w:szCs w:val="20"/>
        </w:rPr>
        <w:t>the timing of purchases and sales of the common stock by</w:t>
      </w:r>
      <w:r>
        <w:rPr>
          <w:sz w:val="20"/>
          <w:szCs w:val="20"/>
        </w:rPr>
        <w:t xml:space="preserve"> </w:t>
      </w:r>
      <w:r w:rsidR="005B1C7A">
        <w:rPr>
          <w:sz w:val="20"/>
          <w:szCs w:val="20"/>
        </w:rPr>
        <w:t>such</w:t>
      </w:r>
      <w:r>
        <w:rPr>
          <w:sz w:val="20"/>
          <w:szCs w:val="20"/>
        </w:rPr>
        <w:t xml:space="preserve"> Selling Stockholder or any </w:t>
      </w:r>
      <w:r w:rsidRPr="00C56AF0">
        <w:rPr>
          <w:sz w:val="20"/>
          <w:szCs w:val="20"/>
        </w:rPr>
        <w:t>other person. We will make copies of this prospectus avail</w:t>
      </w:r>
      <w:r>
        <w:rPr>
          <w:sz w:val="20"/>
          <w:szCs w:val="20"/>
        </w:rPr>
        <w:t xml:space="preserve">able to </w:t>
      </w:r>
      <w:r w:rsidR="005B1C7A">
        <w:rPr>
          <w:sz w:val="20"/>
          <w:szCs w:val="20"/>
        </w:rPr>
        <w:t>a</w:t>
      </w:r>
      <w:r>
        <w:rPr>
          <w:sz w:val="20"/>
          <w:szCs w:val="20"/>
        </w:rPr>
        <w:t xml:space="preserve"> Selling Stockholder </w:t>
      </w:r>
      <w:r w:rsidRPr="00C56AF0">
        <w:rPr>
          <w:sz w:val="20"/>
          <w:szCs w:val="20"/>
        </w:rPr>
        <w:t>and have informed them of the need to deliver a copy of th</w:t>
      </w:r>
      <w:r>
        <w:rPr>
          <w:sz w:val="20"/>
          <w:szCs w:val="20"/>
        </w:rPr>
        <w:t xml:space="preserve">is prospectus to each purchaser </w:t>
      </w:r>
      <w:r w:rsidRPr="00C56AF0">
        <w:rPr>
          <w:sz w:val="20"/>
          <w:szCs w:val="20"/>
        </w:rPr>
        <w:t>at or prior to the time of the sale (including by com</w:t>
      </w:r>
      <w:r>
        <w:rPr>
          <w:sz w:val="20"/>
          <w:szCs w:val="20"/>
        </w:rPr>
        <w:t xml:space="preserve">pliance with Rule 172 under the </w:t>
      </w:r>
      <w:r w:rsidRPr="00C56AF0">
        <w:rPr>
          <w:sz w:val="20"/>
          <w:szCs w:val="20"/>
        </w:rPr>
        <w:t>Securities Act).</w:t>
      </w:r>
    </w:p>
    <w:p w14:paraId="45DDB14E" w14:textId="77777777" w:rsidR="00A0408C" w:rsidRDefault="00A0408C" w:rsidP="00C56AF0">
      <w:pPr>
        <w:ind w:firstLine="720"/>
        <w:jc w:val="both"/>
        <w:rPr>
          <w:sz w:val="20"/>
          <w:szCs w:val="20"/>
        </w:rPr>
      </w:pPr>
    </w:p>
    <w:p w14:paraId="64E7DC31" w14:textId="77777777" w:rsidR="00A0408C" w:rsidRPr="00C56AF0" w:rsidRDefault="00A0408C" w:rsidP="00C56AF0">
      <w:pPr>
        <w:ind w:firstLine="720"/>
        <w:jc w:val="both"/>
        <w:rPr>
          <w:sz w:val="20"/>
          <w:szCs w:val="20"/>
        </w:rPr>
      </w:pPr>
    </w:p>
    <w:p w14:paraId="2DF7425B" w14:textId="77777777" w:rsidR="0087113F" w:rsidRPr="00A0408C" w:rsidRDefault="004837DC">
      <w:pPr>
        <w:ind w:firstLine="720"/>
        <w:jc w:val="both"/>
        <w:rPr>
          <w:sz w:val="20"/>
          <w:szCs w:val="20"/>
        </w:rPr>
      </w:pPr>
      <w:r w:rsidRPr="00A0408C">
        <w:rPr>
          <w:sz w:val="20"/>
          <w:szCs w:val="20"/>
        </w:rPr>
        <w:t> </w:t>
      </w:r>
    </w:p>
    <w:p w14:paraId="01B96EE2" w14:textId="77777777" w:rsidR="00A0408C" w:rsidRDefault="00A0408C">
      <w:pPr>
        <w:jc w:val="center"/>
        <w:rPr>
          <w:b/>
          <w:bCs/>
          <w:caps/>
          <w:sz w:val="20"/>
          <w:szCs w:val="20"/>
          <w:highlight w:val="yellow"/>
        </w:rPr>
        <w:sectPr w:rsidR="00A0408C" w:rsidSect="00AE0555">
          <w:pgSz w:w="12240" w:h="15840"/>
          <w:pgMar w:top="1440" w:right="1440" w:bottom="1440" w:left="1440" w:header="720" w:footer="720" w:gutter="0"/>
          <w:cols w:space="720"/>
          <w:docGrid w:linePitch="326"/>
        </w:sectPr>
      </w:pPr>
      <w:bookmarkStart w:id="54" w:name="s_006"/>
      <w:bookmarkEnd w:id="54"/>
    </w:p>
    <w:p w14:paraId="41DF9511" w14:textId="77777777" w:rsidR="0087113F" w:rsidRPr="00A0408C" w:rsidRDefault="004837DC">
      <w:pPr>
        <w:jc w:val="center"/>
        <w:rPr>
          <w:sz w:val="20"/>
          <w:szCs w:val="20"/>
        </w:rPr>
      </w:pPr>
      <w:r w:rsidRPr="00A0408C">
        <w:rPr>
          <w:b/>
          <w:bCs/>
          <w:caps/>
          <w:sz w:val="20"/>
          <w:szCs w:val="20"/>
        </w:rPr>
        <w:lastRenderedPageBreak/>
        <w:t>LEGAL MATTERS</w:t>
      </w:r>
    </w:p>
    <w:p w14:paraId="39667329" w14:textId="77777777" w:rsidR="0087113F" w:rsidRPr="00A0408C" w:rsidRDefault="004837DC">
      <w:pPr>
        <w:jc w:val="center"/>
        <w:rPr>
          <w:sz w:val="20"/>
          <w:szCs w:val="20"/>
        </w:rPr>
      </w:pPr>
      <w:r w:rsidRPr="00A0408C">
        <w:rPr>
          <w:sz w:val="20"/>
          <w:szCs w:val="20"/>
        </w:rPr>
        <w:t> </w:t>
      </w:r>
    </w:p>
    <w:p w14:paraId="2A5CCF67" w14:textId="77777777" w:rsidR="0087113F" w:rsidRPr="00A0408C" w:rsidRDefault="004837DC">
      <w:pPr>
        <w:ind w:firstLine="720"/>
        <w:jc w:val="both"/>
        <w:rPr>
          <w:sz w:val="20"/>
          <w:szCs w:val="20"/>
        </w:rPr>
      </w:pPr>
      <w:r w:rsidRPr="00A0408C">
        <w:rPr>
          <w:sz w:val="20"/>
          <w:szCs w:val="20"/>
        </w:rPr>
        <w:t xml:space="preserve">The validity of the shares of Common Stock offered hereby will be passed upon for us by </w:t>
      </w:r>
      <w:r w:rsidR="00A0408C" w:rsidRPr="00A0408C">
        <w:rPr>
          <w:sz w:val="20"/>
          <w:szCs w:val="20"/>
        </w:rPr>
        <w:t>Womble Bond Dickinson (US) LLP</w:t>
      </w:r>
      <w:r w:rsidRPr="00A0408C">
        <w:rPr>
          <w:sz w:val="20"/>
          <w:szCs w:val="20"/>
        </w:rPr>
        <w:t>. If the securities are distributed in an underwritten offering, certain legal matters will be passed upon for the underwriters by counsel identified in the applicable prospectus supplement.</w:t>
      </w:r>
    </w:p>
    <w:p w14:paraId="458D5E49" w14:textId="77777777" w:rsidR="0087113F" w:rsidRPr="00A0408C" w:rsidRDefault="004837DC">
      <w:pPr>
        <w:ind w:firstLine="720"/>
        <w:jc w:val="both"/>
        <w:rPr>
          <w:sz w:val="20"/>
          <w:szCs w:val="20"/>
        </w:rPr>
      </w:pPr>
      <w:r w:rsidRPr="00A0408C">
        <w:rPr>
          <w:sz w:val="20"/>
          <w:szCs w:val="20"/>
        </w:rPr>
        <w:t> </w:t>
      </w:r>
    </w:p>
    <w:p w14:paraId="5B66F561" w14:textId="77777777" w:rsidR="0087113F" w:rsidRPr="00A0408C" w:rsidRDefault="004837DC">
      <w:pPr>
        <w:jc w:val="center"/>
        <w:rPr>
          <w:sz w:val="20"/>
          <w:szCs w:val="20"/>
        </w:rPr>
      </w:pPr>
      <w:bookmarkStart w:id="55" w:name="s_007"/>
      <w:bookmarkEnd w:id="55"/>
      <w:r w:rsidRPr="00A0408C">
        <w:rPr>
          <w:b/>
          <w:bCs/>
          <w:caps/>
          <w:sz w:val="20"/>
          <w:szCs w:val="20"/>
        </w:rPr>
        <w:t>EXPERTS</w:t>
      </w:r>
    </w:p>
    <w:p w14:paraId="17E0626F" w14:textId="77777777" w:rsidR="0087113F" w:rsidRPr="00A0408C" w:rsidRDefault="004837DC">
      <w:pPr>
        <w:jc w:val="center"/>
        <w:rPr>
          <w:sz w:val="20"/>
          <w:szCs w:val="20"/>
        </w:rPr>
      </w:pPr>
      <w:r w:rsidRPr="00A0408C">
        <w:rPr>
          <w:sz w:val="20"/>
          <w:szCs w:val="20"/>
        </w:rPr>
        <w:t> </w:t>
      </w:r>
    </w:p>
    <w:p w14:paraId="162CE7C9" w14:textId="304D6408" w:rsidR="0087113F" w:rsidRPr="000036AE" w:rsidRDefault="00A0408C">
      <w:pPr>
        <w:ind w:firstLine="720"/>
        <w:jc w:val="both"/>
        <w:rPr>
          <w:sz w:val="20"/>
          <w:szCs w:val="20"/>
        </w:rPr>
      </w:pPr>
      <w:r w:rsidRPr="00A0408C">
        <w:rPr>
          <w:sz w:val="20"/>
          <w:szCs w:val="20"/>
        </w:rPr>
        <w:t>Our consolidated financial statements as of and for the years ended December 31, 202</w:t>
      </w:r>
      <w:r w:rsidR="00073CE1">
        <w:rPr>
          <w:sz w:val="20"/>
          <w:szCs w:val="20"/>
        </w:rPr>
        <w:t>1</w:t>
      </w:r>
      <w:r w:rsidRPr="00A0408C">
        <w:rPr>
          <w:sz w:val="20"/>
          <w:szCs w:val="20"/>
        </w:rPr>
        <w:t xml:space="preserve"> and 20</w:t>
      </w:r>
      <w:r w:rsidR="00073CE1">
        <w:rPr>
          <w:sz w:val="20"/>
          <w:szCs w:val="20"/>
        </w:rPr>
        <w:t>20</w:t>
      </w:r>
      <w:r w:rsidRPr="00A0408C">
        <w:rPr>
          <w:sz w:val="20"/>
          <w:szCs w:val="20"/>
        </w:rPr>
        <w:t xml:space="preserve"> included in this prospectus and elsewhere in the registration statement have been audited by </w:t>
      </w:r>
      <w:proofErr w:type="spellStart"/>
      <w:r w:rsidRPr="00A0408C">
        <w:rPr>
          <w:sz w:val="20"/>
          <w:szCs w:val="20"/>
        </w:rPr>
        <w:t>Wipfli</w:t>
      </w:r>
      <w:proofErr w:type="spellEnd"/>
      <w:r w:rsidRPr="00A0408C">
        <w:rPr>
          <w:sz w:val="20"/>
          <w:szCs w:val="20"/>
        </w:rPr>
        <w:t xml:space="preserve"> LLP, an independent registered public accounting firm, </w:t>
      </w:r>
      <w:r w:rsidRPr="000036AE">
        <w:rPr>
          <w:sz w:val="20"/>
          <w:szCs w:val="20"/>
        </w:rPr>
        <w:t>as indicated in their report with respect thereto, and are included herein in reliance upon the authority of said firm as experts in auditing and accounting in giving said report.</w:t>
      </w:r>
    </w:p>
    <w:p w14:paraId="53C4CAFB" w14:textId="77777777" w:rsidR="0087113F" w:rsidRPr="000036AE" w:rsidRDefault="004837DC">
      <w:pPr>
        <w:ind w:firstLine="720"/>
        <w:jc w:val="both"/>
        <w:rPr>
          <w:sz w:val="20"/>
          <w:szCs w:val="20"/>
        </w:rPr>
      </w:pPr>
      <w:r w:rsidRPr="000036AE">
        <w:rPr>
          <w:sz w:val="20"/>
          <w:szCs w:val="20"/>
        </w:rPr>
        <w:t> </w:t>
      </w:r>
    </w:p>
    <w:p w14:paraId="3FABEB88" w14:textId="77777777" w:rsidR="0087113F" w:rsidRPr="000036AE" w:rsidRDefault="004837DC">
      <w:pPr>
        <w:jc w:val="center"/>
        <w:rPr>
          <w:sz w:val="20"/>
          <w:szCs w:val="20"/>
        </w:rPr>
      </w:pPr>
      <w:bookmarkStart w:id="56" w:name="s_008"/>
      <w:bookmarkEnd w:id="56"/>
      <w:r w:rsidRPr="000036AE">
        <w:rPr>
          <w:b/>
          <w:bCs/>
          <w:caps/>
          <w:sz w:val="20"/>
          <w:szCs w:val="20"/>
        </w:rPr>
        <w:t>WHERE YOU CAN FIND MORE INFORMATION</w:t>
      </w:r>
    </w:p>
    <w:p w14:paraId="41778CE9" w14:textId="77777777" w:rsidR="0087113F" w:rsidRPr="000036AE" w:rsidRDefault="004837DC">
      <w:pPr>
        <w:jc w:val="center"/>
        <w:rPr>
          <w:sz w:val="20"/>
          <w:szCs w:val="20"/>
        </w:rPr>
      </w:pPr>
      <w:r w:rsidRPr="000036AE">
        <w:rPr>
          <w:sz w:val="20"/>
          <w:szCs w:val="20"/>
        </w:rPr>
        <w:t> </w:t>
      </w:r>
    </w:p>
    <w:p w14:paraId="22658B95" w14:textId="77777777" w:rsidR="000036AE" w:rsidRPr="000036AE" w:rsidRDefault="000036AE" w:rsidP="000036AE">
      <w:pPr>
        <w:ind w:firstLine="720"/>
        <w:jc w:val="both"/>
        <w:rPr>
          <w:sz w:val="20"/>
          <w:szCs w:val="20"/>
        </w:rPr>
      </w:pPr>
      <w:r w:rsidRPr="000036AE">
        <w:rPr>
          <w:sz w:val="20"/>
          <w:szCs w:val="20"/>
        </w:rPr>
        <w:t>We have filed with the SEC, under the Securities Act, a registration statement on Form S-1 relating to the securities offered hereby. This prospectus does not contain all of the information set forth in the registration statement and the exhibits and schedules thereto. For further information with respect to our company and the securities we are offering by this prospectus you should refer to the registration statement, including the exhibits and schedules thereto. The SEC also maintains an Internet site that contains reports, proxy and information statements and other information regarding registrants that file electronically with the SEC. The SEC’s website</w:t>
      </w:r>
      <w:r>
        <w:rPr>
          <w:sz w:val="20"/>
          <w:szCs w:val="20"/>
        </w:rPr>
        <w:t xml:space="preserve"> address is http://www.sec.gov.</w:t>
      </w:r>
    </w:p>
    <w:p w14:paraId="2CA88ACD" w14:textId="77777777" w:rsidR="000036AE" w:rsidRPr="000036AE" w:rsidRDefault="000036AE" w:rsidP="000036AE">
      <w:pPr>
        <w:ind w:firstLine="720"/>
        <w:jc w:val="both"/>
        <w:rPr>
          <w:sz w:val="20"/>
          <w:szCs w:val="20"/>
        </w:rPr>
      </w:pPr>
    </w:p>
    <w:p w14:paraId="58E1B2BD" w14:textId="77777777" w:rsidR="000036AE" w:rsidRPr="000036AE" w:rsidRDefault="000036AE" w:rsidP="000036AE">
      <w:pPr>
        <w:ind w:firstLine="720"/>
        <w:jc w:val="both"/>
        <w:rPr>
          <w:sz w:val="20"/>
          <w:szCs w:val="20"/>
        </w:rPr>
      </w:pPr>
      <w:r w:rsidRPr="000036AE">
        <w:rPr>
          <w:sz w:val="20"/>
          <w:szCs w:val="20"/>
        </w:rPr>
        <w:t>We file periodic reports, proxy statements and other information with the SEC in accordance with requirements of the Exchange Act. These periodic reports, proxy statements and other information are available at the SEC’s website address referred to above. In addition, you may request a copy of any of our periodic reports filed with the SEC at no cost, by writing or telephoni</w:t>
      </w:r>
      <w:r>
        <w:rPr>
          <w:sz w:val="20"/>
          <w:szCs w:val="20"/>
        </w:rPr>
        <w:t>ng us at the following address:</w:t>
      </w:r>
    </w:p>
    <w:p w14:paraId="6592D573" w14:textId="77777777" w:rsidR="000036AE" w:rsidRPr="000036AE" w:rsidRDefault="000036AE" w:rsidP="000036AE">
      <w:pPr>
        <w:ind w:firstLine="720"/>
        <w:jc w:val="both"/>
        <w:rPr>
          <w:sz w:val="20"/>
          <w:szCs w:val="20"/>
        </w:rPr>
      </w:pPr>
      <w:r>
        <w:rPr>
          <w:sz w:val="20"/>
          <w:szCs w:val="20"/>
        </w:rPr>
        <w:t xml:space="preserve"> </w:t>
      </w:r>
    </w:p>
    <w:p w14:paraId="4D137FFB" w14:textId="77777777" w:rsidR="000036AE" w:rsidRPr="000036AE" w:rsidRDefault="000036AE" w:rsidP="000036AE">
      <w:pPr>
        <w:jc w:val="center"/>
        <w:rPr>
          <w:sz w:val="20"/>
          <w:szCs w:val="20"/>
        </w:rPr>
      </w:pPr>
      <w:proofErr w:type="spellStart"/>
      <w:r>
        <w:rPr>
          <w:sz w:val="20"/>
          <w:szCs w:val="20"/>
        </w:rPr>
        <w:t>GeoVax</w:t>
      </w:r>
      <w:proofErr w:type="spellEnd"/>
      <w:r>
        <w:rPr>
          <w:sz w:val="20"/>
          <w:szCs w:val="20"/>
        </w:rPr>
        <w:t xml:space="preserve"> Labs, Inc.</w:t>
      </w:r>
    </w:p>
    <w:p w14:paraId="0021ACE9" w14:textId="77777777" w:rsidR="000036AE" w:rsidRPr="000036AE" w:rsidRDefault="000036AE" w:rsidP="000036AE">
      <w:pPr>
        <w:jc w:val="center"/>
        <w:rPr>
          <w:sz w:val="20"/>
          <w:szCs w:val="20"/>
        </w:rPr>
      </w:pPr>
      <w:r w:rsidRPr="000036AE">
        <w:rPr>
          <w:sz w:val="20"/>
          <w:szCs w:val="20"/>
        </w:rPr>
        <w:t>1900 Lake Park Drive, Suite 380</w:t>
      </w:r>
    </w:p>
    <w:p w14:paraId="26F30943" w14:textId="77777777" w:rsidR="000036AE" w:rsidRPr="000036AE" w:rsidRDefault="000036AE" w:rsidP="000036AE">
      <w:pPr>
        <w:jc w:val="center"/>
        <w:rPr>
          <w:sz w:val="20"/>
          <w:szCs w:val="20"/>
        </w:rPr>
      </w:pPr>
      <w:r w:rsidRPr="000036AE">
        <w:rPr>
          <w:sz w:val="20"/>
          <w:szCs w:val="20"/>
        </w:rPr>
        <w:t>Smyrna, Georgia 30080</w:t>
      </w:r>
    </w:p>
    <w:p w14:paraId="54B72608" w14:textId="77777777" w:rsidR="000036AE" w:rsidRPr="000036AE" w:rsidRDefault="000036AE" w:rsidP="000036AE">
      <w:pPr>
        <w:jc w:val="center"/>
        <w:rPr>
          <w:sz w:val="20"/>
          <w:szCs w:val="20"/>
        </w:rPr>
      </w:pPr>
      <w:r>
        <w:rPr>
          <w:sz w:val="20"/>
          <w:szCs w:val="20"/>
        </w:rPr>
        <w:t>Tel: (678) 384-7220</w:t>
      </w:r>
    </w:p>
    <w:p w14:paraId="113AEF34" w14:textId="77777777" w:rsidR="000036AE" w:rsidRPr="000036AE" w:rsidRDefault="000036AE" w:rsidP="000036AE">
      <w:pPr>
        <w:jc w:val="center"/>
        <w:rPr>
          <w:sz w:val="20"/>
          <w:szCs w:val="20"/>
        </w:rPr>
      </w:pPr>
      <w:r w:rsidRPr="000036AE">
        <w:rPr>
          <w:sz w:val="20"/>
          <w:szCs w:val="20"/>
        </w:rPr>
        <w:t>Attention: Mark W. Re</w:t>
      </w:r>
      <w:r>
        <w:rPr>
          <w:sz w:val="20"/>
          <w:szCs w:val="20"/>
        </w:rPr>
        <w:t>ynolds, Chief Financial Officer</w:t>
      </w:r>
    </w:p>
    <w:p w14:paraId="1CF75FC1" w14:textId="77777777" w:rsidR="000036AE" w:rsidRPr="000036AE" w:rsidRDefault="000036AE" w:rsidP="000036AE">
      <w:pPr>
        <w:ind w:firstLine="720"/>
        <w:jc w:val="both"/>
        <w:rPr>
          <w:sz w:val="20"/>
          <w:szCs w:val="20"/>
        </w:rPr>
      </w:pPr>
    </w:p>
    <w:p w14:paraId="59213BFD" w14:textId="77777777" w:rsidR="000036AE" w:rsidRPr="000036AE" w:rsidRDefault="000036AE" w:rsidP="000036AE">
      <w:pPr>
        <w:ind w:firstLine="720"/>
        <w:jc w:val="both"/>
        <w:rPr>
          <w:sz w:val="20"/>
          <w:szCs w:val="20"/>
        </w:rPr>
      </w:pPr>
      <w:r w:rsidRPr="000036AE">
        <w:rPr>
          <w:sz w:val="20"/>
          <w:szCs w:val="20"/>
        </w:rPr>
        <w:t>Information contained on our website is not a prospectus and does not constitute a part of this prospectus.</w:t>
      </w:r>
    </w:p>
    <w:p w14:paraId="6B0740AF" w14:textId="77777777" w:rsidR="000036AE" w:rsidRPr="000036AE" w:rsidRDefault="000036AE" w:rsidP="000036AE">
      <w:pPr>
        <w:jc w:val="both"/>
        <w:rPr>
          <w:sz w:val="20"/>
          <w:szCs w:val="20"/>
        </w:rPr>
      </w:pPr>
    </w:p>
    <w:p w14:paraId="1049695F" w14:textId="77777777" w:rsidR="0087113F" w:rsidRDefault="000036AE" w:rsidP="000036AE">
      <w:pPr>
        <w:ind w:firstLine="720"/>
        <w:jc w:val="both"/>
        <w:rPr>
          <w:sz w:val="20"/>
          <w:szCs w:val="20"/>
        </w:rPr>
      </w:pPr>
      <w:r w:rsidRPr="000036AE">
        <w:rPr>
          <w:sz w:val="20"/>
          <w:szCs w:val="20"/>
        </w:rPr>
        <w:t>You should rely only on the information contained in or incorporated by reference or provided in this prospectus. We have not authorized anyone else to provide you with different information. We are not making an offer of these securities in any state where the offer is not permitted. You should not assume the information in this prospectus is accurate as of any date other than the date on the front of this prospectus.</w:t>
      </w:r>
      <w:r w:rsidR="004837DC">
        <w:rPr>
          <w:sz w:val="20"/>
          <w:szCs w:val="20"/>
        </w:rPr>
        <w:t> </w:t>
      </w:r>
    </w:p>
    <w:p w14:paraId="6B5C1549" w14:textId="77777777" w:rsidR="0081617A" w:rsidRDefault="004837DC">
      <w:pPr>
        <w:spacing w:before="120"/>
        <w:sectPr w:rsidR="0081617A" w:rsidSect="00AE0555">
          <w:pgSz w:w="12240" w:h="15840"/>
          <w:pgMar w:top="1440" w:right="1440" w:bottom="1440" w:left="1440" w:header="720" w:footer="720" w:gutter="0"/>
          <w:cols w:space="720"/>
          <w:docGrid w:linePitch="326"/>
        </w:sectPr>
      </w:pPr>
      <w:bookmarkStart w:id="57" w:name="s_009"/>
      <w:bookmarkEnd w:id="57"/>
      <w:r>
        <w:t> </w:t>
      </w:r>
    </w:p>
    <w:p w14:paraId="46A97F11" w14:textId="77777777" w:rsidR="0087113F" w:rsidRDefault="0087113F">
      <w:pPr>
        <w:spacing w:before="120"/>
      </w:pPr>
    </w:p>
    <w:p w14:paraId="6F7C783A" w14:textId="77777777" w:rsidR="003147F5" w:rsidRDefault="001A664B" w:rsidP="001A664B">
      <w:pPr>
        <w:ind w:firstLine="720"/>
        <w:jc w:val="center"/>
        <w:rPr>
          <w:b/>
          <w:sz w:val="20"/>
          <w:szCs w:val="20"/>
        </w:rPr>
      </w:pPr>
      <w:r w:rsidRPr="001A664B">
        <w:rPr>
          <w:b/>
          <w:sz w:val="20"/>
          <w:szCs w:val="20"/>
        </w:rPr>
        <w:t>INDEX TO FINANCIAL STATEMENTS</w:t>
      </w:r>
    </w:p>
    <w:p w14:paraId="5A1BD312" w14:textId="25B5EF2C" w:rsidR="009E143B" w:rsidRPr="001A664B" w:rsidRDefault="009E143B" w:rsidP="001A664B">
      <w:pPr>
        <w:rPr>
          <w:sz w:val="20"/>
          <w:szCs w:val="20"/>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440"/>
      </w:tblGrid>
      <w:tr w:rsidR="009E143B" w14:paraId="623CBDAF" w14:textId="77777777" w:rsidTr="007E3CF9">
        <w:tc>
          <w:tcPr>
            <w:tcW w:w="7920" w:type="dxa"/>
          </w:tcPr>
          <w:p w14:paraId="787D35C6" w14:textId="77777777" w:rsidR="009E143B" w:rsidRDefault="009E143B" w:rsidP="00FF0811">
            <w:pPr>
              <w:rPr>
                <w:sz w:val="20"/>
                <w:szCs w:val="20"/>
              </w:rPr>
            </w:pPr>
            <w:r w:rsidRPr="009E143B">
              <w:rPr>
                <w:b/>
                <w:sz w:val="20"/>
                <w:szCs w:val="20"/>
                <w:u w:val="single"/>
              </w:rPr>
              <w:t>Condensed Consolidated Financial Statements</w:t>
            </w:r>
            <w:r>
              <w:rPr>
                <w:sz w:val="20"/>
                <w:szCs w:val="20"/>
              </w:rPr>
              <w:t>:</w:t>
            </w:r>
          </w:p>
        </w:tc>
        <w:tc>
          <w:tcPr>
            <w:tcW w:w="1440" w:type="dxa"/>
          </w:tcPr>
          <w:p w14:paraId="7684DDC5" w14:textId="77777777" w:rsidR="009E143B" w:rsidRPr="001A664B" w:rsidRDefault="009E143B" w:rsidP="00FF0811">
            <w:pPr>
              <w:jc w:val="right"/>
              <w:rPr>
                <w:sz w:val="20"/>
                <w:szCs w:val="20"/>
                <w:u w:val="single"/>
              </w:rPr>
            </w:pPr>
            <w:r w:rsidRPr="001A664B">
              <w:rPr>
                <w:sz w:val="20"/>
                <w:szCs w:val="20"/>
                <w:u w:val="single"/>
              </w:rPr>
              <w:t>Page</w:t>
            </w:r>
          </w:p>
        </w:tc>
      </w:tr>
      <w:tr w:rsidR="009E143B" w14:paraId="6995291B" w14:textId="77777777" w:rsidTr="007E3CF9">
        <w:tc>
          <w:tcPr>
            <w:tcW w:w="7920" w:type="dxa"/>
          </w:tcPr>
          <w:p w14:paraId="4F45CACD" w14:textId="31D5DA9D" w:rsidR="009E143B" w:rsidRDefault="009E143B" w:rsidP="00FF0811">
            <w:pPr>
              <w:ind w:left="156"/>
              <w:rPr>
                <w:sz w:val="20"/>
                <w:szCs w:val="20"/>
              </w:rPr>
            </w:pPr>
            <w:r w:rsidRPr="001A664B">
              <w:rPr>
                <w:sz w:val="20"/>
                <w:szCs w:val="20"/>
              </w:rPr>
              <w:t xml:space="preserve">Condensed Consolidated Balance Sheets as of </w:t>
            </w:r>
            <w:r w:rsidR="00A03E61">
              <w:rPr>
                <w:sz w:val="20"/>
                <w:szCs w:val="20"/>
              </w:rPr>
              <w:t>March</w:t>
            </w:r>
            <w:r w:rsidRPr="001A664B">
              <w:rPr>
                <w:sz w:val="20"/>
                <w:szCs w:val="20"/>
              </w:rPr>
              <w:t xml:space="preserve"> 3</w:t>
            </w:r>
            <w:r w:rsidR="00A03E61">
              <w:rPr>
                <w:sz w:val="20"/>
                <w:szCs w:val="20"/>
              </w:rPr>
              <w:t>1</w:t>
            </w:r>
            <w:r w:rsidRPr="001A664B">
              <w:rPr>
                <w:sz w:val="20"/>
                <w:szCs w:val="20"/>
              </w:rPr>
              <w:t>, 202</w:t>
            </w:r>
            <w:r w:rsidR="00A03E61">
              <w:rPr>
                <w:sz w:val="20"/>
                <w:szCs w:val="20"/>
              </w:rPr>
              <w:t>2</w:t>
            </w:r>
            <w:r w:rsidRPr="001A664B">
              <w:rPr>
                <w:sz w:val="20"/>
                <w:szCs w:val="20"/>
              </w:rPr>
              <w:t xml:space="preserve"> (unaudited) and December 31, 202</w:t>
            </w:r>
            <w:r w:rsidR="00A03E61">
              <w:rPr>
                <w:sz w:val="20"/>
                <w:szCs w:val="20"/>
              </w:rPr>
              <w:t>1</w:t>
            </w:r>
          </w:p>
        </w:tc>
        <w:tc>
          <w:tcPr>
            <w:tcW w:w="1440" w:type="dxa"/>
          </w:tcPr>
          <w:p w14:paraId="4381E759" w14:textId="77777777" w:rsidR="009E143B" w:rsidRDefault="009E143B" w:rsidP="00FF0811">
            <w:pPr>
              <w:jc w:val="right"/>
              <w:rPr>
                <w:sz w:val="20"/>
                <w:szCs w:val="20"/>
              </w:rPr>
            </w:pPr>
            <w:r>
              <w:rPr>
                <w:sz w:val="20"/>
                <w:szCs w:val="20"/>
              </w:rPr>
              <w:t>F-2</w:t>
            </w:r>
          </w:p>
        </w:tc>
      </w:tr>
      <w:tr w:rsidR="009E143B" w14:paraId="5A8F0956" w14:textId="77777777" w:rsidTr="007E3CF9">
        <w:tc>
          <w:tcPr>
            <w:tcW w:w="7920" w:type="dxa"/>
          </w:tcPr>
          <w:p w14:paraId="1A56E09B" w14:textId="77777777" w:rsidR="009E143B" w:rsidRDefault="009E143B" w:rsidP="00FF0811">
            <w:pPr>
              <w:ind w:left="156"/>
              <w:rPr>
                <w:sz w:val="20"/>
                <w:szCs w:val="20"/>
              </w:rPr>
            </w:pPr>
          </w:p>
          <w:p w14:paraId="11F34E16" w14:textId="525852BC" w:rsidR="009E143B" w:rsidRDefault="009E143B" w:rsidP="00FF0811">
            <w:pPr>
              <w:ind w:left="156"/>
              <w:rPr>
                <w:sz w:val="20"/>
                <w:szCs w:val="20"/>
              </w:rPr>
            </w:pPr>
            <w:r w:rsidRPr="001A664B">
              <w:rPr>
                <w:sz w:val="20"/>
                <w:szCs w:val="20"/>
              </w:rPr>
              <w:t xml:space="preserve">Condensed Consolidated Statements of Operations for the three-month periods ended </w:t>
            </w:r>
            <w:r w:rsidR="00A03E61">
              <w:rPr>
                <w:sz w:val="20"/>
                <w:szCs w:val="20"/>
              </w:rPr>
              <w:t>March</w:t>
            </w:r>
            <w:r w:rsidRPr="001A664B">
              <w:rPr>
                <w:sz w:val="20"/>
                <w:szCs w:val="20"/>
              </w:rPr>
              <w:t xml:space="preserve"> 3</w:t>
            </w:r>
            <w:r w:rsidR="00A03E61">
              <w:rPr>
                <w:sz w:val="20"/>
                <w:szCs w:val="20"/>
              </w:rPr>
              <w:t>1</w:t>
            </w:r>
            <w:r w:rsidRPr="001A664B">
              <w:rPr>
                <w:sz w:val="20"/>
                <w:szCs w:val="20"/>
              </w:rPr>
              <w:t>, 202</w:t>
            </w:r>
            <w:r w:rsidR="00A03E61">
              <w:rPr>
                <w:sz w:val="20"/>
                <w:szCs w:val="20"/>
              </w:rPr>
              <w:t>2</w:t>
            </w:r>
            <w:r w:rsidRPr="001A664B">
              <w:rPr>
                <w:sz w:val="20"/>
                <w:szCs w:val="20"/>
              </w:rPr>
              <w:t xml:space="preserve"> and 202</w:t>
            </w:r>
            <w:r w:rsidR="00A03E61">
              <w:rPr>
                <w:sz w:val="20"/>
                <w:szCs w:val="20"/>
              </w:rPr>
              <w:t>1</w:t>
            </w:r>
            <w:r w:rsidRPr="001A664B">
              <w:rPr>
                <w:sz w:val="20"/>
                <w:szCs w:val="20"/>
              </w:rPr>
              <w:t xml:space="preserve"> (unaudited)</w:t>
            </w:r>
          </w:p>
        </w:tc>
        <w:tc>
          <w:tcPr>
            <w:tcW w:w="1440" w:type="dxa"/>
          </w:tcPr>
          <w:p w14:paraId="3E07692D" w14:textId="77777777" w:rsidR="009E143B" w:rsidRDefault="009E143B" w:rsidP="00FF0811">
            <w:pPr>
              <w:jc w:val="right"/>
              <w:rPr>
                <w:sz w:val="20"/>
                <w:szCs w:val="20"/>
              </w:rPr>
            </w:pPr>
          </w:p>
          <w:p w14:paraId="3D5AAC41" w14:textId="77777777" w:rsidR="009E143B" w:rsidRDefault="009E143B" w:rsidP="00FF0811">
            <w:pPr>
              <w:jc w:val="right"/>
              <w:rPr>
                <w:sz w:val="20"/>
                <w:szCs w:val="20"/>
              </w:rPr>
            </w:pPr>
            <w:r>
              <w:rPr>
                <w:sz w:val="20"/>
                <w:szCs w:val="20"/>
              </w:rPr>
              <w:t>F-3</w:t>
            </w:r>
          </w:p>
        </w:tc>
      </w:tr>
      <w:tr w:rsidR="009E143B" w14:paraId="2769614E" w14:textId="77777777" w:rsidTr="007E3CF9">
        <w:tc>
          <w:tcPr>
            <w:tcW w:w="7920" w:type="dxa"/>
          </w:tcPr>
          <w:p w14:paraId="3C660C46" w14:textId="77777777" w:rsidR="009E143B" w:rsidRDefault="009E143B" w:rsidP="00FF0811">
            <w:pPr>
              <w:ind w:left="156"/>
              <w:rPr>
                <w:sz w:val="20"/>
                <w:szCs w:val="20"/>
              </w:rPr>
            </w:pPr>
          </w:p>
          <w:p w14:paraId="31F19FB7" w14:textId="6EFA6640" w:rsidR="009E143B" w:rsidRDefault="009E143B" w:rsidP="00FF0811">
            <w:pPr>
              <w:ind w:left="156"/>
              <w:rPr>
                <w:sz w:val="20"/>
                <w:szCs w:val="20"/>
              </w:rPr>
            </w:pPr>
            <w:r w:rsidRPr="001A664B">
              <w:rPr>
                <w:sz w:val="20"/>
                <w:szCs w:val="20"/>
              </w:rPr>
              <w:t xml:space="preserve">Condensed Consolidated Statements of Changes in Stockholders’ Equity (Deficiency) for the three-month periods ended </w:t>
            </w:r>
            <w:r w:rsidR="00A03E61">
              <w:rPr>
                <w:sz w:val="20"/>
                <w:szCs w:val="20"/>
              </w:rPr>
              <w:t>March</w:t>
            </w:r>
            <w:r w:rsidRPr="001A664B">
              <w:rPr>
                <w:sz w:val="20"/>
                <w:szCs w:val="20"/>
              </w:rPr>
              <w:t xml:space="preserve"> 3</w:t>
            </w:r>
            <w:r w:rsidR="00A03E61">
              <w:rPr>
                <w:sz w:val="20"/>
                <w:szCs w:val="20"/>
              </w:rPr>
              <w:t>1</w:t>
            </w:r>
            <w:r w:rsidRPr="001A664B">
              <w:rPr>
                <w:sz w:val="20"/>
                <w:szCs w:val="20"/>
              </w:rPr>
              <w:t>, 202</w:t>
            </w:r>
            <w:r w:rsidR="00A03E61">
              <w:rPr>
                <w:sz w:val="20"/>
                <w:szCs w:val="20"/>
              </w:rPr>
              <w:t>2</w:t>
            </w:r>
            <w:r w:rsidRPr="001A664B">
              <w:rPr>
                <w:sz w:val="20"/>
                <w:szCs w:val="20"/>
              </w:rPr>
              <w:t xml:space="preserve"> and 202</w:t>
            </w:r>
            <w:r w:rsidR="00A03E61">
              <w:rPr>
                <w:sz w:val="20"/>
                <w:szCs w:val="20"/>
              </w:rPr>
              <w:t>1</w:t>
            </w:r>
            <w:r w:rsidRPr="001A664B">
              <w:rPr>
                <w:sz w:val="20"/>
                <w:szCs w:val="20"/>
              </w:rPr>
              <w:t xml:space="preserve"> (unaudited)</w:t>
            </w:r>
          </w:p>
        </w:tc>
        <w:tc>
          <w:tcPr>
            <w:tcW w:w="1440" w:type="dxa"/>
          </w:tcPr>
          <w:p w14:paraId="1D88F17F" w14:textId="77777777" w:rsidR="009E143B" w:rsidRDefault="009E143B" w:rsidP="00FF0811">
            <w:pPr>
              <w:jc w:val="right"/>
              <w:rPr>
                <w:sz w:val="20"/>
                <w:szCs w:val="20"/>
              </w:rPr>
            </w:pPr>
          </w:p>
          <w:p w14:paraId="29A54997" w14:textId="77777777" w:rsidR="009E143B" w:rsidRDefault="009E143B" w:rsidP="00FF0811">
            <w:pPr>
              <w:jc w:val="right"/>
              <w:rPr>
                <w:sz w:val="20"/>
                <w:szCs w:val="20"/>
              </w:rPr>
            </w:pPr>
            <w:r>
              <w:rPr>
                <w:sz w:val="20"/>
                <w:szCs w:val="20"/>
              </w:rPr>
              <w:t>F-4</w:t>
            </w:r>
          </w:p>
          <w:p w14:paraId="4504DF07" w14:textId="77777777" w:rsidR="009E143B" w:rsidRDefault="009E143B" w:rsidP="00FF0811">
            <w:pPr>
              <w:rPr>
                <w:sz w:val="20"/>
                <w:szCs w:val="20"/>
              </w:rPr>
            </w:pPr>
          </w:p>
          <w:p w14:paraId="66ECD9B8" w14:textId="77777777" w:rsidR="009E143B" w:rsidRPr="001109F5" w:rsidRDefault="009E143B" w:rsidP="00FF0811">
            <w:pPr>
              <w:jc w:val="right"/>
              <w:rPr>
                <w:sz w:val="20"/>
                <w:szCs w:val="20"/>
              </w:rPr>
            </w:pPr>
          </w:p>
        </w:tc>
      </w:tr>
      <w:tr w:rsidR="009E143B" w14:paraId="128E928A" w14:textId="77777777" w:rsidTr="007E3CF9">
        <w:tc>
          <w:tcPr>
            <w:tcW w:w="7920" w:type="dxa"/>
          </w:tcPr>
          <w:p w14:paraId="319AE023" w14:textId="39B556FA" w:rsidR="009E143B" w:rsidRPr="001A664B" w:rsidRDefault="009E143B" w:rsidP="00FF0811">
            <w:pPr>
              <w:ind w:left="156"/>
              <w:rPr>
                <w:sz w:val="20"/>
                <w:szCs w:val="20"/>
              </w:rPr>
            </w:pPr>
            <w:r>
              <w:rPr>
                <w:sz w:val="20"/>
                <w:szCs w:val="20"/>
              </w:rPr>
              <w:t>Condensed Consolidated Statements of Cash Flows</w:t>
            </w:r>
            <w:r w:rsidRPr="001A664B">
              <w:rPr>
                <w:sz w:val="20"/>
                <w:szCs w:val="20"/>
              </w:rPr>
              <w:t xml:space="preserve"> for the three-month periods ended </w:t>
            </w:r>
            <w:r w:rsidR="00A03E61">
              <w:rPr>
                <w:sz w:val="20"/>
                <w:szCs w:val="20"/>
              </w:rPr>
              <w:t>March</w:t>
            </w:r>
            <w:r w:rsidRPr="001A664B">
              <w:rPr>
                <w:sz w:val="20"/>
                <w:szCs w:val="20"/>
              </w:rPr>
              <w:t xml:space="preserve"> 3</w:t>
            </w:r>
            <w:r w:rsidR="00A03E61">
              <w:rPr>
                <w:sz w:val="20"/>
                <w:szCs w:val="20"/>
              </w:rPr>
              <w:t>1</w:t>
            </w:r>
            <w:r w:rsidRPr="001A664B">
              <w:rPr>
                <w:sz w:val="20"/>
                <w:szCs w:val="20"/>
              </w:rPr>
              <w:t>, 202</w:t>
            </w:r>
            <w:r w:rsidR="00A03E61">
              <w:rPr>
                <w:sz w:val="20"/>
                <w:szCs w:val="20"/>
              </w:rPr>
              <w:t>2</w:t>
            </w:r>
            <w:r w:rsidRPr="001A664B">
              <w:rPr>
                <w:sz w:val="20"/>
                <w:szCs w:val="20"/>
              </w:rPr>
              <w:t xml:space="preserve"> and 202</w:t>
            </w:r>
            <w:r w:rsidR="00A03E61">
              <w:rPr>
                <w:sz w:val="20"/>
                <w:szCs w:val="20"/>
              </w:rPr>
              <w:t>1</w:t>
            </w:r>
            <w:r w:rsidRPr="001A664B">
              <w:rPr>
                <w:sz w:val="20"/>
                <w:szCs w:val="20"/>
              </w:rPr>
              <w:t xml:space="preserve"> (unaudited)</w:t>
            </w:r>
          </w:p>
        </w:tc>
        <w:tc>
          <w:tcPr>
            <w:tcW w:w="1440" w:type="dxa"/>
          </w:tcPr>
          <w:p w14:paraId="1D957197" w14:textId="77777777" w:rsidR="009E143B" w:rsidRDefault="009E143B" w:rsidP="00FF0811">
            <w:pPr>
              <w:jc w:val="right"/>
              <w:rPr>
                <w:sz w:val="20"/>
                <w:szCs w:val="20"/>
              </w:rPr>
            </w:pPr>
          </w:p>
          <w:p w14:paraId="09335D4A" w14:textId="237577F7" w:rsidR="009E143B" w:rsidRDefault="009E143B" w:rsidP="00FF0811">
            <w:pPr>
              <w:jc w:val="right"/>
              <w:rPr>
                <w:sz w:val="20"/>
                <w:szCs w:val="20"/>
              </w:rPr>
            </w:pPr>
            <w:r>
              <w:rPr>
                <w:sz w:val="20"/>
                <w:szCs w:val="20"/>
              </w:rPr>
              <w:t>F-</w:t>
            </w:r>
            <w:r w:rsidR="009339E3">
              <w:rPr>
                <w:sz w:val="20"/>
                <w:szCs w:val="20"/>
              </w:rPr>
              <w:t>5</w:t>
            </w:r>
          </w:p>
        </w:tc>
      </w:tr>
      <w:tr w:rsidR="009E143B" w14:paraId="2B278981" w14:textId="77777777" w:rsidTr="007E3CF9">
        <w:tc>
          <w:tcPr>
            <w:tcW w:w="7920" w:type="dxa"/>
          </w:tcPr>
          <w:p w14:paraId="02986385" w14:textId="77777777" w:rsidR="009E143B" w:rsidRDefault="009E143B" w:rsidP="00FF0811">
            <w:pPr>
              <w:ind w:left="156"/>
              <w:rPr>
                <w:sz w:val="20"/>
                <w:szCs w:val="20"/>
              </w:rPr>
            </w:pPr>
          </w:p>
          <w:p w14:paraId="2B2E9F50" w14:textId="77777777" w:rsidR="009E143B" w:rsidRDefault="009E143B" w:rsidP="00FF0811">
            <w:pPr>
              <w:ind w:left="156"/>
              <w:rPr>
                <w:sz w:val="20"/>
                <w:szCs w:val="20"/>
              </w:rPr>
            </w:pPr>
            <w:r w:rsidRPr="001A664B">
              <w:rPr>
                <w:sz w:val="20"/>
                <w:szCs w:val="20"/>
              </w:rPr>
              <w:t>Notes to Condensed Consolidated Financial Statements (unaudited)</w:t>
            </w:r>
          </w:p>
        </w:tc>
        <w:tc>
          <w:tcPr>
            <w:tcW w:w="1440" w:type="dxa"/>
          </w:tcPr>
          <w:p w14:paraId="36A28A2B" w14:textId="77777777" w:rsidR="009E143B" w:rsidRDefault="009E143B" w:rsidP="00FF0811">
            <w:pPr>
              <w:jc w:val="right"/>
              <w:rPr>
                <w:sz w:val="20"/>
                <w:szCs w:val="20"/>
              </w:rPr>
            </w:pPr>
          </w:p>
          <w:p w14:paraId="149B76C1" w14:textId="3B74129A" w:rsidR="009E143B" w:rsidRDefault="009E143B" w:rsidP="00FF0811">
            <w:pPr>
              <w:jc w:val="right"/>
              <w:rPr>
                <w:sz w:val="20"/>
                <w:szCs w:val="20"/>
              </w:rPr>
            </w:pPr>
            <w:r>
              <w:rPr>
                <w:sz w:val="20"/>
                <w:szCs w:val="20"/>
              </w:rPr>
              <w:t>F-</w:t>
            </w:r>
            <w:r w:rsidR="009339E3">
              <w:rPr>
                <w:sz w:val="20"/>
                <w:szCs w:val="20"/>
              </w:rPr>
              <w:t>6</w:t>
            </w:r>
          </w:p>
        </w:tc>
      </w:tr>
      <w:tr w:rsidR="009E143B" w14:paraId="2BEB77CA" w14:textId="77777777" w:rsidTr="007E3CF9">
        <w:tc>
          <w:tcPr>
            <w:tcW w:w="7920" w:type="dxa"/>
          </w:tcPr>
          <w:p w14:paraId="26D2E6F7" w14:textId="77777777" w:rsidR="009E143B" w:rsidRDefault="009E143B" w:rsidP="00FF0811">
            <w:pPr>
              <w:rPr>
                <w:sz w:val="20"/>
                <w:szCs w:val="20"/>
              </w:rPr>
            </w:pPr>
          </w:p>
        </w:tc>
        <w:tc>
          <w:tcPr>
            <w:tcW w:w="1440" w:type="dxa"/>
          </w:tcPr>
          <w:p w14:paraId="03F3680D" w14:textId="77777777" w:rsidR="009E143B" w:rsidRDefault="009E143B" w:rsidP="00FF0811">
            <w:pPr>
              <w:rPr>
                <w:sz w:val="20"/>
                <w:szCs w:val="20"/>
              </w:rPr>
            </w:pPr>
          </w:p>
        </w:tc>
      </w:tr>
      <w:tr w:rsidR="009E143B" w14:paraId="7E0F548C" w14:textId="77777777" w:rsidTr="007E3CF9">
        <w:tc>
          <w:tcPr>
            <w:tcW w:w="7920" w:type="dxa"/>
          </w:tcPr>
          <w:p w14:paraId="035F5BA6" w14:textId="4AA243CE" w:rsidR="009E143B" w:rsidRDefault="009E143B" w:rsidP="00FF0811">
            <w:pPr>
              <w:rPr>
                <w:sz w:val="20"/>
                <w:szCs w:val="20"/>
              </w:rPr>
            </w:pPr>
            <w:r w:rsidRPr="009E143B">
              <w:rPr>
                <w:b/>
                <w:sz w:val="20"/>
                <w:szCs w:val="20"/>
                <w:u w:val="single"/>
              </w:rPr>
              <w:t>202</w:t>
            </w:r>
            <w:r w:rsidR="00A03E61">
              <w:rPr>
                <w:b/>
                <w:sz w:val="20"/>
                <w:szCs w:val="20"/>
                <w:u w:val="single"/>
              </w:rPr>
              <w:t>1</w:t>
            </w:r>
            <w:r w:rsidRPr="009E143B">
              <w:rPr>
                <w:b/>
                <w:sz w:val="20"/>
                <w:szCs w:val="20"/>
                <w:u w:val="single"/>
              </w:rPr>
              <w:t xml:space="preserve"> Consolidated Financial Statements</w:t>
            </w:r>
            <w:r>
              <w:rPr>
                <w:sz w:val="20"/>
                <w:szCs w:val="20"/>
              </w:rPr>
              <w:t>:</w:t>
            </w:r>
          </w:p>
        </w:tc>
        <w:tc>
          <w:tcPr>
            <w:tcW w:w="1440" w:type="dxa"/>
          </w:tcPr>
          <w:p w14:paraId="7C4BABEB" w14:textId="77777777" w:rsidR="009E143B" w:rsidRDefault="009E143B" w:rsidP="00FF0811">
            <w:pPr>
              <w:rPr>
                <w:sz w:val="20"/>
                <w:szCs w:val="20"/>
              </w:rPr>
            </w:pPr>
          </w:p>
        </w:tc>
      </w:tr>
      <w:tr w:rsidR="009E143B" w14:paraId="2E3C2EDE" w14:textId="77777777" w:rsidTr="007E3CF9">
        <w:tc>
          <w:tcPr>
            <w:tcW w:w="7920" w:type="dxa"/>
          </w:tcPr>
          <w:p w14:paraId="2D2B7A91" w14:textId="77777777" w:rsidR="009E143B" w:rsidRDefault="009E143B" w:rsidP="00FF0811">
            <w:pPr>
              <w:ind w:left="156"/>
              <w:rPr>
                <w:sz w:val="20"/>
                <w:szCs w:val="20"/>
              </w:rPr>
            </w:pPr>
            <w:r w:rsidRPr="001A664B">
              <w:rPr>
                <w:sz w:val="20"/>
                <w:szCs w:val="20"/>
              </w:rPr>
              <w:t>Report of Independent Registered Public Accounting Firm</w:t>
            </w:r>
          </w:p>
        </w:tc>
        <w:tc>
          <w:tcPr>
            <w:tcW w:w="1440" w:type="dxa"/>
          </w:tcPr>
          <w:p w14:paraId="7809E251" w14:textId="5304A1DD" w:rsidR="009E143B" w:rsidRDefault="009E143B" w:rsidP="00FF0811">
            <w:pPr>
              <w:jc w:val="right"/>
              <w:rPr>
                <w:sz w:val="20"/>
                <w:szCs w:val="20"/>
              </w:rPr>
            </w:pPr>
            <w:r>
              <w:rPr>
                <w:sz w:val="20"/>
                <w:szCs w:val="20"/>
              </w:rPr>
              <w:t>F-</w:t>
            </w:r>
            <w:r w:rsidR="0018005E">
              <w:rPr>
                <w:sz w:val="20"/>
                <w:szCs w:val="20"/>
              </w:rPr>
              <w:t>9</w:t>
            </w:r>
          </w:p>
        </w:tc>
      </w:tr>
      <w:tr w:rsidR="009E143B" w14:paraId="0361713B" w14:textId="77777777" w:rsidTr="007E3CF9">
        <w:tc>
          <w:tcPr>
            <w:tcW w:w="7920" w:type="dxa"/>
          </w:tcPr>
          <w:p w14:paraId="55DED4C9" w14:textId="77777777" w:rsidR="009E143B" w:rsidRDefault="009E143B" w:rsidP="00FF0811">
            <w:pPr>
              <w:ind w:left="156"/>
              <w:rPr>
                <w:sz w:val="20"/>
                <w:szCs w:val="20"/>
              </w:rPr>
            </w:pPr>
          </w:p>
          <w:p w14:paraId="60961090" w14:textId="1F2C8466" w:rsidR="009E143B" w:rsidRDefault="009E143B" w:rsidP="00FF0811">
            <w:pPr>
              <w:ind w:left="156"/>
              <w:rPr>
                <w:sz w:val="20"/>
                <w:szCs w:val="20"/>
              </w:rPr>
            </w:pPr>
            <w:r w:rsidRPr="001A664B">
              <w:rPr>
                <w:sz w:val="20"/>
                <w:szCs w:val="20"/>
              </w:rPr>
              <w:t>Consolidated Balance Sheets as of December 31, 202</w:t>
            </w:r>
            <w:r w:rsidR="00A03E61">
              <w:rPr>
                <w:sz w:val="20"/>
                <w:szCs w:val="20"/>
              </w:rPr>
              <w:t>1</w:t>
            </w:r>
            <w:r w:rsidRPr="001A664B">
              <w:rPr>
                <w:sz w:val="20"/>
                <w:szCs w:val="20"/>
              </w:rPr>
              <w:t xml:space="preserve"> and 20</w:t>
            </w:r>
            <w:r w:rsidR="00A03E61">
              <w:rPr>
                <w:sz w:val="20"/>
                <w:szCs w:val="20"/>
              </w:rPr>
              <w:t>20</w:t>
            </w:r>
          </w:p>
        </w:tc>
        <w:tc>
          <w:tcPr>
            <w:tcW w:w="1440" w:type="dxa"/>
          </w:tcPr>
          <w:p w14:paraId="78065394" w14:textId="77777777" w:rsidR="009E143B" w:rsidRDefault="009E143B" w:rsidP="00FF0811">
            <w:pPr>
              <w:jc w:val="right"/>
              <w:rPr>
                <w:sz w:val="20"/>
                <w:szCs w:val="20"/>
              </w:rPr>
            </w:pPr>
          </w:p>
          <w:p w14:paraId="25C14ADB" w14:textId="07A0CC74" w:rsidR="009E143B" w:rsidRDefault="009E143B" w:rsidP="00FF0811">
            <w:pPr>
              <w:jc w:val="right"/>
              <w:rPr>
                <w:sz w:val="20"/>
                <w:szCs w:val="20"/>
              </w:rPr>
            </w:pPr>
            <w:r>
              <w:rPr>
                <w:sz w:val="20"/>
                <w:szCs w:val="20"/>
              </w:rPr>
              <w:t>F-1</w:t>
            </w:r>
            <w:r w:rsidR="0018005E">
              <w:rPr>
                <w:sz w:val="20"/>
                <w:szCs w:val="20"/>
              </w:rPr>
              <w:t>1</w:t>
            </w:r>
          </w:p>
        </w:tc>
      </w:tr>
      <w:tr w:rsidR="009E143B" w14:paraId="4DA47F9D" w14:textId="77777777" w:rsidTr="007E3CF9">
        <w:tc>
          <w:tcPr>
            <w:tcW w:w="7920" w:type="dxa"/>
          </w:tcPr>
          <w:p w14:paraId="4C41845A" w14:textId="77777777" w:rsidR="009E143B" w:rsidRDefault="009E143B" w:rsidP="00FF0811">
            <w:pPr>
              <w:ind w:left="156"/>
              <w:rPr>
                <w:sz w:val="20"/>
                <w:szCs w:val="20"/>
              </w:rPr>
            </w:pPr>
          </w:p>
          <w:p w14:paraId="087F5913" w14:textId="4E62947A" w:rsidR="009E143B" w:rsidRDefault="009E143B" w:rsidP="00FF0811">
            <w:pPr>
              <w:ind w:left="156"/>
              <w:rPr>
                <w:sz w:val="20"/>
                <w:szCs w:val="20"/>
              </w:rPr>
            </w:pPr>
            <w:r w:rsidRPr="001A664B">
              <w:rPr>
                <w:sz w:val="20"/>
                <w:szCs w:val="20"/>
              </w:rPr>
              <w:t>Consolidated Statements of Operations for the years ended December 31, 202</w:t>
            </w:r>
            <w:r w:rsidR="00A03E61">
              <w:rPr>
                <w:sz w:val="20"/>
                <w:szCs w:val="20"/>
              </w:rPr>
              <w:t>1</w:t>
            </w:r>
            <w:r w:rsidRPr="001A664B">
              <w:rPr>
                <w:sz w:val="20"/>
                <w:szCs w:val="20"/>
              </w:rPr>
              <w:t xml:space="preserve"> and 20</w:t>
            </w:r>
            <w:r w:rsidR="00A03E61">
              <w:rPr>
                <w:sz w:val="20"/>
                <w:szCs w:val="20"/>
              </w:rPr>
              <w:t>20</w:t>
            </w:r>
          </w:p>
        </w:tc>
        <w:tc>
          <w:tcPr>
            <w:tcW w:w="1440" w:type="dxa"/>
          </w:tcPr>
          <w:p w14:paraId="1888E25B" w14:textId="77777777" w:rsidR="009E143B" w:rsidRDefault="009E143B" w:rsidP="00FF0811">
            <w:pPr>
              <w:jc w:val="right"/>
              <w:rPr>
                <w:sz w:val="20"/>
                <w:szCs w:val="20"/>
              </w:rPr>
            </w:pPr>
          </w:p>
          <w:p w14:paraId="5660763A" w14:textId="54FDC135" w:rsidR="009E143B" w:rsidRDefault="009E143B" w:rsidP="00FF0811">
            <w:pPr>
              <w:jc w:val="right"/>
              <w:rPr>
                <w:sz w:val="20"/>
                <w:szCs w:val="20"/>
              </w:rPr>
            </w:pPr>
            <w:r>
              <w:rPr>
                <w:sz w:val="20"/>
                <w:szCs w:val="20"/>
              </w:rPr>
              <w:t>F-1</w:t>
            </w:r>
            <w:r w:rsidR="0018005E">
              <w:rPr>
                <w:sz w:val="20"/>
                <w:szCs w:val="20"/>
              </w:rPr>
              <w:t>2</w:t>
            </w:r>
          </w:p>
        </w:tc>
      </w:tr>
      <w:tr w:rsidR="009E143B" w14:paraId="2403615E" w14:textId="77777777" w:rsidTr="007E3CF9">
        <w:tc>
          <w:tcPr>
            <w:tcW w:w="7920" w:type="dxa"/>
          </w:tcPr>
          <w:p w14:paraId="3AC07D22" w14:textId="77777777" w:rsidR="009E143B" w:rsidRDefault="009E143B" w:rsidP="00FF0811">
            <w:pPr>
              <w:ind w:left="156"/>
              <w:rPr>
                <w:sz w:val="20"/>
                <w:szCs w:val="20"/>
              </w:rPr>
            </w:pPr>
          </w:p>
          <w:p w14:paraId="058D45B1" w14:textId="3AB04B27" w:rsidR="009E143B" w:rsidRDefault="009E143B" w:rsidP="00FF0811">
            <w:pPr>
              <w:ind w:left="156"/>
              <w:rPr>
                <w:sz w:val="20"/>
                <w:szCs w:val="20"/>
              </w:rPr>
            </w:pPr>
            <w:r w:rsidRPr="001A664B">
              <w:rPr>
                <w:sz w:val="20"/>
                <w:szCs w:val="20"/>
              </w:rPr>
              <w:t>Consolidated Statements of Stockholders’ Equity (Deficiency) for the years ended December 31, 202</w:t>
            </w:r>
            <w:r w:rsidR="00A03E61">
              <w:rPr>
                <w:sz w:val="20"/>
                <w:szCs w:val="20"/>
              </w:rPr>
              <w:t>1</w:t>
            </w:r>
            <w:r w:rsidRPr="001A664B">
              <w:rPr>
                <w:sz w:val="20"/>
                <w:szCs w:val="20"/>
              </w:rPr>
              <w:t xml:space="preserve"> and 20</w:t>
            </w:r>
            <w:r w:rsidR="00A03E61">
              <w:rPr>
                <w:sz w:val="20"/>
                <w:szCs w:val="20"/>
              </w:rPr>
              <w:t>20</w:t>
            </w:r>
          </w:p>
        </w:tc>
        <w:tc>
          <w:tcPr>
            <w:tcW w:w="1440" w:type="dxa"/>
          </w:tcPr>
          <w:p w14:paraId="17B73D98" w14:textId="77777777" w:rsidR="009E143B" w:rsidRDefault="009E143B" w:rsidP="00FF0811">
            <w:pPr>
              <w:jc w:val="right"/>
              <w:rPr>
                <w:sz w:val="20"/>
                <w:szCs w:val="20"/>
              </w:rPr>
            </w:pPr>
          </w:p>
          <w:p w14:paraId="6BC29CB9" w14:textId="017BE06C" w:rsidR="009E143B" w:rsidRDefault="009E143B" w:rsidP="00FF0811">
            <w:pPr>
              <w:jc w:val="right"/>
              <w:rPr>
                <w:sz w:val="20"/>
                <w:szCs w:val="20"/>
              </w:rPr>
            </w:pPr>
            <w:r>
              <w:rPr>
                <w:sz w:val="20"/>
                <w:szCs w:val="20"/>
              </w:rPr>
              <w:t>F-1</w:t>
            </w:r>
            <w:r w:rsidR="0018005E">
              <w:rPr>
                <w:sz w:val="20"/>
                <w:szCs w:val="20"/>
              </w:rPr>
              <w:t>3</w:t>
            </w:r>
          </w:p>
        </w:tc>
      </w:tr>
      <w:tr w:rsidR="009E143B" w14:paraId="0A66ADC9" w14:textId="77777777" w:rsidTr="007E3CF9">
        <w:tc>
          <w:tcPr>
            <w:tcW w:w="7920" w:type="dxa"/>
          </w:tcPr>
          <w:p w14:paraId="30BB05E0" w14:textId="77777777" w:rsidR="009E143B" w:rsidRDefault="009E143B" w:rsidP="00FF0811">
            <w:pPr>
              <w:ind w:left="156"/>
              <w:rPr>
                <w:sz w:val="20"/>
                <w:szCs w:val="20"/>
              </w:rPr>
            </w:pPr>
          </w:p>
          <w:p w14:paraId="11DD3B18" w14:textId="5C05888A" w:rsidR="009E143B" w:rsidRDefault="009E143B" w:rsidP="00FF0811">
            <w:pPr>
              <w:ind w:left="156"/>
              <w:rPr>
                <w:sz w:val="20"/>
                <w:szCs w:val="20"/>
              </w:rPr>
            </w:pPr>
            <w:r w:rsidRPr="001A664B">
              <w:rPr>
                <w:sz w:val="20"/>
                <w:szCs w:val="20"/>
              </w:rPr>
              <w:t>Consolidated Statements of Cash Flows for the years ended December 31, 202</w:t>
            </w:r>
            <w:r w:rsidR="00A03E61">
              <w:rPr>
                <w:sz w:val="20"/>
                <w:szCs w:val="20"/>
              </w:rPr>
              <w:t>1</w:t>
            </w:r>
            <w:r w:rsidRPr="001A664B">
              <w:rPr>
                <w:sz w:val="20"/>
                <w:szCs w:val="20"/>
              </w:rPr>
              <w:t xml:space="preserve"> and 20</w:t>
            </w:r>
            <w:r w:rsidR="00A03E61">
              <w:rPr>
                <w:sz w:val="20"/>
                <w:szCs w:val="20"/>
              </w:rPr>
              <w:t>20</w:t>
            </w:r>
          </w:p>
        </w:tc>
        <w:tc>
          <w:tcPr>
            <w:tcW w:w="1440" w:type="dxa"/>
          </w:tcPr>
          <w:p w14:paraId="6F30BD97" w14:textId="77777777" w:rsidR="009E143B" w:rsidRDefault="009E143B" w:rsidP="00FF0811">
            <w:pPr>
              <w:jc w:val="right"/>
              <w:rPr>
                <w:sz w:val="20"/>
                <w:szCs w:val="20"/>
              </w:rPr>
            </w:pPr>
          </w:p>
          <w:p w14:paraId="3BE63AB3" w14:textId="7E78BEE8" w:rsidR="009E143B" w:rsidRDefault="009E143B" w:rsidP="00FF0811">
            <w:pPr>
              <w:jc w:val="right"/>
              <w:rPr>
                <w:sz w:val="20"/>
                <w:szCs w:val="20"/>
              </w:rPr>
            </w:pPr>
            <w:r>
              <w:rPr>
                <w:sz w:val="20"/>
                <w:szCs w:val="20"/>
              </w:rPr>
              <w:t>F-1</w:t>
            </w:r>
            <w:r w:rsidR="0018005E">
              <w:rPr>
                <w:sz w:val="20"/>
                <w:szCs w:val="20"/>
              </w:rPr>
              <w:t>4</w:t>
            </w:r>
          </w:p>
        </w:tc>
      </w:tr>
      <w:tr w:rsidR="009E143B" w14:paraId="107619DD" w14:textId="77777777" w:rsidTr="007E3CF9">
        <w:tc>
          <w:tcPr>
            <w:tcW w:w="7920" w:type="dxa"/>
          </w:tcPr>
          <w:p w14:paraId="2025B9CF" w14:textId="77777777" w:rsidR="009E143B" w:rsidRDefault="009E143B" w:rsidP="00FF0811">
            <w:pPr>
              <w:ind w:left="156"/>
              <w:rPr>
                <w:sz w:val="20"/>
                <w:szCs w:val="20"/>
              </w:rPr>
            </w:pPr>
          </w:p>
          <w:p w14:paraId="6256001B" w14:textId="77777777" w:rsidR="009E143B" w:rsidRDefault="009E143B" w:rsidP="00FF0811">
            <w:pPr>
              <w:ind w:left="156"/>
              <w:rPr>
                <w:sz w:val="20"/>
                <w:szCs w:val="20"/>
              </w:rPr>
            </w:pPr>
            <w:r w:rsidRPr="001A664B">
              <w:rPr>
                <w:sz w:val="20"/>
                <w:szCs w:val="20"/>
              </w:rPr>
              <w:t>Notes to Consolidated Financial Statements</w:t>
            </w:r>
          </w:p>
        </w:tc>
        <w:tc>
          <w:tcPr>
            <w:tcW w:w="1440" w:type="dxa"/>
          </w:tcPr>
          <w:p w14:paraId="184EF7B5" w14:textId="77777777" w:rsidR="009E143B" w:rsidRDefault="009E143B" w:rsidP="00FF0811">
            <w:pPr>
              <w:jc w:val="right"/>
              <w:rPr>
                <w:sz w:val="20"/>
                <w:szCs w:val="20"/>
              </w:rPr>
            </w:pPr>
          </w:p>
          <w:p w14:paraId="2881A3D0" w14:textId="435EB305" w:rsidR="009E143B" w:rsidRDefault="009E143B" w:rsidP="00FF0811">
            <w:pPr>
              <w:jc w:val="right"/>
              <w:rPr>
                <w:sz w:val="20"/>
                <w:szCs w:val="20"/>
              </w:rPr>
            </w:pPr>
            <w:r>
              <w:rPr>
                <w:sz w:val="20"/>
                <w:szCs w:val="20"/>
              </w:rPr>
              <w:t>F-1</w:t>
            </w:r>
            <w:r w:rsidR="0018005E">
              <w:rPr>
                <w:sz w:val="20"/>
                <w:szCs w:val="20"/>
              </w:rPr>
              <w:t>5</w:t>
            </w:r>
          </w:p>
        </w:tc>
      </w:tr>
      <w:tr w:rsidR="009E143B" w14:paraId="1BE53AAF" w14:textId="77777777" w:rsidTr="007E3CF9">
        <w:tc>
          <w:tcPr>
            <w:tcW w:w="7920" w:type="dxa"/>
          </w:tcPr>
          <w:p w14:paraId="1DCAE8B6" w14:textId="77777777" w:rsidR="009E143B" w:rsidRDefault="009E143B" w:rsidP="00FF0811">
            <w:pPr>
              <w:ind w:left="156"/>
              <w:rPr>
                <w:sz w:val="20"/>
                <w:szCs w:val="20"/>
              </w:rPr>
            </w:pPr>
          </w:p>
          <w:p w14:paraId="0C4E5527" w14:textId="77777777" w:rsidR="009E143B" w:rsidRPr="001A664B" w:rsidRDefault="009E143B" w:rsidP="00FF0811">
            <w:pPr>
              <w:ind w:left="156"/>
              <w:rPr>
                <w:sz w:val="20"/>
                <w:szCs w:val="20"/>
              </w:rPr>
            </w:pPr>
            <w:r>
              <w:rPr>
                <w:sz w:val="20"/>
                <w:szCs w:val="20"/>
              </w:rPr>
              <w:t>Financial Statement Schedule:</w:t>
            </w:r>
          </w:p>
        </w:tc>
        <w:tc>
          <w:tcPr>
            <w:tcW w:w="1440" w:type="dxa"/>
          </w:tcPr>
          <w:p w14:paraId="34257423" w14:textId="77777777" w:rsidR="009E143B" w:rsidRDefault="009E143B" w:rsidP="00FF0811">
            <w:pPr>
              <w:jc w:val="right"/>
              <w:rPr>
                <w:sz w:val="20"/>
                <w:szCs w:val="20"/>
              </w:rPr>
            </w:pPr>
          </w:p>
        </w:tc>
      </w:tr>
      <w:tr w:rsidR="009E143B" w14:paraId="378C854E" w14:textId="77777777" w:rsidTr="007E3CF9">
        <w:tc>
          <w:tcPr>
            <w:tcW w:w="7920" w:type="dxa"/>
          </w:tcPr>
          <w:p w14:paraId="4409087E" w14:textId="68C1CB29" w:rsidR="009E143B" w:rsidRDefault="009E143B" w:rsidP="00FF0811">
            <w:pPr>
              <w:ind w:left="336"/>
              <w:rPr>
                <w:sz w:val="20"/>
                <w:szCs w:val="20"/>
              </w:rPr>
            </w:pPr>
            <w:r w:rsidRPr="001A664B">
              <w:rPr>
                <w:sz w:val="20"/>
                <w:szCs w:val="20"/>
              </w:rPr>
              <w:t>Schedule II – Valuation and Qualifying Accounts for the years ended December 31, 202</w:t>
            </w:r>
            <w:r w:rsidR="00A03E61">
              <w:rPr>
                <w:sz w:val="20"/>
                <w:szCs w:val="20"/>
              </w:rPr>
              <w:t>1</w:t>
            </w:r>
            <w:r w:rsidRPr="001A664B">
              <w:rPr>
                <w:sz w:val="20"/>
                <w:szCs w:val="20"/>
              </w:rPr>
              <w:t xml:space="preserve"> and 20</w:t>
            </w:r>
            <w:r w:rsidR="00A03E61">
              <w:rPr>
                <w:sz w:val="20"/>
                <w:szCs w:val="20"/>
              </w:rPr>
              <w:t>20</w:t>
            </w:r>
          </w:p>
        </w:tc>
        <w:tc>
          <w:tcPr>
            <w:tcW w:w="1440" w:type="dxa"/>
          </w:tcPr>
          <w:p w14:paraId="2997971A" w14:textId="17AC2082" w:rsidR="009E143B" w:rsidRDefault="009E143B" w:rsidP="00FF0811">
            <w:pPr>
              <w:jc w:val="right"/>
              <w:rPr>
                <w:sz w:val="20"/>
                <w:szCs w:val="20"/>
              </w:rPr>
            </w:pPr>
            <w:r>
              <w:rPr>
                <w:sz w:val="20"/>
                <w:szCs w:val="20"/>
              </w:rPr>
              <w:t>F-</w:t>
            </w:r>
            <w:r w:rsidR="0018005E">
              <w:rPr>
                <w:sz w:val="20"/>
                <w:szCs w:val="20"/>
              </w:rPr>
              <w:t>24</w:t>
            </w:r>
          </w:p>
        </w:tc>
      </w:tr>
    </w:tbl>
    <w:p w14:paraId="24E2D868" w14:textId="77777777" w:rsidR="001A664B" w:rsidRPr="001A664B" w:rsidRDefault="001A664B" w:rsidP="001A664B">
      <w:pPr>
        <w:rPr>
          <w:sz w:val="20"/>
          <w:szCs w:val="20"/>
        </w:rPr>
      </w:pPr>
    </w:p>
    <w:p w14:paraId="2D94C3CE" w14:textId="77777777" w:rsidR="001A664B" w:rsidRDefault="001A664B" w:rsidP="001A664B">
      <w:pPr>
        <w:rPr>
          <w:sz w:val="20"/>
          <w:szCs w:val="20"/>
        </w:rPr>
      </w:pPr>
    </w:p>
    <w:p w14:paraId="3F288E40" w14:textId="77777777" w:rsidR="001A664B" w:rsidRDefault="001A664B" w:rsidP="001A664B">
      <w:pPr>
        <w:rPr>
          <w:sz w:val="20"/>
          <w:szCs w:val="20"/>
        </w:rPr>
      </w:pPr>
    </w:p>
    <w:p w14:paraId="11E613FB" w14:textId="77777777" w:rsidR="001A664B" w:rsidRDefault="001A664B" w:rsidP="001A664B">
      <w:pPr>
        <w:rPr>
          <w:sz w:val="20"/>
          <w:szCs w:val="20"/>
        </w:rPr>
        <w:sectPr w:rsidR="001A664B" w:rsidSect="0081617A">
          <w:footerReference w:type="default" r:id="rId21"/>
          <w:pgSz w:w="12240" w:h="15840"/>
          <w:pgMar w:top="1440" w:right="1440" w:bottom="1440" w:left="1440" w:header="720" w:footer="720" w:gutter="0"/>
          <w:pgNumType w:start="1"/>
          <w:cols w:space="720"/>
          <w:docGrid w:linePitch="326"/>
        </w:sectPr>
      </w:pPr>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9810A5" w:rsidRPr="009810A5" w14:paraId="498E6B8D" w14:textId="77777777" w:rsidTr="004F5282">
        <w:trPr>
          <w:cantSplit/>
          <w:trHeight w:val="230"/>
        </w:trPr>
        <w:tc>
          <w:tcPr>
            <w:tcW w:w="10080" w:type="dxa"/>
            <w:gridSpan w:val="7"/>
          </w:tcPr>
          <w:p w14:paraId="51413FB1" w14:textId="77777777" w:rsidR="009810A5" w:rsidRPr="009810A5" w:rsidRDefault="009810A5" w:rsidP="009810A5">
            <w:pPr>
              <w:keepNext/>
              <w:numPr>
                <w:ilvl w:val="7"/>
                <w:numId w:val="0"/>
              </w:numPr>
              <w:tabs>
                <w:tab w:val="num" w:pos="5400"/>
              </w:tabs>
              <w:jc w:val="center"/>
              <w:outlineLvl w:val="7"/>
              <w:rPr>
                <w:b/>
                <w:snapToGrid w:val="0"/>
                <w:color w:val="000000"/>
                <w:sz w:val="20"/>
                <w:szCs w:val="20"/>
              </w:rPr>
            </w:pPr>
          </w:p>
          <w:p w14:paraId="4F35446A" w14:textId="77777777" w:rsidR="009810A5" w:rsidRPr="009810A5" w:rsidRDefault="009810A5" w:rsidP="009810A5">
            <w:pPr>
              <w:keepNext/>
              <w:numPr>
                <w:ilvl w:val="7"/>
                <w:numId w:val="0"/>
              </w:numPr>
              <w:tabs>
                <w:tab w:val="num" w:pos="5400"/>
              </w:tabs>
              <w:jc w:val="center"/>
              <w:outlineLvl w:val="7"/>
              <w:rPr>
                <w:b/>
                <w:snapToGrid w:val="0"/>
                <w:color w:val="000000"/>
                <w:sz w:val="20"/>
                <w:szCs w:val="20"/>
              </w:rPr>
            </w:pPr>
            <w:r w:rsidRPr="009810A5">
              <w:rPr>
                <w:b/>
                <w:snapToGrid w:val="0"/>
                <w:color w:val="000000"/>
                <w:sz w:val="20"/>
                <w:szCs w:val="20"/>
              </w:rPr>
              <w:t>GEOVAX LABS, INC.</w:t>
            </w:r>
          </w:p>
        </w:tc>
      </w:tr>
      <w:tr w:rsidR="009810A5" w:rsidRPr="009810A5" w14:paraId="3D68FEC0" w14:textId="77777777" w:rsidTr="004F5282">
        <w:trPr>
          <w:cantSplit/>
          <w:trHeight w:val="230"/>
        </w:trPr>
        <w:tc>
          <w:tcPr>
            <w:tcW w:w="10080" w:type="dxa"/>
            <w:gridSpan w:val="7"/>
          </w:tcPr>
          <w:p w14:paraId="77C0E047" w14:textId="77777777" w:rsidR="009810A5" w:rsidRPr="009810A5" w:rsidRDefault="009810A5" w:rsidP="009810A5">
            <w:pPr>
              <w:keepNext/>
              <w:numPr>
                <w:ilvl w:val="7"/>
                <w:numId w:val="0"/>
              </w:numPr>
              <w:tabs>
                <w:tab w:val="num" w:pos="5400"/>
              </w:tabs>
              <w:jc w:val="center"/>
              <w:outlineLvl w:val="7"/>
              <w:rPr>
                <w:b/>
                <w:snapToGrid w:val="0"/>
                <w:color w:val="000000"/>
                <w:sz w:val="20"/>
                <w:szCs w:val="20"/>
              </w:rPr>
            </w:pPr>
            <w:r w:rsidRPr="009810A5">
              <w:rPr>
                <w:b/>
                <w:snapToGrid w:val="0"/>
                <w:color w:val="000000"/>
                <w:sz w:val="20"/>
                <w:szCs w:val="20"/>
              </w:rPr>
              <w:t>CONDENSED CONSOLIDATED BALANCE SHEETS</w:t>
            </w:r>
          </w:p>
        </w:tc>
      </w:tr>
      <w:tr w:rsidR="009810A5" w:rsidRPr="009810A5" w14:paraId="176ADA05" w14:textId="77777777" w:rsidTr="004F5282">
        <w:trPr>
          <w:trHeight w:hRule="exact" w:val="230"/>
        </w:trPr>
        <w:tc>
          <w:tcPr>
            <w:tcW w:w="305" w:type="dxa"/>
          </w:tcPr>
          <w:p w14:paraId="0001E871" w14:textId="77777777" w:rsidR="009810A5" w:rsidRPr="009810A5" w:rsidRDefault="009810A5" w:rsidP="009810A5">
            <w:pPr>
              <w:jc w:val="right"/>
              <w:rPr>
                <w:snapToGrid w:val="0"/>
                <w:color w:val="000000"/>
                <w:sz w:val="20"/>
                <w:szCs w:val="20"/>
              </w:rPr>
            </w:pPr>
          </w:p>
        </w:tc>
        <w:tc>
          <w:tcPr>
            <w:tcW w:w="302" w:type="dxa"/>
          </w:tcPr>
          <w:p w14:paraId="643EDE9C" w14:textId="77777777" w:rsidR="009810A5" w:rsidRPr="009810A5" w:rsidRDefault="009810A5" w:rsidP="009810A5">
            <w:pPr>
              <w:jc w:val="right"/>
              <w:rPr>
                <w:snapToGrid w:val="0"/>
                <w:color w:val="000000"/>
                <w:sz w:val="20"/>
                <w:szCs w:val="20"/>
              </w:rPr>
            </w:pPr>
          </w:p>
        </w:tc>
        <w:tc>
          <w:tcPr>
            <w:tcW w:w="5513" w:type="dxa"/>
          </w:tcPr>
          <w:p w14:paraId="5AEF0347" w14:textId="77777777" w:rsidR="009810A5" w:rsidRPr="009810A5" w:rsidRDefault="009810A5" w:rsidP="009810A5">
            <w:pPr>
              <w:jc w:val="right"/>
              <w:rPr>
                <w:snapToGrid w:val="0"/>
                <w:color w:val="000000"/>
                <w:sz w:val="20"/>
                <w:szCs w:val="20"/>
              </w:rPr>
            </w:pPr>
          </w:p>
        </w:tc>
        <w:tc>
          <w:tcPr>
            <w:tcW w:w="90" w:type="dxa"/>
          </w:tcPr>
          <w:p w14:paraId="1E5DA51E" w14:textId="77777777" w:rsidR="009810A5" w:rsidRPr="009810A5" w:rsidRDefault="009810A5" w:rsidP="009810A5">
            <w:pPr>
              <w:jc w:val="right"/>
              <w:rPr>
                <w:snapToGrid w:val="0"/>
                <w:color w:val="000000"/>
                <w:sz w:val="20"/>
                <w:szCs w:val="20"/>
              </w:rPr>
            </w:pPr>
          </w:p>
        </w:tc>
        <w:tc>
          <w:tcPr>
            <w:tcW w:w="3870" w:type="dxa"/>
            <w:gridSpan w:val="3"/>
          </w:tcPr>
          <w:p w14:paraId="09944013" w14:textId="77777777" w:rsidR="009810A5" w:rsidRPr="009810A5" w:rsidRDefault="009810A5" w:rsidP="009810A5">
            <w:pPr>
              <w:jc w:val="center"/>
              <w:rPr>
                <w:snapToGrid w:val="0"/>
                <w:color w:val="000000"/>
                <w:sz w:val="20"/>
                <w:szCs w:val="20"/>
              </w:rPr>
            </w:pPr>
          </w:p>
        </w:tc>
      </w:tr>
      <w:tr w:rsidR="009810A5" w:rsidRPr="009810A5" w14:paraId="2BD1C78A" w14:textId="77777777" w:rsidTr="004F5282">
        <w:trPr>
          <w:trHeight w:hRule="exact" w:val="230"/>
        </w:trPr>
        <w:tc>
          <w:tcPr>
            <w:tcW w:w="305" w:type="dxa"/>
          </w:tcPr>
          <w:p w14:paraId="793A9F5F" w14:textId="77777777" w:rsidR="009810A5" w:rsidRPr="009810A5" w:rsidRDefault="009810A5" w:rsidP="009810A5">
            <w:pPr>
              <w:jc w:val="right"/>
              <w:rPr>
                <w:snapToGrid w:val="0"/>
                <w:color w:val="000000"/>
                <w:sz w:val="20"/>
                <w:szCs w:val="20"/>
              </w:rPr>
            </w:pPr>
          </w:p>
        </w:tc>
        <w:tc>
          <w:tcPr>
            <w:tcW w:w="302" w:type="dxa"/>
          </w:tcPr>
          <w:p w14:paraId="5900EA22" w14:textId="77777777" w:rsidR="009810A5" w:rsidRPr="009810A5" w:rsidRDefault="009810A5" w:rsidP="009810A5">
            <w:pPr>
              <w:jc w:val="right"/>
              <w:rPr>
                <w:snapToGrid w:val="0"/>
                <w:color w:val="000000"/>
                <w:sz w:val="20"/>
                <w:szCs w:val="20"/>
              </w:rPr>
            </w:pPr>
          </w:p>
        </w:tc>
        <w:tc>
          <w:tcPr>
            <w:tcW w:w="5513" w:type="dxa"/>
          </w:tcPr>
          <w:p w14:paraId="1323067A" w14:textId="77777777" w:rsidR="009810A5" w:rsidRPr="009810A5" w:rsidRDefault="009810A5" w:rsidP="009810A5">
            <w:pPr>
              <w:jc w:val="right"/>
              <w:rPr>
                <w:snapToGrid w:val="0"/>
                <w:color w:val="000000"/>
                <w:sz w:val="20"/>
                <w:szCs w:val="20"/>
              </w:rPr>
            </w:pPr>
          </w:p>
        </w:tc>
        <w:tc>
          <w:tcPr>
            <w:tcW w:w="90" w:type="dxa"/>
          </w:tcPr>
          <w:p w14:paraId="41BC2DEB" w14:textId="77777777" w:rsidR="009810A5" w:rsidRPr="009810A5" w:rsidRDefault="009810A5" w:rsidP="009810A5">
            <w:pPr>
              <w:jc w:val="right"/>
              <w:rPr>
                <w:snapToGrid w:val="0"/>
                <w:color w:val="000000"/>
                <w:sz w:val="20"/>
                <w:szCs w:val="20"/>
              </w:rPr>
            </w:pPr>
          </w:p>
        </w:tc>
        <w:tc>
          <w:tcPr>
            <w:tcW w:w="1710" w:type="dxa"/>
          </w:tcPr>
          <w:p w14:paraId="6B3A61AA" w14:textId="77777777" w:rsidR="009810A5" w:rsidRPr="009810A5" w:rsidRDefault="009810A5" w:rsidP="009810A5">
            <w:pPr>
              <w:jc w:val="center"/>
              <w:rPr>
                <w:snapToGrid w:val="0"/>
                <w:color w:val="000000"/>
                <w:sz w:val="20"/>
                <w:szCs w:val="20"/>
              </w:rPr>
            </w:pPr>
            <w:r w:rsidRPr="009810A5">
              <w:rPr>
                <w:snapToGrid w:val="0"/>
                <w:color w:val="000000"/>
                <w:sz w:val="20"/>
                <w:szCs w:val="20"/>
              </w:rPr>
              <w:t>March 31</w:t>
            </w:r>
          </w:p>
        </w:tc>
        <w:tc>
          <w:tcPr>
            <w:tcW w:w="270" w:type="dxa"/>
          </w:tcPr>
          <w:p w14:paraId="39C1BA08" w14:textId="77777777" w:rsidR="009810A5" w:rsidRPr="009810A5" w:rsidRDefault="009810A5" w:rsidP="009810A5">
            <w:pPr>
              <w:jc w:val="right"/>
              <w:rPr>
                <w:snapToGrid w:val="0"/>
                <w:color w:val="000000"/>
                <w:sz w:val="20"/>
                <w:szCs w:val="20"/>
              </w:rPr>
            </w:pPr>
          </w:p>
        </w:tc>
        <w:tc>
          <w:tcPr>
            <w:tcW w:w="1890" w:type="dxa"/>
          </w:tcPr>
          <w:p w14:paraId="580AA7BC" w14:textId="77777777" w:rsidR="009810A5" w:rsidRPr="009810A5" w:rsidRDefault="009810A5" w:rsidP="009810A5">
            <w:pPr>
              <w:jc w:val="center"/>
              <w:rPr>
                <w:snapToGrid w:val="0"/>
                <w:color w:val="000000"/>
                <w:sz w:val="20"/>
                <w:szCs w:val="20"/>
              </w:rPr>
            </w:pPr>
            <w:r w:rsidRPr="009810A5">
              <w:rPr>
                <w:snapToGrid w:val="0"/>
                <w:color w:val="000000"/>
                <w:sz w:val="20"/>
                <w:szCs w:val="20"/>
              </w:rPr>
              <w:t>December 31,</w:t>
            </w:r>
          </w:p>
        </w:tc>
      </w:tr>
      <w:tr w:rsidR="009810A5" w:rsidRPr="009810A5" w14:paraId="4CD38ED7" w14:textId="77777777" w:rsidTr="004F5282">
        <w:trPr>
          <w:trHeight w:hRule="exact" w:val="230"/>
        </w:trPr>
        <w:tc>
          <w:tcPr>
            <w:tcW w:w="305" w:type="dxa"/>
          </w:tcPr>
          <w:p w14:paraId="29E0D6B8" w14:textId="77777777" w:rsidR="009810A5" w:rsidRPr="009810A5" w:rsidRDefault="009810A5" w:rsidP="009810A5">
            <w:pPr>
              <w:jc w:val="right"/>
              <w:rPr>
                <w:snapToGrid w:val="0"/>
                <w:color w:val="000000"/>
                <w:sz w:val="20"/>
                <w:szCs w:val="20"/>
              </w:rPr>
            </w:pPr>
          </w:p>
        </w:tc>
        <w:tc>
          <w:tcPr>
            <w:tcW w:w="302" w:type="dxa"/>
          </w:tcPr>
          <w:p w14:paraId="319A25AA" w14:textId="77777777" w:rsidR="009810A5" w:rsidRPr="009810A5" w:rsidRDefault="009810A5" w:rsidP="009810A5">
            <w:pPr>
              <w:jc w:val="right"/>
              <w:rPr>
                <w:snapToGrid w:val="0"/>
                <w:color w:val="000000"/>
                <w:sz w:val="20"/>
                <w:szCs w:val="20"/>
              </w:rPr>
            </w:pPr>
          </w:p>
        </w:tc>
        <w:tc>
          <w:tcPr>
            <w:tcW w:w="5513" w:type="dxa"/>
          </w:tcPr>
          <w:p w14:paraId="01A3B5EA" w14:textId="77777777" w:rsidR="009810A5" w:rsidRPr="009810A5" w:rsidRDefault="009810A5" w:rsidP="009810A5">
            <w:pPr>
              <w:jc w:val="right"/>
              <w:rPr>
                <w:snapToGrid w:val="0"/>
                <w:color w:val="000000"/>
                <w:sz w:val="20"/>
                <w:szCs w:val="20"/>
              </w:rPr>
            </w:pPr>
          </w:p>
        </w:tc>
        <w:tc>
          <w:tcPr>
            <w:tcW w:w="90" w:type="dxa"/>
          </w:tcPr>
          <w:p w14:paraId="00868C9B" w14:textId="77777777" w:rsidR="009810A5" w:rsidRPr="009810A5" w:rsidRDefault="009810A5" w:rsidP="009810A5">
            <w:pPr>
              <w:jc w:val="right"/>
              <w:rPr>
                <w:snapToGrid w:val="0"/>
                <w:color w:val="000000"/>
                <w:sz w:val="20"/>
                <w:szCs w:val="20"/>
              </w:rPr>
            </w:pPr>
          </w:p>
        </w:tc>
        <w:tc>
          <w:tcPr>
            <w:tcW w:w="1710" w:type="dxa"/>
            <w:tcBorders>
              <w:bottom w:val="single" w:sz="6" w:space="0" w:color="auto"/>
            </w:tcBorders>
          </w:tcPr>
          <w:p w14:paraId="44CCCB6F" w14:textId="77777777" w:rsidR="009810A5" w:rsidRPr="009810A5" w:rsidRDefault="009810A5" w:rsidP="009810A5">
            <w:pPr>
              <w:jc w:val="center"/>
              <w:rPr>
                <w:snapToGrid w:val="0"/>
                <w:color w:val="000000"/>
                <w:sz w:val="20"/>
                <w:szCs w:val="20"/>
              </w:rPr>
            </w:pPr>
            <w:r w:rsidRPr="009810A5">
              <w:rPr>
                <w:snapToGrid w:val="0"/>
                <w:color w:val="000000"/>
                <w:sz w:val="20"/>
                <w:szCs w:val="20"/>
              </w:rPr>
              <w:t>2022</w:t>
            </w:r>
          </w:p>
        </w:tc>
        <w:tc>
          <w:tcPr>
            <w:tcW w:w="270" w:type="dxa"/>
          </w:tcPr>
          <w:p w14:paraId="7FA53E57" w14:textId="77777777" w:rsidR="009810A5" w:rsidRPr="009810A5" w:rsidRDefault="009810A5" w:rsidP="009810A5">
            <w:pPr>
              <w:jc w:val="right"/>
              <w:rPr>
                <w:snapToGrid w:val="0"/>
                <w:color w:val="000000"/>
                <w:sz w:val="20"/>
                <w:szCs w:val="20"/>
              </w:rPr>
            </w:pPr>
          </w:p>
        </w:tc>
        <w:tc>
          <w:tcPr>
            <w:tcW w:w="1890" w:type="dxa"/>
            <w:tcBorders>
              <w:bottom w:val="single" w:sz="6" w:space="0" w:color="auto"/>
            </w:tcBorders>
          </w:tcPr>
          <w:p w14:paraId="01559F79" w14:textId="77777777" w:rsidR="009810A5" w:rsidRPr="009810A5" w:rsidRDefault="009810A5" w:rsidP="009810A5">
            <w:pPr>
              <w:jc w:val="center"/>
              <w:rPr>
                <w:snapToGrid w:val="0"/>
                <w:color w:val="000000"/>
                <w:sz w:val="20"/>
                <w:szCs w:val="20"/>
              </w:rPr>
            </w:pPr>
            <w:r w:rsidRPr="009810A5">
              <w:rPr>
                <w:snapToGrid w:val="0"/>
                <w:color w:val="000000"/>
                <w:sz w:val="20"/>
                <w:szCs w:val="20"/>
              </w:rPr>
              <w:t>2021</w:t>
            </w:r>
          </w:p>
        </w:tc>
      </w:tr>
      <w:tr w:rsidR="009810A5" w:rsidRPr="009810A5" w14:paraId="305B5F2E" w14:textId="77777777" w:rsidTr="004F5282">
        <w:trPr>
          <w:trHeight w:hRule="exact" w:val="230"/>
        </w:trPr>
        <w:tc>
          <w:tcPr>
            <w:tcW w:w="6120" w:type="dxa"/>
            <w:gridSpan w:val="3"/>
          </w:tcPr>
          <w:p w14:paraId="6B1BBC8C" w14:textId="77777777" w:rsidR="009810A5" w:rsidRPr="009810A5" w:rsidRDefault="009810A5" w:rsidP="009810A5">
            <w:pPr>
              <w:rPr>
                <w:snapToGrid w:val="0"/>
                <w:color w:val="000000"/>
                <w:sz w:val="20"/>
                <w:szCs w:val="20"/>
              </w:rPr>
            </w:pPr>
          </w:p>
        </w:tc>
        <w:tc>
          <w:tcPr>
            <w:tcW w:w="90" w:type="dxa"/>
          </w:tcPr>
          <w:p w14:paraId="221D487D" w14:textId="77777777" w:rsidR="009810A5" w:rsidRPr="009810A5" w:rsidRDefault="009810A5" w:rsidP="009810A5">
            <w:pPr>
              <w:jc w:val="right"/>
              <w:rPr>
                <w:snapToGrid w:val="0"/>
                <w:color w:val="000000"/>
                <w:sz w:val="20"/>
                <w:szCs w:val="20"/>
              </w:rPr>
            </w:pPr>
          </w:p>
        </w:tc>
        <w:tc>
          <w:tcPr>
            <w:tcW w:w="1710" w:type="dxa"/>
          </w:tcPr>
          <w:p w14:paraId="5872A02D" w14:textId="77777777" w:rsidR="009810A5" w:rsidRPr="009810A5" w:rsidRDefault="009810A5" w:rsidP="009810A5">
            <w:pPr>
              <w:jc w:val="center"/>
              <w:rPr>
                <w:snapToGrid w:val="0"/>
                <w:color w:val="000000"/>
                <w:sz w:val="20"/>
                <w:szCs w:val="20"/>
              </w:rPr>
            </w:pPr>
            <w:r w:rsidRPr="009810A5">
              <w:rPr>
                <w:snapToGrid w:val="0"/>
                <w:color w:val="000000"/>
                <w:sz w:val="20"/>
                <w:szCs w:val="20"/>
              </w:rPr>
              <w:t>(unaudited)</w:t>
            </w:r>
          </w:p>
        </w:tc>
        <w:tc>
          <w:tcPr>
            <w:tcW w:w="270" w:type="dxa"/>
          </w:tcPr>
          <w:p w14:paraId="4077C41A" w14:textId="77777777" w:rsidR="009810A5" w:rsidRPr="009810A5" w:rsidRDefault="009810A5" w:rsidP="009810A5">
            <w:pPr>
              <w:jc w:val="center"/>
              <w:rPr>
                <w:snapToGrid w:val="0"/>
                <w:color w:val="000000"/>
                <w:sz w:val="20"/>
                <w:szCs w:val="20"/>
              </w:rPr>
            </w:pPr>
          </w:p>
        </w:tc>
        <w:tc>
          <w:tcPr>
            <w:tcW w:w="1890" w:type="dxa"/>
          </w:tcPr>
          <w:p w14:paraId="4DAAE68C" w14:textId="77777777" w:rsidR="009810A5" w:rsidRPr="009810A5" w:rsidRDefault="009810A5" w:rsidP="009810A5">
            <w:pPr>
              <w:jc w:val="center"/>
              <w:rPr>
                <w:snapToGrid w:val="0"/>
                <w:color w:val="000000"/>
                <w:sz w:val="20"/>
                <w:szCs w:val="20"/>
              </w:rPr>
            </w:pPr>
          </w:p>
        </w:tc>
      </w:tr>
      <w:tr w:rsidR="009810A5" w:rsidRPr="009810A5" w14:paraId="7720D477" w14:textId="77777777" w:rsidTr="004F5282">
        <w:trPr>
          <w:trHeight w:hRule="exact" w:val="230"/>
        </w:trPr>
        <w:tc>
          <w:tcPr>
            <w:tcW w:w="6120" w:type="dxa"/>
            <w:gridSpan w:val="3"/>
          </w:tcPr>
          <w:p w14:paraId="3C5F24C7" w14:textId="77777777" w:rsidR="009810A5" w:rsidRPr="009810A5" w:rsidRDefault="009810A5" w:rsidP="009810A5">
            <w:pPr>
              <w:rPr>
                <w:snapToGrid w:val="0"/>
                <w:color w:val="000000"/>
                <w:sz w:val="20"/>
                <w:szCs w:val="20"/>
              </w:rPr>
            </w:pPr>
            <w:r w:rsidRPr="009810A5">
              <w:rPr>
                <w:snapToGrid w:val="0"/>
                <w:color w:val="000000"/>
                <w:sz w:val="20"/>
                <w:szCs w:val="20"/>
              </w:rPr>
              <w:t>ASSETS</w:t>
            </w:r>
          </w:p>
        </w:tc>
        <w:tc>
          <w:tcPr>
            <w:tcW w:w="90" w:type="dxa"/>
          </w:tcPr>
          <w:p w14:paraId="2912C18F" w14:textId="77777777" w:rsidR="009810A5" w:rsidRPr="009810A5" w:rsidRDefault="009810A5" w:rsidP="009810A5">
            <w:pPr>
              <w:jc w:val="right"/>
              <w:rPr>
                <w:snapToGrid w:val="0"/>
                <w:color w:val="000000"/>
                <w:sz w:val="20"/>
                <w:szCs w:val="20"/>
              </w:rPr>
            </w:pPr>
          </w:p>
        </w:tc>
        <w:tc>
          <w:tcPr>
            <w:tcW w:w="1710" w:type="dxa"/>
          </w:tcPr>
          <w:p w14:paraId="4F984791" w14:textId="77777777" w:rsidR="009810A5" w:rsidRPr="009810A5" w:rsidRDefault="009810A5" w:rsidP="009810A5">
            <w:pPr>
              <w:jc w:val="center"/>
              <w:rPr>
                <w:snapToGrid w:val="0"/>
                <w:color w:val="000000"/>
                <w:sz w:val="20"/>
                <w:szCs w:val="20"/>
              </w:rPr>
            </w:pPr>
          </w:p>
        </w:tc>
        <w:tc>
          <w:tcPr>
            <w:tcW w:w="270" w:type="dxa"/>
          </w:tcPr>
          <w:p w14:paraId="1FFE5D7E" w14:textId="77777777" w:rsidR="009810A5" w:rsidRPr="009810A5" w:rsidRDefault="009810A5" w:rsidP="009810A5">
            <w:pPr>
              <w:jc w:val="center"/>
              <w:rPr>
                <w:snapToGrid w:val="0"/>
                <w:color w:val="000000"/>
                <w:sz w:val="20"/>
                <w:szCs w:val="20"/>
              </w:rPr>
            </w:pPr>
          </w:p>
        </w:tc>
        <w:tc>
          <w:tcPr>
            <w:tcW w:w="1890" w:type="dxa"/>
          </w:tcPr>
          <w:p w14:paraId="7C55801D" w14:textId="77777777" w:rsidR="009810A5" w:rsidRPr="009810A5" w:rsidRDefault="009810A5" w:rsidP="009810A5">
            <w:pPr>
              <w:jc w:val="center"/>
              <w:rPr>
                <w:snapToGrid w:val="0"/>
                <w:color w:val="000000"/>
                <w:sz w:val="20"/>
                <w:szCs w:val="20"/>
              </w:rPr>
            </w:pPr>
          </w:p>
        </w:tc>
      </w:tr>
      <w:tr w:rsidR="009810A5" w:rsidRPr="009810A5" w14:paraId="40B10ABC" w14:textId="77777777" w:rsidTr="004F5282">
        <w:trPr>
          <w:trHeight w:hRule="exact" w:val="230"/>
        </w:trPr>
        <w:tc>
          <w:tcPr>
            <w:tcW w:w="6120" w:type="dxa"/>
            <w:gridSpan w:val="3"/>
          </w:tcPr>
          <w:p w14:paraId="4183C3DB" w14:textId="77777777" w:rsidR="009810A5" w:rsidRPr="009810A5" w:rsidRDefault="009810A5" w:rsidP="009810A5">
            <w:pPr>
              <w:rPr>
                <w:snapToGrid w:val="0"/>
                <w:color w:val="000000"/>
                <w:sz w:val="20"/>
                <w:szCs w:val="20"/>
              </w:rPr>
            </w:pPr>
            <w:r w:rsidRPr="009810A5">
              <w:rPr>
                <w:snapToGrid w:val="0"/>
                <w:color w:val="000000"/>
                <w:sz w:val="20"/>
                <w:szCs w:val="20"/>
              </w:rPr>
              <w:t>Current assets:</w:t>
            </w:r>
          </w:p>
        </w:tc>
        <w:tc>
          <w:tcPr>
            <w:tcW w:w="90" w:type="dxa"/>
          </w:tcPr>
          <w:p w14:paraId="76FD6E50" w14:textId="77777777" w:rsidR="009810A5" w:rsidRPr="009810A5" w:rsidRDefault="009810A5" w:rsidP="009810A5">
            <w:pPr>
              <w:jc w:val="right"/>
              <w:rPr>
                <w:snapToGrid w:val="0"/>
                <w:color w:val="000000"/>
                <w:sz w:val="20"/>
                <w:szCs w:val="20"/>
              </w:rPr>
            </w:pPr>
          </w:p>
        </w:tc>
        <w:tc>
          <w:tcPr>
            <w:tcW w:w="1710" w:type="dxa"/>
          </w:tcPr>
          <w:p w14:paraId="737DF762" w14:textId="77777777" w:rsidR="009810A5" w:rsidRPr="009810A5" w:rsidRDefault="009810A5" w:rsidP="009810A5">
            <w:pPr>
              <w:jc w:val="right"/>
              <w:rPr>
                <w:snapToGrid w:val="0"/>
                <w:color w:val="000000"/>
                <w:sz w:val="20"/>
                <w:szCs w:val="20"/>
              </w:rPr>
            </w:pPr>
          </w:p>
        </w:tc>
        <w:tc>
          <w:tcPr>
            <w:tcW w:w="270" w:type="dxa"/>
          </w:tcPr>
          <w:p w14:paraId="42886269" w14:textId="77777777" w:rsidR="009810A5" w:rsidRPr="009810A5" w:rsidRDefault="009810A5" w:rsidP="009810A5">
            <w:pPr>
              <w:jc w:val="right"/>
              <w:rPr>
                <w:snapToGrid w:val="0"/>
                <w:color w:val="000000"/>
                <w:sz w:val="20"/>
                <w:szCs w:val="20"/>
              </w:rPr>
            </w:pPr>
          </w:p>
        </w:tc>
        <w:tc>
          <w:tcPr>
            <w:tcW w:w="1890" w:type="dxa"/>
          </w:tcPr>
          <w:p w14:paraId="05344112" w14:textId="77777777" w:rsidR="009810A5" w:rsidRPr="009810A5" w:rsidRDefault="009810A5" w:rsidP="009810A5">
            <w:pPr>
              <w:jc w:val="right"/>
              <w:rPr>
                <w:snapToGrid w:val="0"/>
                <w:color w:val="000000"/>
                <w:sz w:val="20"/>
                <w:szCs w:val="20"/>
              </w:rPr>
            </w:pPr>
          </w:p>
        </w:tc>
      </w:tr>
      <w:tr w:rsidR="009810A5" w:rsidRPr="009810A5" w14:paraId="60233852" w14:textId="77777777" w:rsidTr="004F5282">
        <w:trPr>
          <w:trHeight w:hRule="exact" w:val="230"/>
        </w:trPr>
        <w:tc>
          <w:tcPr>
            <w:tcW w:w="305" w:type="dxa"/>
          </w:tcPr>
          <w:p w14:paraId="62F594CD" w14:textId="77777777" w:rsidR="009810A5" w:rsidRPr="009810A5" w:rsidRDefault="009810A5" w:rsidP="009810A5">
            <w:pPr>
              <w:rPr>
                <w:snapToGrid w:val="0"/>
                <w:color w:val="000000"/>
                <w:sz w:val="20"/>
                <w:szCs w:val="20"/>
              </w:rPr>
            </w:pPr>
          </w:p>
        </w:tc>
        <w:tc>
          <w:tcPr>
            <w:tcW w:w="5815" w:type="dxa"/>
            <w:gridSpan w:val="2"/>
          </w:tcPr>
          <w:p w14:paraId="025A79C2" w14:textId="77777777" w:rsidR="009810A5" w:rsidRPr="009810A5" w:rsidRDefault="009810A5" w:rsidP="009810A5">
            <w:pPr>
              <w:rPr>
                <w:b/>
                <w:snapToGrid w:val="0"/>
                <w:color w:val="000000"/>
                <w:sz w:val="20"/>
                <w:szCs w:val="20"/>
              </w:rPr>
            </w:pPr>
            <w:r w:rsidRPr="009810A5">
              <w:rPr>
                <w:snapToGrid w:val="0"/>
                <w:color w:val="000000"/>
                <w:sz w:val="20"/>
                <w:szCs w:val="20"/>
              </w:rPr>
              <w:t>Cash and cash equivalents</w:t>
            </w:r>
          </w:p>
        </w:tc>
        <w:tc>
          <w:tcPr>
            <w:tcW w:w="90" w:type="dxa"/>
          </w:tcPr>
          <w:p w14:paraId="63FDAF90" w14:textId="77777777" w:rsidR="009810A5" w:rsidRPr="009810A5" w:rsidRDefault="009810A5" w:rsidP="009810A5">
            <w:pPr>
              <w:jc w:val="right"/>
              <w:rPr>
                <w:snapToGrid w:val="0"/>
                <w:color w:val="000000"/>
                <w:sz w:val="20"/>
                <w:szCs w:val="20"/>
              </w:rPr>
            </w:pPr>
          </w:p>
        </w:tc>
        <w:tc>
          <w:tcPr>
            <w:tcW w:w="1710" w:type="dxa"/>
          </w:tcPr>
          <w:p w14:paraId="164507FA" w14:textId="77777777" w:rsidR="009810A5" w:rsidRPr="009810A5" w:rsidRDefault="009810A5" w:rsidP="009810A5">
            <w:pPr>
              <w:tabs>
                <w:tab w:val="left" w:pos="115"/>
                <w:tab w:val="decimal" w:pos="1320"/>
              </w:tabs>
              <w:rPr>
                <w:snapToGrid w:val="0"/>
                <w:color w:val="000000"/>
                <w:sz w:val="20"/>
                <w:szCs w:val="20"/>
              </w:rPr>
            </w:pPr>
            <w:r w:rsidRPr="009810A5">
              <w:rPr>
                <w:snapToGrid w:val="0"/>
                <w:color w:val="000000"/>
                <w:sz w:val="20"/>
                <w:szCs w:val="20"/>
              </w:rPr>
              <w:t>$</w:t>
            </w:r>
            <w:r w:rsidRPr="009810A5">
              <w:rPr>
                <w:snapToGrid w:val="0"/>
                <w:color w:val="000000"/>
                <w:sz w:val="20"/>
                <w:szCs w:val="20"/>
              </w:rPr>
              <w:tab/>
            </w:r>
            <w:r w:rsidRPr="009810A5">
              <w:rPr>
                <w:snapToGrid w:val="0"/>
                <w:color w:val="000000"/>
                <w:sz w:val="20"/>
                <w:szCs w:val="20"/>
              </w:rPr>
              <w:tab/>
              <w:t>16,257,716</w:t>
            </w:r>
          </w:p>
        </w:tc>
        <w:tc>
          <w:tcPr>
            <w:tcW w:w="270" w:type="dxa"/>
          </w:tcPr>
          <w:p w14:paraId="714FB212" w14:textId="77777777" w:rsidR="009810A5" w:rsidRPr="009810A5" w:rsidRDefault="009810A5" w:rsidP="009810A5">
            <w:pPr>
              <w:jc w:val="right"/>
              <w:rPr>
                <w:snapToGrid w:val="0"/>
                <w:color w:val="000000"/>
                <w:sz w:val="20"/>
                <w:szCs w:val="20"/>
              </w:rPr>
            </w:pPr>
          </w:p>
        </w:tc>
        <w:tc>
          <w:tcPr>
            <w:tcW w:w="1890" w:type="dxa"/>
          </w:tcPr>
          <w:p w14:paraId="196F5BD8" w14:textId="77777777" w:rsidR="009810A5" w:rsidRPr="009810A5" w:rsidRDefault="009810A5" w:rsidP="009810A5">
            <w:pPr>
              <w:tabs>
                <w:tab w:val="left" w:pos="115"/>
                <w:tab w:val="decimal" w:pos="1500"/>
              </w:tabs>
              <w:rPr>
                <w:snapToGrid w:val="0"/>
                <w:color w:val="000000"/>
                <w:sz w:val="20"/>
                <w:szCs w:val="20"/>
              </w:rPr>
            </w:pPr>
            <w:r w:rsidRPr="009810A5">
              <w:rPr>
                <w:snapToGrid w:val="0"/>
                <w:color w:val="000000"/>
                <w:sz w:val="20"/>
                <w:szCs w:val="20"/>
              </w:rPr>
              <w:t>$</w:t>
            </w:r>
            <w:r w:rsidRPr="009810A5">
              <w:rPr>
                <w:snapToGrid w:val="0"/>
                <w:color w:val="000000"/>
                <w:sz w:val="20"/>
                <w:szCs w:val="20"/>
              </w:rPr>
              <w:tab/>
            </w:r>
            <w:r w:rsidRPr="009810A5">
              <w:rPr>
                <w:snapToGrid w:val="0"/>
                <w:color w:val="000000"/>
                <w:sz w:val="20"/>
                <w:szCs w:val="20"/>
              </w:rPr>
              <w:tab/>
              <w:t>11,423,870</w:t>
            </w:r>
          </w:p>
        </w:tc>
      </w:tr>
      <w:tr w:rsidR="009810A5" w:rsidRPr="009810A5" w14:paraId="4A174F44" w14:textId="77777777" w:rsidTr="004F5282">
        <w:trPr>
          <w:trHeight w:hRule="exact" w:val="230"/>
        </w:trPr>
        <w:tc>
          <w:tcPr>
            <w:tcW w:w="305" w:type="dxa"/>
          </w:tcPr>
          <w:p w14:paraId="42348D3D" w14:textId="77777777" w:rsidR="009810A5" w:rsidRPr="009810A5" w:rsidRDefault="009810A5" w:rsidP="009810A5">
            <w:pPr>
              <w:jc w:val="right"/>
              <w:rPr>
                <w:snapToGrid w:val="0"/>
                <w:color w:val="000000"/>
                <w:sz w:val="20"/>
                <w:szCs w:val="20"/>
              </w:rPr>
            </w:pPr>
          </w:p>
        </w:tc>
        <w:tc>
          <w:tcPr>
            <w:tcW w:w="5815" w:type="dxa"/>
            <w:gridSpan w:val="2"/>
          </w:tcPr>
          <w:p w14:paraId="751B22C4" w14:textId="77777777" w:rsidR="009810A5" w:rsidRPr="009810A5" w:rsidRDefault="009810A5" w:rsidP="009810A5">
            <w:pPr>
              <w:rPr>
                <w:snapToGrid w:val="0"/>
                <w:color w:val="000000"/>
                <w:sz w:val="20"/>
                <w:szCs w:val="20"/>
              </w:rPr>
            </w:pPr>
            <w:r w:rsidRPr="009810A5">
              <w:rPr>
                <w:snapToGrid w:val="0"/>
                <w:color w:val="000000"/>
                <w:sz w:val="20"/>
                <w:szCs w:val="20"/>
              </w:rPr>
              <w:t>Grant funds and other receivables</w:t>
            </w:r>
          </w:p>
        </w:tc>
        <w:tc>
          <w:tcPr>
            <w:tcW w:w="90" w:type="dxa"/>
          </w:tcPr>
          <w:p w14:paraId="2D11AF97" w14:textId="77777777" w:rsidR="009810A5" w:rsidRPr="009810A5" w:rsidRDefault="009810A5" w:rsidP="009810A5">
            <w:pPr>
              <w:jc w:val="right"/>
              <w:rPr>
                <w:snapToGrid w:val="0"/>
                <w:color w:val="000000"/>
                <w:sz w:val="20"/>
                <w:szCs w:val="20"/>
              </w:rPr>
            </w:pPr>
          </w:p>
        </w:tc>
        <w:tc>
          <w:tcPr>
            <w:tcW w:w="1710" w:type="dxa"/>
          </w:tcPr>
          <w:p w14:paraId="1A8A0D66"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99,526</w:t>
            </w:r>
          </w:p>
        </w:tc>
        <w:tc>
          <w:tcPr>
            <w:tcW w:w="270" w:type="dxa"/>
          </w:tcPr>
          <w:p w14:paraId="3D30B7DB" w14:textId="77777777" w:rsidR="009810A5" w:rsidRPr="009810A5" w:rsidRDefault="009810A5" w:rsidP="009810A5">
            <w:pPr>
              <w:jc w:val="right"/>
              <w:rPr>
                <w:snapToGrid w:val="0"/>
                <w:color w:val="000000"/>
                <w:sz w:val="20"/>
                <w:szCs w:val="20"/>
              </w:rPr>
            </w:pPr>
          </w:p>
        </w:tc>
        <w:tc>
          <w:tcPr>
            <w:tcW w:w="1890" w:type="dxa"/>
          </w:tcPr>
          <w:p w14:paraId="110A1012"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49,006</w:t>
            </w:r>
          </w:p>
        </w:tc>
      </w:tr>
      <w:tr w:rsidR="009810A5" w:rsidRPr="009810A5" w14:paraId="76F3FD56" w14:textId="77777777" w:rsidTr="004F5282">
        <w:trPr>
          <w:trHeight w:hRule="exact" w:val="230"/>
        </w:trPr>
        <w:tc>
          <w:tcPr>
            <w:tcW w:w="305" w:type="dxa"/>
          </w:tcPr>
          <w:p w14:paraId="7B48BD8A" w14:textId="77777777" w:rsidR="009810A5" w:rsidRPr="009810A5" w:rsidRDefault="009810A5" w:rsidP="009810A5">
            <w:pPr>
              <w:jc w:val="right"/>
              <w:rPr>
                <w:snapToGrid w:val="0"/>
                <w:color w:val="000000"/>
                <w:sz w:val="20"/>
                <w:szCs w:val="20"/>
              </w:rPr>
            </w:pPr>
          </w:p>
        </w:tc>
        <w:tc>
          <w:tcPr>
            <w:tcW w:w="5815" w:type="dxa"/>
            <w:gridSpan w:val="2"/>
          </w:tcPr>
          <w:p w14:paraId="309C4F2B" w14:textId="77777777" w:rsidR="009810A5" w:rsidRPr="009810A5" w:rsidRDefault="009810A5" w:rsidP="009810A5">
            <w:pPr>
              <w:rPr>
                <w:b/>
                <w:snapToGrid w:val="0"/>
                <w:color w:val="000000"/>
                <w:sz w:val="20"/>
                <w:szCs w:val="20"/>
              </w:rPr>
            </w:pPr>
            <w:r w:rsidRPr="009810A5">
              <w:rPr>
                <w:snapToGrid w:val="0"/>
                <w:color w:val="000000"/>
                <w:sz w:val="20"/>
                <w:szCs w:val="20"/>
              </w:rPr>
              <w:t>Prepaid expenses and other current assets</w:t>
            </w:r>
          </w:p>
        </w:tc>
        <w:tc>
          <w:tcPr>
            <w:tcW w:w="90" w:type="dxa"/>
          </w:tcPr>
          <w:p w14:paraId="7795FE28" w14:textId="77777777" w:rsidR="009810A5" w:rsidRPr="009810A5" w:rsidRDefault="009810A5" w:rsidP="009810A5">
            <w:pPr>
              <w:jc w:val="right"/>
              <w:rPr>
                <w:snapToGrid w:val="0"/>
                <w:color w:val="000000"/>
                <w:sz w:val="20"/>
                <w:szCs w:val="20"/>
              </w:rPr>
            </w:pPr>
          </w:p>
        </w:tc>
        <w:tc>
          <w:tcPr>
            <w:tcW w:w="1710" w:type="dxa"/>
            <w:tcBorders>
              <w:bottom w:val="single" w:sz="4" w:space="0" w:color="auto"/>
            </w:tcBorders>
          </w:tcPr>
          <w:p w14:paraId="5044470E"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279,648</w:t>
            </w:r>
          </w:p>
        </w:tc>
        <w:tc>
          <w:tcPr>
            <w:tcW w:w="270" w:type="dxa"/>
          </w:tcPr>
          <w:p w14:paraId="6666CE1C" w14:textId="77777777" w:rsidR="009810A5" w:rsidRPr="009810A5" w:rsidRDefault="009810A5" w:rsidP="009810A5">
            <w:pPr>
              <w:jc w:val="right"/>
              <w:rPr>
                <w:snapToGrid w:val="0"/>
                <w:color w:val="000000"/>
                <w:sz w:val="20"/>
                <w:szCs w:val="20"/>
              </w:rPr>
            </w:pPr>
          </w:p>
        </w:tc>
        <w:tc>
          <w:tcPr>
            <w:tcW w:w="1890" w:type="dxa"/>
            <w:tcBorders>
              <w:bottom w:val="single" w:sz="4" w:space="0" w:color="auto"/>
            </w:tcBorders>
          </w:tcPr>
          <w:p w14:paraId="10FDE2D7"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156,240</w:t>
            </w:r>
          </w:p>
        </w:tc>
      </w:tr>
      <w:tr w:rsidR="009810A5" w:rsidRPr="009810A5" w14:paraId="4DB1F2AD" w14:textId="77777777" w:rsidTr="004F5282">
        <w:trPr>
          <w:trHeight w:hRule="exact" w:val="230"/>
        </w:trPr>
        <w:tc>
          <w:tcPr>
            <w:tcW w:w="6120" w:type="dxa"/>
            <w:gridSpan w:val="3"/>
          </w:tcPr>
          <w:p w14:paraId="094AC508" w14:textId="77777777" w:rsidR="009810A5" w:rsidRPr="009810A5" w:rsidRDefault="009810A5" w:rsidP="009810A5">
            <w:pPr>
              <w:rPr>
                <w:snapToGrid w:val="0"/>
                <w:color w:val="000000"/>
                <w:sz w:val="20"/>
                <w:szCs w:val="20"/>
              </w:rPr>
            </w:pPr>
            <w:r w:rsidRPr="009810A5">
              <w:rPr>
                <w:snapToGrid w:val="0"/>
                <w:color w:val="000000"/>
                <w:sz w:val="20"/>
                <w:szCs w:val="20"/>
              </w:rPr>
              <w:t>Total current assets</w:t>
            </w:r>
          </w:p>
        </w:tc>
        <w:tc>
          <w:tcPr>
            <w:tcW w:w="90" w:type="dxa"/>
          </w:tcPr>
          <w:p w14:paraId="14756FE4" w14:textId="77777777" w:rsidR="009810A5" w:rsidRPr="009810A5" w:rsidRDefault="009810A5" w:rsidP="009810A5">
            <w:pPr>
              <w:jc w:val="right"/>
              <w:rPr>
                <w:snapToGrid w:val="0"/>
                <w:color w:val="000000"/>
                <w:sz w:val="20"/>
                <w:szCs w:val="20"/>
              </w:rPr>
            </w:pPr>
          </w:p>
        </w:tc>
        <w:tc>
          <w:tcPr>
            <w:tcW w:w="1710" w:type="dxa"/>
            <w:tcBorders>
              <w:top w:val="single" w:sz="4" w:space="0" w:color="auto"/>
            </w:tcBorders>
          </w:tcPr>
          <w:p w14:paraId="78524934"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16,636,890</w:t>
            </w:r>
          </w:p>
        </w:tc>
        <w:tc>
          <w:tcPr>
            <w:tcW w:w="270" w:type="dxa"/>
          </w:tcPr>
          <w:p w14:paraId="07CF45C2" w14:textId="77777777" w:rsidR="009810A5" w:rsidRPr="009810A5" w:rsidRDefault="009810A5" w:rsidP="009810A5">
            <w:pPr>
              <w:jc w:val="center"/>
              <w:rPr>
                <w:snapToGrid w:val="0"/>
                <w:color w:val="000000"/>
                <w:sz w:val="20"/>
                <w:szCs w:val="20"/>
              </w:rPr>
            </w:pPr>
          </w:p>
        </w:tc>
        <w:tc>
          <w:tcPr>
            <w:tcW w:w="1890" w:type="dxa"/>
            <w:tcBorders>
              <w:top w:val="single" w:sz="4" w:space="0" w:color="auto"/>
            </w:tcBorders>
          </w:tcPr>
          <w:p w14:paraId="35B3CC50"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11,629,116</w:t>
            </w:r>
          </w:p>
        </w:tc>
      </w:tr>
      <w:tr w:rsidR="009810A5" w:rsidRPr="009810A5" w14:paraId="2C543058" w14:textId="77777777" w:rsidTr="004F5282">
        <w:trPr>
          <w:trHeight w:hRule="exact" w:val="230"/>
        </w:trPr>
        <w:tc>
          <w:tcPr>
            <w:tcW w:w="6120" w:type="dxa"/>
            <w:gridSpan w:val="3"/>
          </w:tcPr>
          <w:p w14:paraId="3EB7B9FA" w14:textId="77777777" w:rsidR="009810A5" w:rsidRPr="009810A5" w:rsidRDefault="009810A5" w:rsidP="009810A5">
            <w:pPr>
              <w:rPr>
                <w:b/>
                <w:snapToGrid w:val="0"/>
                <w:color w:val="000000"/>
                <w:sz w:val="20"/>
                <w:szCs w:val="20"/>
              </w:rPr>
            </w:pPr>
            <w:r w:rsidRPr="009810A5">
              <w:rPr>
                <w:snapToGrid w:val="0"/>
                <w:color w:val="000000"/>
                <w:sz w:val="20"/>
                <w:szCs w:val="20"/>
              </w:rPr>
              <w:t>Property and equipment, net</w:t>
            </w:r>
          </w:p>
        </w:tc>
        <w:tc>
          <w:tcPr>
            <w:tcW w:w="90" w:type="dxa"/>
          </w:tcPr>
          <w:p w14:paraId="29669193" w14:textId="77777777" w:rsidR="009810A5" w:rsidRPr="009810A5" w:rsidRDefault="009810A5" w:rsidP="009810A5">
            <w:pPr>
              <w:jc w:val="right"/>
              <w:rPr>
                <w:snapToGrid w:val="0"/>
                <w:color w:val="000000"/>
                <w:sz w:val="20"/>
                <w:szCs w:val="20"/>
              </w:rPr>
            </w:pPr>
          </w:p>
        </w:tc>
        <w:tc>
          <w:tcPr>
            <w:tcW w:w="1710" w:type="dxa"/>
          </w:tcPr>
          <w:p w14:paraId="5EEB8181"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206,855</w:t>
            </w:r>
          </w:p>
        </w:tc>
        <w:tc>
          <w:tcPr>
            <w:tcW w:w="270" w:type="dxa"/>
          </w:tcPr>
          <w:p w14:paraId="0BD4082F" w14:textId="77777777" w:rsidR="009810A5" w:rsidRPr="009810A5" w:rsidRDefault="009810A5" w:rsidP="009810A5">
            <w:pPr>
              <w:jc w:val="right"/>
              <w:rPr>
                <w:snapToGrid w:val="0"/>
                <w:color w:val="000000"/>
                <w:sz w:val="20"/>
                <w:szCs w:val="20"/>
              </w:rPr>
            </w:pPr>
          </w:p>
        </w:tc>
        <w:tc>
          <w:tcPr>
            <w:tcW w:w="1890" w:type="dxa"/>
          </w:tcPr>
          <w:p w14:paraId="604AB024"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156,938</w:t>
            </w:r>
          </w:p>
        </w:tc>
      </w:tr>
      <w:tr w:rsidR="009810A5" w:rsidRPr="009810A5" w14:paraId="2CCBD022" w14:textId="77777777" w:rsidTr="004F5282">
        <w:trPr>
          <w:trHeight w:hRule="exact" w:val="230"/>
        </w:trPr>
        <w:tc>
          <w:tcPr>
            <w:tcW w:w="6120" w:type="dxa"/>
            <w:gridSpan w:val="3"/>
          </w:tcPr>
          <w:p w14:paraId="34CF5C96" w14:textId="77777777" w:rsidR="009810A5" w:rsidRPr="009810A5" w:rsidRDefault="009810A5" w:rsidP="009810A5">
            <w:pPr>
              <w:rPr>
                <w:snapToGrid w:val="0"/>
                <w:color w:val="000000"/>
                <w:sz w:val="20"/>
                <w:szCs w:val="20"/>
              </w:rPr>
            </w:pPr>
            <w:r w:rsidRPr="009810A5">
              <w:rPr>
                <w:snapToGrid w:val="0"/>
                <w:color w:val="000000"/>
                <w:sz w:val="20"/>
                <w:szCs w:val="20"/>
              </w:rPr>
              <w:t>Deposits</w:t>
            </w:r>
          </w:p>
        </w:tc>
        <w:tc>
          <w:tcPr>
            <w:tcW w:w="90" w:type="dxa"/>
          </w:tcPr>
          <w:p w14:paraId="121FBE50" w14:textId="77777777" w:rsidR="009810A5" w:rsidRPr="009810A5" w:rsidRDefault="009810A5" w:rsidP="009810A5">
            <w:pPr>
              <w:jc w:val="right"/>
              <w:rPr>
                <w:snapToGrid w:val="0"/>
                <w:color w:val="000000"/>
                <w:sz w:val="20"/>
                <w:szCs w:val="20"/>
              </w:rPr>
            </w:pPr>
          </w:p>
        </w:tc>
        <w:tc>
          <w:tcPr>
            <w:tcW w:w="1710" w:type="dxa"/>
          </w:tcPr>
          <w:p w14:paraId="66D4B20A"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11,010</w:t>
            </w:r>
          </w:p>
        </w:tc>
        <w:tc>
          <w:tcPr>
            <w:tcW w:w="270" w:type="dxa"/>
          </w:tcPr>
          <w:p w14:paraId="08BF2591" w14:textId="77777777" w:rsidR="009810A5" w:rsidRPr="009810A5" w:rsidRDefault="009810A5" w:rsidP="009810A5">
            <w:pPr>
              <w:jc w:val="right"/>
              <w:rPr>
                <w:snapToGrid w:val="0"/>
                <w:color w:val="000000"/>
                <w:sz w:val="20"/>
                <w:szCs w:val="20"/>
              </w:rPr>
            </w:pPr>
          </w:p>
        </w:tc>
        <w:tc>
          <w:tcPr>
            <w:tcW w:w="1890" w:type="dxa"/>
          </w:tcPr>
          <w:p w14:paraId="2810EFCA"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11,010</w:t>
            </w:r>
          </w:p>
        </w:tc>
      </w:tr>
      <w:tr w:rsidR="009810A5" w:rsidRPr="009810A5" w14:paraId="7E62C442" w14:textId="77777777" w:rsidTr="004F5282">
        <w:trPr>
          <w:trHeight w:hRule="exact" w:val="230"/>
        </w:trPr>
        <w:tc>
          <w:tcPr>
            <w:tcW w:w="305" w:type="dxa"/>
          </w:tcPr>
          <w:p w14:paraId="21FC6139" w14:textId="77777777" w:rsidR="009810A5" w:rsidRPr="009810A5" w:rsidRDefault="009810A5" w:rsidP="009810A5">
            <w:pPr>
              <w:jc w:val="right"/>
              <w:rPr>
                <w:snapToGrid w:val="0"/>
                <w:color w:val="000000"/>
                <w:sz w:val="20"/>
                <w:szCs w:val="20"/>
              </w:rPr>
            </w:pPr>
          </w:p>
        </w:tc>
        <w:tc>
          <w:tcPr>
            <w:tcW w:w="302" w:type="dxa"/>
          </w:tcPr>
          <w:p w14:paraId="6A2A9C60" w14:textId="77777777" w:rsidR="009810A5" w:rsidRPr="009810A5" w:rsidRDefault="009810A5" w:rsidP="009810A5">
            <w:pPr>
              <w:jc w:val="right"/>
              <w:rPr>
                <w:snapToGrid w:val="0"/>
                <w:color w:val="000000"/>
                <w:sz w:val="20"/>
                <w:szCs w:val="20"/>
              </w:rPr>
            </w:pPr>
          </w:p>
        </w:tc>
        <w:tc>
          <w:tcPr>
            <w:tcW w:w="5513" w:type="dxa"/>
          </w:tcPr>
          <w:p w14:paraId="7FBDF273" w14:textId="77777777" w:rsidR="009810A5" w:rsidRPr="009810A5" w:rsidRDefault="009810A5" w:rsidP="009810A5">
            <w:pPr>
              <w:jc w:val="right"/>
              <w:rPr>
                <w:snapToGrid w:val="0"/>
                <w:color w:val="000000"/>
                <w:sz w:val="20"/>
                <w:szCs w:val="20"/>
              </w:rPr>
            </w:pPr>
          </w:p>
        </w:tc>
        <w:tc>
          <w:tcPr>
            <w:tcW w:w="90" w:type="dxa"/>
          </w:tcPr>
          <w:p w14:paraId="350B3557" w14:textId="77777777" w:rsidR="009810A5" w:rsidRPr="009810A5" w:rsidRDefault="009810A5" w:rsidP="009810A5">
            <w:pPr>
              <w:jc w:val="right"/>
              <w:rPr>
                <w:snapToGrid w:val="0"/>
                <w:color w:val="000000"/>
                <w:sz w:val="20"/>
                <w:szCs w:val="20"/>
              </w:rPr>
            </w:pPr>
          </w:p>
        </w:tc>
        <w:tc>
          <w:tcPr>
            <w:tcW w:w="1710" w:type="dxa"/>
            <w:tcBorders>
              <w:top w:val="single" w:sz="6" w:space="0" w:color="auto"/>
            </w:tcBorders>
          </w:tcPr>
          <w:p w14:paraId="0A0A2559" w14:textId="77777777" w:rsidR="009810A5" w:rsidRPr="009810A5" w:rsidRDefault="009810A5" w:rsidP="009810A5">
            <w:pPr>
              <w:tabs>
                <w:tab w:val="decimal" w:pos="1320"/>
              </w:tabs>
              <w:rPr>
                <w:snapToGrid w:val="0"/>
                <w:color w:val="000000"/>
                <w:sz w:val="20"/>
                <w:szCs w:val="20"/>
              </w:rPr>
            </w:pPr>
          </w:p>
        </w:tc>
        <w:tc>
          <w:tcPr>
            <w:tcW w:w="270" w:type="dxa"/>
          </w:tcPr>
          <w:p w14:paraId="42477989" w14:textId="77777777" w:rsidR="009810A5" w:rsidRPr="009810A5" w:rsidRDefault="009810A5" w:rsidP="009810A5">
            <w:pPr>
              <w:jc w:val="right"/>
              <w:rPr>
                <w:snapToGrid w:val="0"/>
                <w:color w:val="000000"/>
                <w:sz w:val="20"/>
                <w:szCs w:val="20"/>
              </w:rPr>
            </w:pPr>
          </w:p>
        </w:tc>
        <w:tc>
          <w:tcPr>
            <w:tcW w:w="1890" w:type="dxa"/>
            <w:tcBorders>
              <w:top w:val="single" w:sz="6" w:space="0" w:color="auto"/>
            </w:tcBorders>
          </w:tcPr>
          <w:p w14:paraId="4B0E4B12" w14:textId="77777777" w:rsidR="009810A5" w:rsidRPr="009810A5" w:rsidRDefault="009810A5" w:rsidP="009810A5">
            <w:pPr>
              <w:tabs>
                <w:tab w:val="decimal" w:pos="1195"/>
              </w:tabs>
              <w:rPr>
                <w:snapToGrid w:val="0"/>
                <w:color w:val="000000"/>
                <w:sz w:val="20"/>
                <w:szCs w:val="20"/>
              </w:rPr>
            </w:pPr>
          </w:p>
        </w:tc>
      </w:tr>
      <w:tr w:rsidR="009810A5" w:rsidRPr="009810A5" w14:paraId="180D1D4A" w14:textId="77777777" w:rsidTr="004F5282">
        <w:trPr>
          <w:trHeight w:hRule="exact" w:val="230"/>
        </w:trPr>
        <w:tc>
          <w:tcPr>
            <w:tcW w:w="6120" w:type="dxa"/>
            <w:gridSpan w:val="3"/>
          </w:tcPr>
          <w:p w14:paraId="2E100633" w14:textId="77777777" w:rsidR="009810A5" w:rsidRPr="009810A5" w:rsidRDefault="009810A5" w:rsidP="009810A5">
            <w:pPr>
              <w:rPr>
                <w:snapToGrid w:val="0"/>
                <w:color w:val="000000"/>
                <w:sz w:val="20"/>
                <w:szCs w:val="20"/>
              </w:rPr>
            </w:pPr>
            <w:r w:rsidRPr="009810A5">
              <w:rPr>
                <w:snapToGrid w:val="0"/>
                <w:color w:val="000000"/>
                <w:sz w:val="20"/>
                <w:szCs w:val="20"/>
              </w:rPr>
              <w:t>Total assets</w:t>
            </w:r>
          </w:p>
        </w:tc>
        <w:tc>
          <w:tcPr>
            <w:tcW w:w="90" w:type="dxa"/>
          </w:tcPr>
          <w:p w14:paraId="37CA8D7F" w14:textId="77777777" w:rsidR="009810A5" w:rsidRPr="009810A5" w:rsidRDefault="009810A5" w:rsidP="009810A5">
            <w:pPr>
              <w:jc w:val="right"/>
              <w:rPr>
                <w:snapToGrid w:val="0"/>
                <w:color w:val="000000"/>
                <w:sz w:val="20"/>
                <w:szCs w:val="20"/>
              </w:rPr>
            </w:pPr>
          </w:p>
        </w:tc>
        <w:tc>
          <w:tcPr>
            <w:tcW w:w="1710" w:type="dxa"/>
            <w:tcBorders>
              <w:bottom w:val="double" w:sz="6" w:space="0" w:color="auto"/>
            </w:tcBorders>
          </w:tcPr>
          <w:p w14:paraId="70A3191A" w14:textId="77777777" w:rsidR="009810A5" w:rsidRPr="009810A5" w:rsidRDefault="009810A5" w:rsidP="009810A5">
            <w:pPr>
              <w:tabs>
                <w:tab w:val="left" w:pos="115"/>
                <w:tab w:val="decimal" w:pos="1320"/>
              </w:tabs>
              <w:rPr>
                <w:snapToGrid w:val="0"/>
                <w:color w:val="000000"/>
                <w:sz w:val="20"/>
                <w:szCs w:val="20"/>
              </w:rPr>
            </w:pPr>
            <w:r w:rsidRPr="009810A5">
              <w:rPr>
                <w:snapToGrid w:val="0"/>
                <w:color w:val="000000"/>
                <w:sz w:val="20"/>
                <w:szCs w:val="20"/>
              </w:rPr>
              <w:t>$</w:t>
            </w:r>
            <w:r w:rsidRPr="009810A5">
              <w:rPr>
                <w:snapToGrid w:val="0"/>
                <w:color w:val="000000"/>
                <w:sz w:val="20"/>
                <w:szCs w:val="20"/>
              </w:rPr>
              <w:tab/>
            </w:r>
            <w:r w:rsidRPr="009810A5">
              <w:rPr>
                <w:snapToGrid w:val="0"/>
                <w:color w:val="000000"/>
                <w:sz w:val="20"/>
                <w:szCs w:val="20"/>
              </w:rPr>
              <w:tab/>
              <w:t>16,854,755</w:t>
            </w:r>
          </w:p>
        </w:tc>
        <w:tc>
          <w:tcPr>
            <w:tcW w:w="270" w:type="dxa"/>
          </w:tcPr>
          <w:p w14:paraId="3C06DDBA" w14:textId="77777777" w:rsidR="009810A5" w:rsidRPr="009810A5" w:rsidRDefault="009810A5" w:rsidP="009810A5">
            <w:pPr>
              <w:jc w:val="right"/>
              <w:rPr>
                <w:snapToGrid w:val="0"/>
                <w:color w:val="000000"/>
                <w:sz w:val="20"/>
                <w:szCs w:val="20"/>
              </w:rPr>
            </w:pPr>
          </w:p>
        </w:tc>
        <w:tc>
          <w:tcPr>
            <w:tcW w:w="1890" w:type="dxa"/>
            <w:tcBorders>
              <w:bottom w:val="double" w:sz="6" w:space="0" w:color="auto"/>
            </w:tcBorders>
          </w:tcPr>
          <w:p w14:paraId="6E74F5F8" w14:textId="77777777" w:rsidR="009810A5" w:rsidRPr="009810A5" w:rsidRDefault="009810A5" w:rsidP="009810A5">
            <w:pPr>
              <w:tabs>
                <w:tab w:val="left" w:pos="115"/>
                <w:tab w:val="decimal" w:pos="1500"/>
              </w:tabs>
              <w:rPr>
                <w:snapToGrid w:val="0"/>
                <w:color w:val="000000"/>
                <w:sz w:val="20"/>
                <w:szCs w:val="20"/>
              </w:rPr>
            </w:pPr>
            <w:r w:rsidRPr="009810A5">
              <w:rPr>
                <w:snapToGrid w:val="0"/>
                <w:color w:val="000000"/>
                <w:sz w:val="20"/>
                <w:szCs w:val="20"/>
              </w:rPr>
              <w:t>$</w:t>
            </w:r>
            <w:r w:rsidRPr="009810A5">
              <w:rPr>
                <w:snapToGrid w:val="0"/>
                <w:color w:val="000000"/>
                <w:sz w:val="20"/>
                <w:szCs w:val="20"/>
              </w:rPr>
              <w:tab/>
            </w:r>
            <w:r w:rsidRPr="009810A5">
              <w:rPr>
                <w:snapToGrid w:val="0"/>
                <w:color w:val="000000"/>
                <w:sz w:val="20"/>
                <w:szCs w:val="20"/>
              </w:rPr>
              <w:tab/>
              <w:t>11,797,064</w:t>
            </w:r>
          </w:p>
        </w:tc>
      </w:tr>
      <w:tr w:rsidR="009810A5" w:rsidRPr="009810A5" w14:paraId="206B4308" w14:textId="77777777" w:rsidTr="004F5282">
        <w:trPr>
          <w:trHeight w:hRule="exact" w:val="230"/>
        </w:trPr>
        <w:tc>
          <w:tcPr>
            <w:tcW w:w="305" w:type="dxa"/>
          </w:tcPr>
          <w:p w14:paraId="4A294C77" w14:textId="77777777" w:rsidR="009810A5" w:rsidRPr="009810A5" w:rsidRDefault="009810A5" w:rsidP="009810A5">
            <w:pPr>
              <w:jc w:val="right"/>
              <w:rPr>
                <w:snapToGrid w:val="0"/>
                <w:color w:val="000000"/>
                <w:sz w:val="20"/>
                <w:szCs w:val="20"/>
              </w:rPr>
            </w:pPr>
          </w:p>
        </w:tc>
        <w:tc>
          <w:tcPr>
            <w:tcW w:w="302" w:type="dxa"/>
          </w:tcPr>
          <w:p w14:paraId="2D674DFE" w14:textId="77777777" w:rsidR="009810A5" w:rsidRPr="009810A5" w:rsidRDefault="009810A5" w:rsidP="009810A5">
            <w:pPr>
              <w:jc w:val="right"/>
              <w:rPr>
                <w:snapToGrid w:val="0"/>
                <w:color w:val="000000"/>
                <w:sz w:val="20"/>
                <w:szCs w:val="20"/>
              </w:rPr>
            </w:pPr>
          </w:p>
        </w:tc>
        <w:tc>
          <w:tcPr>
            <w:tcW w:w="5513" w:type="dxa"/>
          </w:tcPr>
          <w:p w14:paraId="6F27DE2A" w14:textId="77777777" w:rsidR="009810A5" w:rsidRPr="009810A5" w:rsidRDefault="009810A5" w:rsidP="009810A5">
            <w:pPr>
              <w:jc w:val="right"/>
              <w:rPr>
                <w:snapToGrid w:val="0"/>
                <w:color w:val="000000"/>
                <w:sz w:val="20"/>
                <w:szCs w:val="20"/>
              </w:rPr>
            </w:pPr>
          </w:p>
        </w:tc>
        <w:tc>
          <w:tcPr>
            <w:tcW w:w="90" w:type="dxa"/>
          </w:tcPr>
          <w:p w14:paraId="6782E9BE" w14:textId="77777777" w:rsidR="009810A5" w:rsidRPr="009810A5" w:rsidRDefault="009810A5" w:rsidP="009810A5">
            <w:pPr>
              <w:jc w:val="right"/>
              <w:rPr>
                <w:snapToGrid w:val="0"/>
                <w:color w:val="000000"/>
                <w:sz w:val="20"/>
                <w:szCs w:val="20"/>
              </w:rPr>
            </w:pPr>
          </w:p>
        </w:tc>
        <w:tc>
          <w:tcPr>
            <w:tcW w:w="1710" w:type="dxa"/>
          </w:tcPr>
          <w:p w14:paraId="244DFADD" w14:textId="77777777" w:rsidR="009810A5" w:rsidRPr="009810A5" w:rsidRDefault="009810A5" w:rsidP="009810A5">
            <w:pPr>
              <w:tabs>
                <w:tab w:val="decimal" w:pos="1195"/>
              </w:tabs>
              <w:jc w:val="right"/>
              <w:rPr>
                <w:snapToGrid w:val="0"/>
                <w:color w:val="000000"/>
                <w:sz w:val="20"/>
                <w:szCs w:val="20"/>
              </w:rPr>
            </w:pPr>
          </w:p>
        </w:tc>
        <w:tc>
          <w:tcPr>
            <w:tcW w:w="270" w:type="dxa"/>
          </w:tcPr>
          <w:p w14:paraId="5E9DA5C8" w14:textId="77777777" w:rsidR="009810A5" w:rsidRPr="009810A5" w:rsidRDefault="009810A5" w:rsidP="009810A5">
            <w:pPr>
              <w:jc w:val="right"/>
              <w:rPr>
                <w:snapToGrid w:val="0"/>
                <w:color w:val="000000"/>
                <w:sz w:val="20"/>
                <w:szCs w:val="20"/>
              </w:rPr>
            </w:pPr>
          </w:p>
        </w:tc>
        <w:tc>
          <w:tcPr>
            <w:tcW w:w="1890" w:type="dxa"/>
          </w:tcPr>
          <w:p w14:paraId="60EDDE05" w14:textId="77777777" w:rsidR="009810A5" w:rsidRPr="009810A5" w:rsidRDefault="009810A5" w:rsidP="009810A5">
            <w:pPr>
              <w:tabs>
                <w:tab w:val="decimal" w:pos="1195"/>
              </w:tabs>
              <w:jc w:val="right"/>
              <w:rPr>
                <w:snapToGrid w:val="0"/>
                <w:color w:val="000000"/>
                <w:sz w:val="20"/>
                <w:szCs w:val="20"/>
              </w:rPr>
            </w:pPr>
          </w:p>
        </w:tc>
      </w:tr>
      <w:tr w:rsidR="009810A5" w:rsidRPr="009810A5" w14:paraId="0EF286AE" w14:textId="77777777" w:rsidTr="004F5282">
        <w:trPr>
          <w:trHeight w:hRule="exact" w:val="230"/>
        </w:trPr>
        <w:tc>
          <w:tcPr>
            <w:tcW w:w="6120" w:type="dxa"/>
            <w:gridSpan w:val="3"/>
          </w:tcPr>
          <w:p w14:paraId="4DF73BE2" w14:textId="77777777" w:rsidR="009810A5" w:rsidRPr="009810A5" w:rsidRDefault="009810A5" w:rsidP="009810A5">
            <w:pPr>
              <w:rPr>
                <w:snapToGrid w:val="0"/>
                <w:color w:val="000000"/>
                <w:sz w:val="20"/>
                <w:szCs w:val="20"/>
              </w:rPr>
            </w:pPr>
            <w:r w:rsidRPr="009810A5">
              <w:rPr>
                <w:snapToGrid w:val="0"/>
                <w:color w:val="000000"/>
                <w:sz w:val="20"/>
                <w:szCs w:val="20"/>
              </w:rPr>
              <w:t>LIABILITIES AND STOCKHOLDERS’ EQUITY</w:t>
            </w:r>
          </w:p>
        </w:tc>
        <w:tc>
          <w:tcPr>
            <w:tcW w:w="90" w:type="dxa"/>
          </w:tcPr>
          <w:p w14:paraId="20C12CDD" w14:textId="77777777" w:rsidR="009810A5" w:rsidRPr="009810A5" w:rsidRDefault="009810A5" w:rsidP="009810A5">
            <w:pPr>
              <w:jc w:val="right"/>
              <w:rPr>
                <w:snapToGrid w:val="0"/>
                <w:color w:val="000000"/>
                <w:sz w:val="20"/>
                <w:szCs w:val="20"/>
              </w:rPr>
            </w:pPr>
          </w:p>
        </w:tc>
        <w:tc>
          <w:tcPr>
            <w:tcW w:w="1710" w:type="dxa"/>
          </w:tcPr>
          <w:p w14:paraId="2DE2D302" w14:textId="77777777" w:rsidR="009810A5" w:rsidRPr="009810A5" w:rsidRDefault="009810A5" w:rsidP="009810A5">
            <w:pPr>
              <w:tabs>
                <w:tab w:val="decimal" w:pos="1195"/>
              </w:tabs>
              <w:jc w:val="right"/>
              <w:rPr>
                <w:snapToGrid w:val="0"/>
                <w:color w:val="000000"/>
                <w:sz w:val="20"/>
                <w:szCs w:val="20"/>
              </w:rPr>
            </w:pPr>
          </w:p>
        </w:tc>
        <w:tc>
          <w:tcPr>
            <w:tcW w:w="270" w:type="dxa"/>
          </w:tcPr>
          <w:p w14:paraId="71C5BA75" w14:textId="77777777" w:rsidR="009810A5" w:rsidRPr="009810A5" w:rsidRDefault="009810A5" w:rsidP="009810A5">
            <w:pPr>
              <w:jc w:val="right"/>
              <w:rPr>
                <w:snapToGrid w:val="0"/>
                <w:color w:val="000000"/>
                <w:sz w:val="20"/>
                <w:szCs w:val="20"/>
              </w:rPr>
            </w:pPr>
          </w:p>
        </w:tc>
        <w:tc>
          <w:tcPr>
            <w:tcW w:w="1890" w:type="dxa"/>
          </w:tcPr>
          <w:p w14:paraId="498F0653" w14:textId="77777777" w:rsidR="009810A5" w:rsidRPr="009810A5" w:rsidRDefault="009810A5" w:rsidP="009810A5">
            <w:pPr>
              <w:tabs>
                <w:tab w:val="decimal" w:pos="1195"/>
              </w:tabs>
              <w:jc w:val="right"/>
              <w:rPr>
                <w:snapToGrid w:val="0"/>
                <w:color w:val="000000"/>
                <w:sz w:val="20"/>
                <w:szCs w:val="20"/>
              </w:rPr>
            </w:pPr>
          </w:p>
        </w:tc>
      </w:tr>
      <w:tr w:rsidR="009810A5" w:rsidRPr="009810A5" w14:paraId="1DD83E54" w14:textId="77777777" w:rsidTr="004F5282">
        <w:trPr>
          <w:trHeight w:hRule="exact" w:val="230"/>
        </w:trPr>
        <w:tc>
          <w:tcPr>
            <w:tcW w:w="6120" w:type="dxa"/>
            <w:gridSpan w:val="3"/>
          </w:tcPr>
          <w:p w14:paraId="0925839A" w14:textId="77777777" w:rsidR="009810A5" w:rsidRPr="009810A5" w:rsidRDefault="009810A5" w:rsidP="009810A5">
            <w:pPr>
              <w:rPr>
                <w:snapToGrid w:val="0"/>
                <w:color w:val="000000"/>
                <w:sz w:val="20"/>
                <w:szCs w:val="20"/>
              </w:rPr>
            </w:pPr>
            <w:r w:rsidRPr="009810A5">
              <w:rPr>
                <w:snapToGrid w:val="0"/>
                <w:color w:val="000000"/>
                <w:sz w:val="20"/>
                <w:szCs w:val="20"/>
              </w:rPr>
              <w:t>Current liabilities:</w:t>
            </w:r>
          </w:p>
        </w:tc>
        <w:tc>
          <w:tcPr>
            <w:tcW w:w="90" w:type="dxa"/>
          </w:tcPr>
          <w:p w14:paraId="7F365BDF" w14:textId="77777777" w:rsidR="009810A5" w:rsidRPr="009810A5" w:rsidRDefault="009810A5" w:rsidP="009810A5">
            <w:pPr>
              <w:jc w:val="right"/>
              <w:rPr>
                <w:snapToGrid w:val="0"/>
                <w:color w:val="000000"/>
                <w:sz w:val="20"/>
                <w:szCs w:val="20"/>
              </w:rPr>
            </w:pPr>
          </w:p>
        </w:tc>
        <w:tc>
          <w:tcPr>
            <w:tcW w:w="1710" w:type="dxa"/>
          </w:tcPr>
          <w:p w14:paraId="636F6B4D" w14:textId="77777777" w:rsidR="009810A5" w:rsidRPr="009810A5" w:rsidRDefault="009810A5" w:rsidP="009810A5">
            <w:pPr>
              <w:tabs>
                <w:tab w:val="decimal" w:pos="1195"/>
              </w:tabs>
              <w:jc w:val="right"/>
              <w:rPr>
                <w:snapToGrid w:val="0"/>
                <w:color w:val="000000"/>
                <w:sz w:val="20"/>
                <w:szCs w:val="20"/>
              </w:rPr>
            </w:pPr>
          </w:p>
        </w:tc>
        <w:tc>
          <w:tcPr>
            <w:tcW w:w="270" w:type="dxa"/>
          </w:tcPr>
          <w:p w14:paraId="44745B63" w14:textId="77777777" w:rsidR="009810A5" w:rsidRPr="009810A5" w:rsidRDefault="009810A5" w:rsidP="009810A5">
            <w:pPr>
              <w:jc w:val="right"/>
              <w:rPr>
                <w:snapToGrid w:val="0"/>
                <w:color w:val="000000"/>
                <w:sz w:val="20"/>
                <w:szCs w:val="20"/>
              </w:rPr>
            </w:pPr>
          </w:p>
        </w:tc>
        <w:tc>
          <w:tcPr>
            <w:tcW w:w="1890" w:type="dxa"/>
          </w:tcPr>
          <w:p w14:paraId="3EE2CCD1" w14:textId="77777777" w:rsidR="009810A5" w:rsidRPr="009810A5" w:rsidRDefault="009810A5" w:rsidP="009810A5">
            <w:pPr>
              <w:tabs>
                <w:tab w:val="decimal" w:pos="1195"/>
              </w:tabs>
              <w:jc w:val="right"/>
              <w:rPr>
                <w:snapToGrid w:val="0"/>
                <w:color w:val="000000"/>
                <w:sz w:val="20"/>
                <w:szCs w:val="20"/>
              </w:rPr>
            </w:pPr>
          </w:p>
        </w:tc>
      </w:tr>
      <w:tr w:rsidR="009810A5" w:rsidRPr="009810A5" w14:paraId="5F1C702C" w14:textId="77777777" w:rsidTr="004F5282">
        <w:trPr>
          <w:trHeight w:hRule="exact" w:val="230"/>
        </w:trPr>
        <w:tc>
          <w:tcPr>
            <w:tcW w:w="305" w:type="dxa"/>
          </w:tcPr>
          <w:p w14:paraId="0BDBCC2C" w14:textId="77777777" w:rsidR="009810A5" w:rsidRPr="009810A5" w:rsidRDefault="009810A5" w:rsidP="009810A5">
            <w:pPr>
              <w:jc w:val="right"/>
              <w:rPr>
                <w:snapToGrid w:val="0"/>
                <w:color w:val="000000"/>
                <w:sz w:val="20"/>
                <w:szCs w:val="20"/>
              </w:rPr>
            </w:pPr>
          </w:p>
        </w:tc>
        <w:tc>
          <w:tcPr>
            <w:tcW w:w="5815" w:type="dxa"/>
            <w:gridSpan w:val="2"/>
          </w:tcPr>
          <w:p w14:paraId="0A347B8B" w14:textId="77777777" w:rsidR="009810A5" w:rsidRPr="009810A5" w:rsidRDefault="009810A5" w:rsidP="009810A5">
            <w:pPr>
              <w:rPr>
                <w:b/>
                <w:snapToGrid w:val="0"/>
                <w:color w:val="000000"/>
                <w:sz w:val="20"/>
                <w:szCs w:val="20"/>
              </w:rPr>
            </w:pPr>
            <w:r w:rsidRPr="009810A5">
              <w:rPr>
                <w:snapToGrid w:val="0"/>
                <w:color w:val="000000"/>
                <w:sz w:val="20"/>
                <w:szCs w:val="20"/>
              </w:rPr>
              <w:t xml:space="preserve">Accounts payable </w:t>
            </w:r>
          </w:p>
        </w:tc>
        <w:tc>
          <w:tcPr>
            <w:tcW w:w="90" w:type="dxa"/>
          </w:tcPr>
          <w:p w14:paraId="1A7448E2" w14:textId="77777777" w:rsidR="009810A5" w:rsidRPr="009810A5" w:rsidRDefault="009810A5" w:rsidP="009810A5">
            <w:pPr>
              <w:jc w:val="right"/>
              <w:rPr>
                <w:snapToGrid w:val="0"/>
                <w:color w:val="000000"/>
                <w:sz w:val="20"/>
                <w:szCs w:val="20"/>
              </w:rPr>
            </w:pPr>
          </w:p>
        </w:tc>
        <w:tc>
          <w:tcPr>
            <w:tcW w:w="1710" w:type="dxa"/>
          </w:tcPr>
          <w:p w14:paraId="7A1CC137" w14:textId="77777777" w:rsidR="009810A5" w:rsidRPr="009810A5" w:rsidRDefault="009810A5" w:rsidP="009810A5">
            <w:pPr>
              <w:tabs>
                <w:tab w:val="left" w:pos="115"/>
                <w:tab w:val="decimal" w:pos="1320"/>
              </w:tabs>
              <w:rPr>
                <w:snapToGrid w:val="0"/>
                <w:color w:val="000000"/>
                <w:sz w:val="20"/>
                <w:szCs w:val="20"/>
              </w:rPr>
            </w:pPr>
            <w:r w:rsidRPr="009810A5">
              <w:rPr>
                <w:snapToGrid w:val="0"/>
                <w:color w:val="000000"/>
                <w:sz w:val="20"/>
                <w:szCs w:val="20"/>
              </w:rPr>
              <w:t>$</w:t>
            </w:r>
            <w:r w:rsidRPr="009810A5">
              <w:rPr>
                <w:snapToGrid w:val="0"/>
                <w:color w:val="000000"/>
                <w:sz w:val="20"/>
                <w:szCs w:val="20"/>
              </w:rPr>
              <w:tab/>
            </w:r>
            <w:r w:rsidRPr="009810A5">
              <w:rPr>
                <w:snapToGrid w:val="0"/>
                <w:color w:val="000000"/>
                <w:sz w:val="20"/>
                <w:szCs w:val="20"/>
              </w:rPr>
              <w:tab/>
              <w:t>426,103</w:t>
            </w:r>
          </w:p>
        </w:tc>
        <w:tc>
          <w:tcPr>
            <w:tcW w:w="270" w:type="dxa"/>
          </w:tcPr>
          <w:p w14:paraId="3C2D673F" w14:textId="77777777" w:rsidR="009810A5" w:rsidRPr="009810A5" w:rsidRDefault="009810A5" w:rsidP="009810A5">
            <w:pPr>
              <w:jc w:val="right"/>
              <w:rPr>
                <w:snapToGrid w:val="0"/>
                <w:color w:val="000000"/>
                <w:sz w:val="20"/>
                <w:szCs w:val="20"/>
              </w:rPr>
            </w:pPr>
          </w:p>
        </w:tc>
        <w:tc>
          <w:tcPr>
            <w:tcW w:w="1890" w:type="dxa"/>
          </w:tcPr>
          <w:p w14:paraId="34DEB6ED" w14:textId="77777777" w:rsidR="009810A5" w:rsidRPr="009810A5" w:rsidRDefault="009810A5" w:rsidP="009810A5">
            <w:pPr>
              <w:tabs>
                <w:tab w:val="left" w:pos="115"/>
                <w:tab w:val="decimal" w:pos="1500"/>
              </w:tabs>
              <w:rPr>
                <w:snapToGrid w:val="0"/>
                <w:color w:val="000000"/>
                <w:sz w:val="20"/>
                <w:szCs w:val="20"/>
              </w:rPr>
            </w:pPr>
            <w:r w:rsidRPr="009810A5">
              <w:rPr>
                <w:snapToGrid w:val="0"/>
                <w:color w:val="000000"/>
                <w:sz w:val="20"/>
                <w:szCs w:val="20"/>
              </w:rPr>
              <w:t>$</w:t>
            </w:r>
            <w:r w:rsidRPr="009810A5">
              <w:rPr>
                <w:snapToGrid w:val="0"/>
                <w:color w:val="000000"/>
                <w:sz w:val="20"/>
                <w:szCs w:val="20"/>
              </w:rPr>
              <w:tab/>
            </w:r>
            <w:r w:rsidRPr="009810A5">
              <w:rPr>
                <w:snapToGrid w:val="0"/>
                <w:color w:val="000000"/>
                <w:sz w:val="20"/>
                <w:szCs w:val="20"/>
              </w:rPr>
              <w:tab/>
              <w:t>2,057,534</w:t>
            </w:r>
          </w:p>
        </w:tc>
      </w:tr>
      <w:tr w:rsidR="009810A5" w:rsidRPr="009810A5" w14:paraId="50E85B2A" w14:textId="77777777" w:rsidTr="004F5282">
        <w:trPr>
          <w:trHeight w:hRule="exact" w:val="230"/>
        </w:trPr>
        <w:tc>
          <w:tcPr>
            <w:tcW w:w="305" w:type="dxa"/>
          </w:tcPr>
          <w:p w14:paraId="61082C29" w14:textId="77777777" w:rsidR="009810A5" w:rsidRPr="009810A5" w:rsidRDefault="009810A5" w:rsidP="009810A5">
            <w:pPr>
              <w:jc w:val="right"/>
              <w:rPr>
                <w:snapToGrid w:val="0"/>
                <w:color w:val="000000"/>
                <w:sz w:val="20"/>
                <w:szCs w:val="20"/>
              </w:rPr>
            </w:pPr>
          </w:p>
        </w:tc>
        <w:tc>
          <w:tcPr>
            <w:tcW w:w="5815" w:type="dxa"/>
            <w:gridSpan w:val="2"/>
          </w:tcPr>
          <w:p w14:paraId="11931B7B" w14:textId="77777777" w:rsidR="009810A5" w:rsidRPr="009810A5" w:rsidRDefault="009810A5" w:rsidP="009810A5">
            <w:pPr>
              <w:rPr>
                <w:snapToGrid w:val="0"/>
                <w:color w:val="000000"/>
                <w:sz w:val="20"/>
                <w:szCs w:val="20"/>
              </w:rPr>
            </w:pPr>
            <w:r w:rsidRPr="009810A5">
              <w:rPr>
                <w:snapToGrid w:val="0"/>
                <w:color w:val="000000"/>
                <w:sz w:val="20"/>
                <w:szCs w:val="20"/>
              </w:rPr>
              <w:t>Accrued expenses</w:t>
            </w:r>
          </w:p>
        </w:tc>
        <w:tc>
          <w:tcPr>
            <w:tcW w:w="90" w:type="dxa"/>
          </w:tcPr>
          <w:p w14:paraId="5391F774" w14:textId="77777777" w:rsidR="009810A5" w:rsidRPr="009810A5" w:rsidRDefault="009810A5" w:rsidP="009810A5">
            <w:pPr>
              <w:jc w:val="right"/>
              <w:rPr>
                <w:snapToGrid w:val="0"/>
                <w:color w:val="000000"/>
                <w:sz w:val="20"/>
                <w:szCs w:val="20"/>
              </w:rPr>
            </w:pPr>
          </w:p>
        </w:tc>
        <w:tc>
          <w:tcPr>
            <w:tcW w:w="1710" w:type="dxa"/>
          </w:tcPr>
          <w:p w14:paraId="21CEF8B5"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3,075,000</w:t>
            </w:r>
          </w:p>
        </w:tc>
        <w:tc>
          <w:tcPr>
            <w:tcW w:w="270" w:type="dxa"/>
          </w:tcPr>
          <w:p w14:paraId="1C27E9E2" w14:textId="77777777" w:rsidR="009810A5" w:rsidRPr="009810A5" w:rsidRDefault="009810A5" w:rsidP="009810A5">
            <w:pPr>
              <w:jc w:val="right"/>
              <w:rPr>
                <w:snapToGrid w:val="0"/>
                <w:color w:val="000000"/>
                <w:sz w:val="20"/>
                <w:szCs w:val="20"/>
              </w:rPr>
            </w:pPr>
          </w:p>
        </w:tc>
        <w:tc>
          <w:tcPr>
            <w:tcW w:w="1890" w:type="dxa"/>
          </w:tcPr>
          <w:p w14:paraId="42444A6F"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3,377,826</w:t>
            </w:r>
          </w:p>
        </w:tc>
      </w:tr>
      <w:tr w:rsidR="009810A5" w:rsidRPr="009810A5" w14:paraId="0AE6A473" w14:textId="77777777" w:rsidTr="004F5282">
        <w:trPr>
          <w:trHeight w:hRule="exact" w:val="230"/>
        </w:trPr>
        <w:tc>
          <w:tcPr>
            <w:tcW w:w="6120" w:type="dxa"/>
            <w:gridSpan w:val="3"/>
          </w:tcPr>
          <w:p w14:paraId="7CFE4819" w14:textId="77777777" w:rsidR="009810A5" w:rsidRPr="009810A5" w:rsidRDefault="009810A5" w:rsidP="009810A5">
            <w:pPr>
              <w:rPr>
                <w:snapToGrid w:val="0"/>
                <w:color w:val="000000"/>
                <w:sz w:val="20"/>
                <w:szCs w:val="20"/>
              </w:rPr>
            </w:pPr>
            <w:r w:rsidRPr="009810A5">
              <w:rPr>
                <w:snapToGrid w:val="0"/>
                <w:color w:val="000000"/>
                <w:sz w:val="20"/>
                <w:szCs w:val="20"/>
              </w:rPr>
              <w:t>Total current liabilities</w:t>
            </w:r>
          </w:p>
        </w:tc>
        <w:tc>
          <w:tcPr>
            <w:tcW w:w="90" w:type="dxa"/>
          </w:tcPr>
          <w:p w14:paraId="4220F239" w14:textId="77777777" w:rsidR="009810A5" w:rsidRPr="009810A5" w:rsidRDefault="009810A5" w:rsidP="009810A5">
            <w:pPr>
              <w:jc w:val="right"/>
              <w:rPr>
                <w:snapToGrid w:val="0"/>
                <w:color w:val="000000"/>
                <w:sz w:val="20"/>
                <w:szCs w:val="20"/>
              </w:rPr>
            </w:pPr>
          </w:p>
        </w:tc>
        <w:tc>
          <w:tcPr>
            <w:tcW w:w="1710" w:type="dxa"/>
            <w:tcBorders>
              <w:top w:val="single" w:sz="4" w:space="0" w:color="auto"/>
            </w:tcBorders>
          </w:tcPr>
          <w:p w14:paraId="04F95A63"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3,501,103</w:t>
            </w:r>
          </w:p>
        </w:tc>
        <w:tc>
          <w:tcPr>
            <w:tcW w:w="270" w:type="dxa"/>
          </w:tcPr>
          <w:p w14:paraId="6D0D4E18" w14:textId="77777777" w:rsidR="009810A5" w:rsidRPr="009810A5" w:rsidRDefault="009810A5" w:rsidP="009810A5">
            <w:pPr>
              <w:jc w:val="right"/>
              <w:rPr>
                <w:snapToGrid w:val="0"/>
                <w:color w:val="000000"/>
                <w:sz w:val="20"/>
                <w:szCs w:val="20"/>
              </w:rPr>
            </w:pPr>
          </w:p>
        </w:tc>
        <w:tc>
          <w:tcPr>
            <w:tcW w:w="1890" w:type="dxa"/>
            <w:tcBorders>
              <w:top w:val="single" w:sz="4" w:space="0" w:color="auto"/>
            </w:tcBorders>
          </w:tcPr>
          <w:p w14:paraId="3279EF86"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5,435,360</w:t>
            </w:r>
          </w:p>
        </w:tc>
      </w:tr>
      <w:tr w:rsidR="009810A5" w:rsidRPr="009810A5" w14:paraId="343DC24E" w14:textId="77777777" w:rsidTr="004F5282">
        <w:trPr>
          <w:trHeight w:hRule="exact" w:val="230"/>
        </w:trPr>
        <w:tc>
          <w:tcPr>
            <w:tcW w:w="6120" w:type="dxa"/>
            <w:gridSpan w:val="3"/>
          </w:tcPr>
          <w:p w14:paraId="4D3F8F2B" w14:textId="77777777" w:rsidR="009810A5" w:rsidRPr="009810A5" w:rsidRDefault="009810A5" w:rsidP="009810A5">
            <w:pPr>
              <w:rPr>
                <w:snapToGrid w:val="0"/>
                <w:color w:val="000000"/>
                <w:sz w:val="20"/>
                <w:szCs w:val="20"/>
              </w:rPr>
            </w:pPr>
            <w:r w:rsidRPr="009810A5">
              <w:rPr>
                <w:snapToGrid w:val="0"/>
                <w:color w:val="000000"/>
                <w:sz w:val="20"/>
                <w:szCs w:val="20"/>
              </w:rPr>
              <w:t>Accrued expenses - noncurrent</w:t>
            </w:r>
          </w:p>
        </w:tc>
        <w:tc>
          <w:tcPr>
            <w:tcW w:w="90" w:type="dxa"/>
          </w:tcPr>
          <w:p w14:paraId="1A6431BA" w14:textId="77777777" w:rsidR="009810A5" w:rsidRPr="009810A5" w:rsidRDefault="009810A5" w:rsidP="009810A5">
            <w:pPr>
              <w:jc w:val="right"/>
              <w:rPr>
                <w:snapToGrid w:val="0"/>
                <w:color w:val="000000"/>
                <w:sz w:val="20"/>
                <w:szCs w:val="20"/>
              </w:rPr>
            </w:pPr>
          </w:p>
        </w:tc>
        <w:tc>
          <w:tcPr>
            <w:tcW w:w="1710" w:type="dxa"/>
            <w:tcBorders>
              <w:bottom w:val="single" w:sz="4" w:space="0" w:color="auto"/>
            </w:tcBorders>
          </w:tcPr>
          <w:p w14:paraId="10D45C87"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2,000,000</w:t>
            </w:r>
          </w:p>
        </w:tc>
        <w:tc>
          <w:tcPr>
            <w:tcW w:w="270" w:type="dxa"/>
          </w:tcPr>
          <w:p w14:paraId="3DEE641C" w14:textId="77777777" w:rsidR="009810A5" w:rsidRPr="009810A5" w:rsidRDefault="009810A5" w:rsidP="009810A5">
            <w:pPr>
              <w:jc w:val="right"/>
              <w:rPr>
                <w:snapToGrid w:val="0"/>
                <w:color w:val="000000"/>
                <w:sz w:val="20"/>
                <w:szCs w:val="20"/>
              </w:rPr>
            </w:pPr>
          </w:p>
        </w:tc>
        <w:tc>
          <w:tcPr>
            <w:tcW w:w="1890" w:type="dxa"/>
            <w:tcBorders>
              <w:bottom w:val="single" w:sz="4" w:space="0" w:color="auto"/>
            </w:tcBorders>
          </w:tcPr>
          <w:p w14:paraId="7D83616E"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2,000,000</w:t>
            </w:r>
          </w:p>
        </w:tc>
      </w:tr>
      <w:tr w:rsidR="009810A5" w:rsidRPr="009810A5" w14:paraId="75AE7D23" w14:textId="77777777" w:rsidTr="004F5282">
        <w:trPr>
          <w:trHeight w:hRule="exact" w:val="230"/>
        </w:trPr>
        <w:tc>
          <w:tcPr>
            <w:tcW w:w="6120" w:type="dxa"/>
            <w:gridSpan w:val="3"/>
          </w:tcPr>
          <w:p w14:paraId="4054023A" w14:textId="77777777" w:rsidR="009810A5" w:rsidRPr="009810A5" w:rsidRDefault="009810A5" w:rsidP="009810A5">
            <w:pPr>
              <w:rPr>
                <w:snapToGrid w:val="0"/>
                <w:color w:val="000000"/>
                <w:sz w:val="20"/>
                <w:szCs w:val="20"/>
              </w:rPr>
            </w:pPr>
            <w:r w:rsidRPr="009810A5">
              <w:rPr>
                <w:snapToGrid w:val="0"/>
                <w:color w:val="000000"/>
                <w:sz w:val="20"/>
                <w:szCs w:val="20"/>
              </w:rPr>
              <w:t>Total liabilities</w:t>
            </w:r>
          </w:p>
        </w:tc>
        <w:tc>
          <w:tcPr>
            <w:tcW w:w="90" w:type="dxa"/>
          </w:tcPr>
          <w:p w14:paraId="71E64761" w14:textId="77777777" w:rsidR="009810A5" w:rsidRPr="009810A5" w:rsidRDefault="009810A5" w:rsidP="009810A5">
            <w:pPr>
              <w:jc w:val="right"/>
              <w:rPr>
                <w:snapToGrid w:val="0"/>
                <w:color w:val="000000"/>
                <w:sz w:val="20"/>
                <w:szCs w:val="20"/>
              </w:rPr>
            </w:pPr>
          </w:p>
        </w:tc>
        <w:tc>
          <w:tcPr>
            <w:tcW w:w="1710" w:type="dxa"/>
            <w:tcBorders>
              <w:top w:val="single" w:sz="4" w:space="0" w:color="auto"/>
            </w:tcBorders>
          </w:tcPr>
          <w:p w14:paraId="2A4D4C0D"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5,501,103</w:t>
            </w:r>
          </w:p>
        </w:tc>
        <w:tc>
          <w:tcPr>
            <w:tcW w:w="270" w:type="dxa"/>
          </w:tcPr>
          <w:p w14:paraId="726B5347" w14:textId="77777777" w:rsidR="009810A5" w:rsidRPr="009810A5" w:rsidRDefault="009810A5" w:rsidP="009810A5">
            <w:pPr>
              <w:jc w:val="right"/>
              <w:rPr>
                <w:snapToGrid w:val="0"/>
                <w:color w:val="000000"/>
                <w:sz w:val="20"/>
                <w:szCs w:val="20"/>
              </w:rPr>
            </w:pPr>
          </w:p>
        </w:tc>
        <w:tc>
          <w:tcPr>
            <w:tcW w:w="1890" w:type="dxa"/>
            <w:tcBorders>
              <w:top w:val="single" w:sz="4" w:space="0" w:color="auto"/>
            </w:tcBorders>
          </w:tcPr>
          <w:p w14:paraId="1A66D2B7"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7,435,360</w:t>
            </w:r>
          </w:p>
        </w:tc>
      </w:tr>
      <w:tr w:rsidR="009810A5" w:rsidRPr="009810A5" w14:paraId="2CCF687F" w14:textId="77777777" w:rsidTr="004F5282">
        <w:trPr>
          <w:trHeight w:hRule="exact" w:val="230"/>
        </w:trPr>
        <w:tc>
          <w:tcPr>
            <w:tcW w:w="305" w:type="dxa"/>
          </w:tcPr>
          <w:p w14:paraId="42038C92" w14:textId="77777777" w:rsidR="009810A5" w:rsidRPr="009810A5" w:rsidRDefault="009810A5" w:rsidP="009810A5">
            <w:pPr>
              <w:jc w:val="right"/>
              <w:rPr>
                <w:snapToGrid w:val="0"/>
                <w:color w:val="000000"/>
                <w:sz w:val="20"/>
                <w:szCs w:val="20"/>
              </w:rPr>
            </w:pPr>
          </w:p>
        </w:tc>
        <w:tc>
          <w:tcPr>
            <w:tcW w:w="302" w:type="dxa"/>
          </w:tcPr>
          <w:p w14:paraId="1D348366" w14:textId="77777777" w:rsidR="009810A5" w:rsidRPr="009810A5" w:rsidRDefault="009810A5" w:rsidP="009810A5">
            <w:pPr>
              <w:jc w:val="right"/>
              <w:rPr>
                <w:snapToGrid w:val="0"/>
                <w:color w:val="000000"/>
                <w:sz w:val="20"/>
                <w:szCs w:val="20"/>
              </w:rPr>
            </w:pPr>
          </w:p>
        </w:tc>
        <w:tc>
          <w:tcPr>
            <w:tcW w:w="5513" w:type="dxa"/>
          </w:tcPr>
          <w:p w14:paraId="02A1A90A" w14:textId="77777777" w:rsidR="009810A5" w:rsidRPr="009810A5" w:rsidRDefault="009810A5" w:rsidP="009810A5">
            <w:pPr>
              <w:rPr>
                <w:snapToGrid w:val="0"/>
                <w:color w:val="000000"/>
                <w:sz w:val="20"/>
                <w:szCs w:val="20"/>
              </w:rPr>
            </w:pPr>
          </w:p>
        </w:tc>
        <w:tc>
          <w:tcPr>
            <w:tcW w:w="90" w:type="dxa"/>
          </w:tcPr>
          <w:p w14:paraId="0EDE94F7" w14:textId="77777777" w:rsidR="009810A5" w:rsidRPr="009810A5" w:rsidRDefault="009810A5" w:rsidP="009810A5">
            <w:pPr>
              <w:jc w:val="right"/>
              <w:rPr>
                <w:snapToGrid w:val="0"/>
                <w:color w:val="000000"/>
                <w:sz w:val="20"/>
                <w:szCs w:val="20"/>
              </w:rPr>
            </w:pPr>
          </w:p>
        </w:tc>
        <w:tc>
          <w:tcPr>
            <w:tcW w:w="1710" w:type="dxa"/>
          </w:tcPr>
          <w:p w14:paraId="0C058148" w14:textId="77777777" w:rsidR="009810A5" w:rsidRPr="009810A5" w:rsidRDefault="009810A5" w:rsidP="009810A5">
            <w:pPr>
              <w:tabs>
                <w:tab w:val="decimal" w:pos="1320"/>
              </w:tabs>
              <w:rPr>
                <w:snapToGrid w:val="0"/>
                <w:color w:val="000000"/>
                <w:sz w:val="20"/>
                <w:szCs w:val="20"/>
              </w:rPr>
            </w:pPr>
          </w:p>
        </w:tc>
        <w:tc>
          <w:tcPr>
            <w:tcW w:w="270" w:type="dxa"/>
          </w:tcPr>
          <w:p w14:paraId="4A3D5E74" w14:textId="77777777" w:rsidR="009810A5" w:rsidRPr="009810A5" w:rsidRDefault="009810A5" w:rsidP="009810A5">
            <w:pPr>
              <w:jc w:val="right"/>
              <w:rPr>
                <w:snapToGrid w:val="0"/>
                <w:color w:val="000000"/>
                <w:sz w:val="20"/>
                <w:szCs w:val="20"/>
              </w:rPr>
            </w:pPr>
          </w:p>
        </w:tc>
        <w:tc>
          <w:tcPr>
            <w:tcW w:w="1890" w:type="dxa"/>
          </w:tcPr>
          <w:p w14:paraId="2F5D63EE" w14:textId="77777777" w:rsidR="009810A5" w:rsidRPr="009810A5" w:rsidRDefault="009810A5" w:rsidP="009810A5">
            <w:pPr>
              <w:tabs>
                <w:tab w:val="decimal" w:pos="1500"/>
              </w:tabs>
              <w:rPr>
                <w:snapToGrid w:val="0"/>
                <w:color w:val="000000"/>
                <w:sz w:val="20"/>
                <w:szCs w:val="20"/>
              </w:rPr>
            </w:pPr>
          </w:p>
        </w:tc>
      </w:tr>
      <w:tr w:rsidR="009810A5" w:rsidRPr="009810A5" w14:paraId="5DED3C12" w14:textId="77777777" w:rsidTr="004F5282">
        <w:trPr>
          <w:trHeight w:hRule="exact" w:val="230"/>
        </w:trPr>
        <w:tc>
          <w:tcPr>
            <w:tcW w:w="6120" w:type="dxa"/>
            <w:gridSpan w:val="3"/>
          </w:tcPr>
          <w:p w14:paraId="2BE88B1B" w14:textId="77777777" w:rsidR="009810A5" w:rsidRPr="009810A5" w:rsidRDefault="009810A5" w:rsidP="009810A5">
            <w:pPr>
              <w:rPr>
                <w:snapToGrid w:val="0"/>
                <w:color w:val="000000"/>
                <w:sz w:val="20"/>
                <w:szCs w:val="20"/>
              </w:rPr>
            </w:pPr>
            <w:r w:rsidRPr="009810A5">
              <w:rPr>
                <w:snapToGrid w:val="0"/>
                <w:color w:val="000000"/>
                <w:sz w:val="20"/>
                <w:szCs w:val="20"/>
              </w:rPr>
              <w:t>Commitments (Note 7)</w:t>
            </w:r>
          </w:p>
        </w:tc>
        <w:tc>
          <w:tcPr>
            <w:tcW w:w="90" w:type="dxa"/>
          </w:tcPr>
          <w:p w14:paraId="132D62C7" w14:textId="77777777" w:rsidR="009810A5" w:rsidRPr="009810A5" w:rsidRDefault="009810A5" w:rsidP="009810A5">
            <w:pPr>
              <w:jc w:val="right"/>
              <w:rPr>
                <w:snapToGrid w:val="0"/>
                <w:color w:val="000000"/>
                <w:sz w:val="20"/>
                <w:szCs w:val="20"/>
              </w:rPr>
            </w:pPr>
          </w:p>
        </w:tc>
        <w:tc>
          <w:tcPr>
            <w:tcW w:w="1710" w:type="dxa"/>
          </w:tcPr>
          <w:p w14:paraId="4F332936" w14:textId="77777777" w:rsidR="009810A5" w:rsidRPr="009810A5" w:rsidRDefault="009810A5" w:rsidP="009810A5">
            <w:pPr>
              <w:tabs>
                <w:tab w:val="decimal" w:pos="1195"/>
              </w:tabs>
              <w:jc w:val="right"/>
              <w:rPr>
                <w:snapToGrid w:val="0"/>
                <w:color w:val="000000"/>
                <w:sz w:val="20"/>
                <w:szCs w:val="20"/>
              </w:rPr>
            </w:pPr>
          </w:p>
        </w:tc>
        <w:tc>
          <w:tcPr>
            <w:tcW w:w="270" w:type="dxa"/>
          </w:tcPr>
          <w:p w14:paraId="78C0C9F1" w14:textId="77777777" w:rsidR="009810A5" w:rsidRPr="009810A5" w:rsidRDefault="009810A5" w:rsidP="009810A5">
            <w:pPr>
              <w:jc w:val="right"/>
              <w:rPr>
                <w:snapToGrid w:val="0"/>
                <w:color w:val="000000"/>
                <w:sz w:val="20"/>
                <w:szCs w:val="20"/>
              </w:rPr>
            </w:pPr>
          </w:p>
        </w:tc>
        <w:tc>
          <w:tcPr>
            <w:tcW w:w="1890" w:type="dxa"/>
          </w:tcPr>
          <w:p w14:paraId="17100DC7" w14:textId="77777777" w:rsidR="009810A5" w:rsidRPr="009810A5" w:rsidRDefault="009810A5" w:rsidP="009810A5">
            <w:pPr>
              <w:tabs>
                <w:tab w:val="decimal" w:pos="1195"/>
              </w:tabs>
              <w:jc w:val="right"/>
              <w:rPr>
                <w:snapToGrid w:val="0"/>
                <w:color w:val="000000"/>
                <w:sz w:val="20"/>
                <w:szCs w:val="20"/>
              </w:rPr>
            </w:pPr>
          </w:p>
        </w:tc>
      </w:tr>
      <w:tr w:rsidR="009810A5" w:rsidRPr="009810A5" w14:paraId="360E283F" w14:textId="77777777" w:rsidTr="004F5282">
        <w:trPr>
          <w:trHeight w:hRule="exact" w:val="230"/>
        </w:trPr>
        <w:tc>
          <w:tcPr>
            <w:tcW w:w="305" w:type="dxa"/>
          </w:tcPr>
          <w:p w14:paraId="712661E4" w14:textId="77777777" w:rsidR="009810A5" w:rsidRPr="009810A5" w:rsidRDefault="009810A5" w:rsidP="009810A5">
            <w:pPr>
              <w:jc w:val="right"/>
              <w:rPr>
                <w:snapToGrid w:val="0"/>
                <w:color w:val="000000"/>
                <w:sz w:val="20"/>
                <w:szCs w:val="20"/>
              </w:rPr>
            </w:pPr>
          </w:p>
        </w:tc>
        <w:tc>
          <w:tcPr>
            <w:tcW w:w="302" w:type="dxa"/>
          </w:tcPr>
          <w:p w14:paraId="6886627C" w14:textId="77777777" w:rsidR="009810A5" w:rsidRPr="009810A5" w:rsidRDefault="009810A5" w:rsidP="009810A5">
            <w:pPr>
              <w:jc w:val="right"/>
              <w:rPr>
                <w:snapToGrid w:val="0"/>
                <w:color w:val="000000"/>
                <w:sz w:val="20"/>
                <w:szCs w:val="20"/>
              </w:rPr>
            </w:pPr>
          </w:p>
        </w:tc>
        <w:tc>
          <w:tcPr>
            <w:tcW w:w="5513" w:type="dxa"/>
          </w:tcPr>
          <w:p w14:paraId="067D163A" w14:textId="77777777" w:rsidR="009810A5" w:rsidRPr="009810A5" w:rsidRDefault="009810A5" w:rsidP="009810A5">
            <w:pPr>
              <w:jc w:val="right"/>
              <w:rPr>
                <w:snapToGrid w:val="0"/>
                <w:color w:val="000000"/>
                <w:sz w:val="20"/>
                <w:szCs w:val="20"/>
              </w:rPr>
            </w:pPr>
          </w:p>
        </w:tc>
        <w:tc>
          <w:tcPr>
            <w:tcW w:w="90" w:type="dxa"/>
          </w:tcPr>
          <w:p w14:paraId="07CA671F" w14:textId="77777777" w:rsidR="009810A5" w:rsidRPr="009810A5" w:rsidRDefault="009810A5" w:rsidP="009810A5">
            <w:pPr>
              <w:jc w:val="right"/>
              <w:rPr>
                <w:snapToGrid w:val="0"/>
                <w:color w:val="000000"/>
                <w:sz w:val="20"/>
                <w:szCs w:val="20"/>
              </w:rPr>
            </w:pPr>
          </w:p>
        </w:tc>
        <w:tc>
          <w:tcPr>
            <w:tcW w:w="1710" w:type="dxa"/>
          </w:tcPr>
          <w:p w14:paraId="7AE2BEA4" w14:textId="77777777" w:rsidR="009810A5" w:rsidRPr="009810A5" w:rsidRDefault="009810A5" w:rsidP="009810A5">
            <w:pPr>
              <w:tabs>
                <w:tab w:val="decimal" w:pos="1195"/>
              </w:tabs>
              <w:jc w:val="right"/>
              <w:rPr>
                <w:snapToGrid w:val="0"/>
                <w:color w:val="000000"/>
                <w:sz w:val="20"/>
                <w:szCs w:val="20"/>
              </w:rPr>
            </w:pPr>
          </w:p>
        </w:tc>
        <w:tc>
          <w:tcPr>
            <w:tcW w:w="270" w:type="dxa"/>
          </w:tcPr>
          <w:p w14:paraId="67B88420" w14:textId="77777777" w:rsidR="009810A5" w:rsidRPr="009810A5" w:rsidRDefault="009810A5" w:rsidP="009810A5">
            <w:pPr>
              <w:jc w:val="right"/>
              <w:rPr>
                <w:snapToGrid w:val="0"/>
                <w:color w:val="000000"/>
                <w:sz w:val="20"/>
                <w:szCs w:val="20"/>
              </w:rPr>
            </w:pPr>
          </w:p>
        </w:tc>
        <w:tc>
          <w:tcPr>
            <w:tcW w:w="1890" w:type="dxa"/>
          </w:tcPr>
          <w:p w14:paraId="2CB1A4DB" w14:textId="77777777" w:rsidR="009810A5" w:rsidRPr="009810A5" w:rsidRDefault="009810A5" w:rsidP="009810A5">
            <w:pPr>
              <w:tabs>
                <w:tab w:val="decimal" w:pos="1195"/>
              </w:tabs>
              <w:jc w:val="right"/>
              <w:rPr>
                <w:snapToGrid w:val="0"/>
                <w:color w:val="000000"/>
                <w:sz w:val="20"/>
                <w:szCs w:val="20"/>
              </w:rPr>
            </w:pPr>
          </w:p>
        </w:tc>
      </w:tr>
      <w:tr w:rsidR="009810A5" w:rsidRPr="009810A5" w14:paraId="1CF2935F" w14:textId="77777777" w:rsidTr="004F5282">
        <w:trPr>
          <w:trHeight w:hRule="exact" w:val="230"/>
        </w:trPr>
        <w:tc>
          <w:tcPr>
            <w:tcW w:w="6120" w:type="dxa"/>
            <w:gridSpan w:val="3"/>
          </w:tcPr>
          <w:p w14:paraId="582AC5B0" w14:textId="77777777" w:rsidR="009810A5" w:rsidRPr="009810A5" w:rsidRDefault="009810A5" w:rsidP="009810A5">
            <w:pPr>
              <w:rPr>
                <w:snapToGrid w:val="0"/>
                <w:color w:val="000000"/>
                <w:sz w:val="20"/>
                <w:szCs w:val="20"/>
              </w:rPr>
            </w:pPr>
            <w:r w:rsidRPr="009810A5">
              <w:rPr>
                <w:snapToGrid w:val="0"/>
                <w:color w:val="000000"/>
                <w:sz w:val="20"/>
                <w:szCs w:val="20"/>
              </w:rPr>
              <w:t>Stockholders’ equity:</w:t>
            </w:r>
          </w:p>
        </w:tc>
        <w:tc>
          <w:tcPr>
            <w:tcW w:w="90" w:type="dxa"/>
          </w:tcPr>
          <w:p w14:paraId="7BEED1BE" w14:textId="77777777" w:rsidR="009810A5" w:rsidRPr="009810A5" w:rsidRDefault="009810A5" w:rsidP="009810A5">
            <w:pPr>
              <w:jc w:val="right"/>
              <w:rPr>
                <w:snapToGrid w:val="0"/>
                <w:color w:val="000000"/>
                <w:sz w:val="20"/>
                <w:szCs w:val="20"/>
              </w:rPr>
            </w:pPr>
          </w:p>
        </w:tc>
        <w:tc>
          <w:tcPr>
            <w:tcW w:w="1710" w:type="dxa"/>
          </w:tcPr>
          <w:p w14:paraId="13F159F1" w14:textId="77777777" w:rsidR="009810A5" w:rsidRPr="009810A5" w:rsidRDefault="009810A5" w:rsidP="009810A5">
            <w:pPr>
              <w:tabs>
                <w:tab w:val="decimal" w:pos="1195"/>
              </w:tabs>
              <w:jc w:val="right"/>
              <w:rPr>
                <w:snapToGrid w:val="0"/>
                <w:color w:val="000000"/>
                <w:sz w:val="20"/>
                <w:szCs w:val="20"/>
              </w:rPr>
            </w:pPr>
          </w:p>
        </w:tc>
        <w:tc>
          <w:tcPr>
            <w:tcW w:w="270" w:type="dxa"/>
          </w:tcPr>
          <w:p w14:paraId="2D142607" w14:textId="77777777" w:rsidR="009810A5" w:rsidRPr="009810A5" w:rsidRDefault="009810A5" w:rsidP="009810A5">
            <w:pPr>
              <w:jc w:val="right"/>
              <w:rPr>
                <w:snapToGrid w:val="0"/>
                <w:color w:val="000000"/>
                <w:sz w:val="20"/>
                <w:szCs w:val="20"/>
              </w:rPr>
            </w:pPr>
          </w:p>
        </w:tc>
        <w:tc>
          <w:tcPr>
            <w:tcW w:w="1890" w:type="dxa"/>
          </w:tcPr>
          <w:p w14:paraId="7903AC36" w14:textId="77777777" w:rsidR="009810A5" w:rsidRPr="009810A5" w:rsidRDefault="009810A5" w:rsidP="009810A5">
            <w:pPr>
              <w:tabs>
                <w:tab w:val="decimal" w:pos="1195"/>
              </w:tabs>
              <w:jc w:val="right"/>
              <w:rPr>
                <w:snapToGrid w:val="0"/>
                <w:color w:val="000000"/>
                <w:sz w:val="20"/>
                <w:szCs w:val="20"/>
              </w:rPr>
            </w:pPr>
          </w:p>
        </w:tc>
      </w:tr>
      <w:tr w:rsidR="009810A5" w:rsidRPr="009810A5" w14:paraId="4ABD887E" w14:textId="77777777" w:rsidTr="004F5282">
        <w:trPr>
          <w:trHeight w:hRule="exact" w:val="230"/>
        </w:trPr>
        <w:tc>
          <w:tcPr>
            <w:tcW w:w="305" w:type="dxa"/>
          </w:tcPr>
          <w:p w14:paraId="210C71D0" w14:textId="77777777" w:rsidR="009810A5" w:rsidRPr="009810A5" w:rsidRDefault="009810A5" w:rsidP="009810A5">
            <w:pPr>
              <w:jc w:val="right"/>
              <w:rPr>
                <w:snapToGrid w:val="0"/>
                <w:color w:val="000000"/>
                <w:sz w:val="20"/>
                <w:szCs w:val="20"/>
              </w:rPr>
            </w:pPr>
          </w:p>
        </w:tc>
        <w:tc>
          <w:tcPr>
            <w:tcW w:w="5815" w:type="dxa"/>
            <w:gridSpan w:val="2"/>
          </w:tcPr>
          <w:p w14:paraId="75770B48" w14:textId="77777777" w:rsidR="009810A5" w:rsidRPr="009810A5" w:rsidRDefault="009810A5" w:rsidP="009810A5">
            <w:pPr>
              <w:rPr>
                <w:snapToGrid w:val="0"/>
                <w:color w:val="000000"/>
                <w:sz w:val="20"/>
                <w:szCs w:val="20"/>
              </w:rPr>
            </w:pPr>
            <w:r w:rsidRPr="009810A5">
              <w:rPr>
                <w:snapToGrid w:val="0"/>
                <w:color w:val="000000"/>
                <w:sz w:val="20"/>
                <w:szCs w:val="20"/>
              </w:rPr>
              <w:t>Common stock, $.001 par value:</w:t>
            </w:r>
          </w:p>
        </w:tc>
        <w:tc>
          <w:tcPr>
            <w:tcW w:w="90" w:type="dxa"/>
          </w:tcPr>
          <w:p w14:paraId="72F8B75F" w14:textId="77777777" w:rsidR="009810A5" w:rsidRPr="009810A5" w:rsidRDefault="009810A5" w:rsidP="009810A5">
            <w:pPr>
              <w:jc w:val="right"/>
              <w:rPr>
                <w:snapToGrid w:val="0"/>
                <w:color w:val="000000"/>
                <w:sz w:val="20"/>
                <w:szCs w:val="20"/>
              </w:rPr>
            </w:pPr>
          </w:p>
        </w:tc>
        <w:tc>
          <w:tcPr>
            <w:tcW w:w="1710" w:type="dxa"/>
          </w:tcPr>
          <w:p w14:paraId="4A9FBF35" w14:textId="77777777" w:rsidR="009810A5" w:rsidRPr="009810A5" w:rsidRDefault="009810A5" w:rsidP="009810A5">
            <w:pPr>
              <w:tabs>
                <w:tab w:val="decimal" w:pos="1320"/>
              </w:tabs>
              <w:jc w:val="right"/>
              <w:rPr>
                <w:snapToGrid w:val="0"/>
                <w:color w:val="000000"/>
                <w:sz w:val="20"/>
                <w:szCs w:val="20"/>
              </w:rPr>
            </w:pPr>
          </w:p>
        </w:tc>
        <w:tc>
          <w:tcPr>
            <w:tcW w:w="270" w:type="dxa"/>
          </w:tcPr>
          <w:p w14:paraId="6D772C4B" w14:textId="77777777" w:rsidR="009810A5" w:rsidRPr="009810A5" w:rsidRDefault="009810A5" w:rsidP="009810A5">
            <w:pPr>
              <w:jc w:val="right"/>
              <w:rPr>
                <w:snapToGrid w:val="0"/>
                <w:color w:val="000000"/>
                <w:sz w:val="20"/>
                <w:szCs w:val="20"/>
              </w:rPr>
            </w:pPr>
          </w:p>
        </w:tc>
        <w:tc>
          <w:tcPr>
            <w:tcW w:w="1890" w:type="dxa"/>
          </w:tcPr>
          <w:p w14:paraId="0FEB237F" w14:textId="77777777" w:rsidR="009810A5" w:rsidRPr="009810A5" w:rsidRDefault="009810A5" w:rsidP="009810A5">
            <w:pPr>
              <w:tabs>
                <w:tab w:val="decimal" w:pos="1500"/>
              </w:tabs>
              <w:jc w:val="right"/>
              <w:rPr>
                <w:snapToGrid w:val="0"/>
                <w:color w:val="000000"/>
                <w:sz w:val="20"/>
                <w:szCs w:val="20"/>
              </w:rPr>
            </w:pPr>
          </w:p>
        </w:tc>
      </w:tr>
      <w:tr w:rsidR="009810A5" w:rsidRPr="009810A5" w14:paraId="66E0BE28" w14:textId="77777777" w:rsidTr="004F5282">
        <w:trPr>
          <w:trHeight w:hRule="exact" w:val="230"/>
        </w:trPr>
        <w:tc>
          <w:tcPr>
            <w:tcW w:w="305" w:type="dxa"/>
          </w:tcPr>
          <w:p w14:paraId="642A1CF1" w14:textId="77777777" w:rsidR="009810A5" w:rsidRPr="009810A5" w:rsidRDefault="009810A5" w:rsidP="009810A5">
            <w:pPr>
              <w:jc w:val="right"/>
              <w:rPr>
                <w:snapToGrid w:val="0"/>
                <w:color w:val="000000"/>
                <w:sz w:val="20"/>
                <w:szCs w:val="20"/>
              </w:rPr>
            </w:pPr>
            <w:bookmarkStart w:id="58" w:name="_Hlk12541074"/>
          </w:p>
        </w:tc>
        <w:tc>
          <w:tcPr>
            <w:tcW w:w="302" w:type="dxa"/>
          </w:tcPr>
          <w:p w14:paraId="3EA53B38" w14:textId="77777777" w:rsidR="009810A5" w:rsidRPr="009810A5" w:rsidRDefault="009810A5" w:rsidP="009810A5">
            <w:pPr>
              <w:jc w:val="right"/>
              <w:rPr>
                <w:snapToGrid w:val="0"/>
                <w:color w:val="000000"/>
                <w:sz w:val="20"/>
                <w:szCs w:val="20"/>
              </w:rPr>
            </w:pPr>
          </w:p>
        </w:tc>
        <w:tc>
          <w:tcPr>
            <w:tcW w:w="5513" w:type="dxa"/>
          </w:tcPr>
          <w:p w14:paraId="63DD9BDF" w14:textId="77777777" w:rsidR="009810A5" w:rsidRPr="009810A5" w:rsidRDefault="009810A5" w:rsidP="009810A5">
            <w:pPr>
              <w:tabs>
                <w:tab w:val="left" w:pos="203"/>
              </w:tabs>
              <w:rPr>
                <w:snapToGrid w:val="0"/>
                <w:color w:val="000000"/>
                <w:sz w:val="20"/>
                <w:szCs w:val="20"/>
              </w:rPr>
            </w:pPr>
            <w:r w:rsidRPr="009810A5">
              <w:rPr>
                <w:snapToGrid w:val="0"/>
                <w:color w:val="000000"/>
                <w:sz w:val="20"/>
                <w:szCs w:val="20"/>
              </w:rPr>
              <w:t>Authorized shares – 600,000,000</w:t>
            </w:r>
          </w:p>
          <w:p w14:paraId="47B1B39F" w14:textId="77777777" w:rsidR="009810A5" w:rsidRPr="009810A5" w:rsidRDefault="009810A5" w:rsidP="009810A5">
            <w:pPr>
              <w:tabs>
                <w:tab w:val="left" w:pos="203"/>
              </w:tabs>
              <w:rPr>
                <w:snapToGrid w:val="0"/>
                <w:color w:val="000000"/>
                <w:sz w:val="20"/>
                <w:szCs w:val="20"/>
              </w:rPr>
            </w:pPr>
          </w:p>
        </w:tc>
        <w:tc>
          <w:tcPr>
            <w:tcW w:w="90" w:type="dxa"/>
          </w:tcPr>
          <w:p w14:paraId="0744AD09" w14:textId="77777777" w:rsidR="009810A5" w:rsidRPr="009810A5" w:rsidRDefault="009810A5" w:rsidP="009810A5">
            <w:pPr>
              <w:jc w:val="right"/>
              <w:rPr>
                <w:snapToGrid w:val="0"/>
                <w:color w:val="000000"/>
                <w:sz w:val="20"/>
                <w:szCs w:val="20"/>
              </w:rPr>
            </w:pPr>
          </w:p>
        </w:tc>
        <w:tc>
          <w:tcPr>
            <w:tcW w:w="1710" w:type="dxa"/>
          </w:tcPr>
          <w:p w14:paraId="70AEF6AD" w14:textId="77777777" w:rsidR="009810A5" w:rsidRPr="009810A5" w:rsidRDefault="009810A5" w:rsidP="009810A5">
            <w:pPr>
              <w:tabs>
                <w:tab w:val="decimal" w:pos="1320"/>
              </w:tabs>
              <w:jc w:val="right"/>
              <w:rPr>
                <w:snapToGrid w:val="0"/>
                <w:color w:val="000000"/>
                <w:sz w:val="20"/>
                <w:szCs w:val="20"/>
              </w:rPr>
            </w:pPr>
          </w:p>
        </w:tc>
        <w:tc>
          <w:tcPr>
            <w:tcW w:w="270" w:type="dxa"/>
          </w:tcPr>
          <w:p w14:paraId="033A44D6" w14:textId="77777777" w:rsidR="009810A5" w:rsidRPr="009810A5" w:rsidRDefault="009810A5" w:rsidP="009810A5">
            <w:pPr>
              <w:jc w:val="right"/>
              <w:rPr>
                <w:snapToGrid w:val="0"/>
                <w:color w:val="000000"/>
                <w:sz w:val="20"/>
                <w:szCs w:val="20"/>
              </w:rPr>
            </w:pPr>
          </w:p>
        </w:tc>
        <w:tc>
          <w:tcPr>
            <w:tcW w:w="1890" w:type="dxa"/>
          </w:tcPr>
          <w:p w14:paraId="6D6F6E20" w14:textId="77777777" w:rsidR="009810A5" w:rsidRPr="009810A5" w:rsidRDefault="009810A5" w:rsidP="009810A5">
            <w:pPr>
              <w:tabs>
                <w:tab w:val="decimal" w:pos="1500"/>
              </w:tabs>
              <w:jc w:val="right"/>
              <w:rPr>
                <w:snapToGrid w:val="0"/>
                <w:color w:val="000000"/>
                <w:sz w:val="20"/>
                <w:szCs w:val="20"/>
              </w:rPr>
            </w:pPr>
          </w:p>
        </w:tc>
      </w:tr>
      <w:tr w:rsidR="009810A5" w:rsidRPr="009810A5" w14:paraId="78B79AF9" w14:textId="77777777" w:rsidTr="004F5282">
        <w:trPr>
          <w:trHeight w:hRule="exact" w:val="230"/>
        </w:trPr>
        <w:tc>
          <w:tcPr>
            <w:tcW w:w="305" w:type="dxa"/>
          </w:tcPr>
          <w:p w14:paraId="56EBF11A" w14:textId="77777777" w:rsidR="009810A5" w:rsidRPr="009810A5" w:rsidRDefault="009810A5" w:rsidP="009810A5">
            <w:pPr>
              <w:jc w:val="right"/>
              <w:rPr>
                <w:snapToGrid w:val="0"/>
                <w:color w:val="000000"/>
                <w:sz w:val="20"/>
                <w:szCs w:val="20"/>
              </w:rPr>
            </w:pPr>
          </w:p>
        </w:tc>
        <w:tc>
          <w:tcPr>
            <w:tcW w:w="302" w:type="dxa"/>
          </w:tcPr>
          <w:p w14:paraId="348D53DA" w14:textId="77777777" w:rsidR="009810A5" w:rsidRPr="009810A5" w:rsidRDefault="009810A5" w:rsidP="009810A5">
            <w:pPr>
              <w:jc w:val="right"/>
              <w:rPr>
                <w:snapToGrid w:val="0"/>
                <w:color w:val="000000"/>
                <w:sz w:val="20"/>
                <w:szCs w:val="20"/>
              </w:rPr>
            </w:pPr>
          </w:p>
        </w:tc>
        <w:tc>
          <w:tcPr>
            <w:tcW w:w="5513" w:type="dxa"/>
          </w:tcPr>
          <w:p w14:paraId="2CD6B122" w14:textId="77777777" w:rsidR="009810A5" w:rsidRPr="009810A5" w:rsidRDefault="009810A5" w:rsidP="009810A5">
            <w:pPr>
              <w:tabs>
                <w:tab w:val="left" w:pos="203"/>
              </w:tabs>
              <w:rPr>
                <w:snapToGrid w:val="0"/>
                <w:color w:val="000000"/>
                <w:sz w:val="20"/>
                <w:szCs w:val="20"/>
              </w:rPr>
            </w:pPr>
            <w:r w:rsidRPr="009810A5">
              <w:rPr>
                <w:snapToGrid w:val="0"/>
                <w:color w:val="000000"/>
                <w:sz w:val="20"/>
                <w:szCs w:val="20"/>
              </w:rPr>
              <w:t>Issued and outstanding shares – 9,449,025 and 6,381,541 at</w:t>
            </w:r>
          </w:p>
        </w:tc>
        <w:tc>
          <w:tcPr>
            <w:tcW w:w="90" w:type="dxa"/>
          </w:tcPr>
          <w:p w14:paraId="43561E26" w14:textId="77777777" w:rsidR="009810A5" w:rsidRPr="009810A5" w:rsidRDefault="009810A5" w:rsidP="009810A5">
            <w:pPr>
              <w:jc w:val="right"/>
              <w:rPr>
                <w:snapToGrid w:val="0"/>
                <w:color w:val="000000"/>
                <w:sz w:val="20"/>
                <w:szCs w:val="20"/>
              </w:rPr>
            </w:pPr>
          </w:p>
        </w:tc>
        <w:tc>
          <w:tcPr>
            <w:tcW w:w="1710" w:type="dxa"/>
          </w:tcPr>
          <w:p w14:paraId="59CF6581" w14:textId="77777777" w:rsidR="009810A5" w:rsidRPr="009810A5" w:rsidRDefault="009810A5" w:rsidP="009810A5">
            <w:pPr>
              <w:tabs>
                <w:tab w:val="decimal" w:pos="1320"/>
              </w:tabs>
              <w:jc w:val="right"/>
              <w:rPr>
                <w:snapToGrid w:val="0"/>
                <w:color w:val="000000"/>
                <w:sz w:val="20"/>
                <w:szCs w:val="20"/>
              </w:rPr>
            </w:pPr>
          </w:p>
        </w:tc>
        <w:tc>
          <w:tcPr>
            <w:tcW w:w="270" w:type="dxa"/>
          </w:tcPr>
          <w:p w14:paraId="0475ED91" w14:textId="77777777" w:rsidR="009810A5" w:rsidRPr="009810A5" w:rsidRDefault="009810A5" w:rsidP="009810A5">
            <w:pPr>
              <w:jc w:val="right"/>
              <w:rPr>
                <w:snapToGrid w:val="0"/>
                <w:color w:val="000000"/>
                <w:sz w:val="20"/>
                <w:szCs w:val="20"/>
              </w:rPr>
            </w:pPr>
          </w:p>
        </w:tc>
        <w:tc>
          <w:tcPr>
            <w:tcW w:w="1890" w:type="dxa"/>
          </w:tcPr>
          <w:p w14:paraId="3B279623" w14:textId="77777777" w:rsidR="009810A5" w:rsidRPr="009810A5" w:rsidRDefault="009810A5" w:rsidP="009810A5">
            <w:pPr>
              <w:tabs>
                <w:tab w:val="decimal" w:pos="1500"/>
              </w:tabs>
              <w:jc w:val="right"/>
              <w:rPr>
                <w:snapToGrid w:val="0"/>
                <w:color w:val="000000"/>
                <w:sz w:val="20"/>
                <w:szCs w:val="20"/>
              </w:rPr>
            </w:pPr>
          </w:p>
        </w:tc>
      </w:tr>
      <w:tr w:rsidR="009810A5" w:rsidRPr="009810A5" w14:paraId="6263F9F4" w14:textId="77777777" w:rsidTr="004F5282">
        <w:trPr>
          <w:trHeight w:hRule="exact" w:val="230"/>
        </w:trPr>
        <w:tc>
          <w:tcPr>
            <w:tcW w:w="305" w:type="dxa"/>
          </w:tcPr>
          <w:p w14:paraId="36C12FA1" w14:textId="77777777" w:rsidR="009810A5" w:rsidRPr="009810A5" w:rsidRDefault="009810A5" w:rsidP="009810A5">
            <w:pPr>
              <w:jc w:val="right"/>
              <w:rPr>
                <w:snapToGrid w:val="0"/>
                <w:color w:val="000000"/>
                <w:sz w:val="20"/>
                <w:szCs w:val="20"/>
              </w:rPr>
            </w:pPr>
          </w:p>
        </w:tc>
        <w:tc>
          <w:tcPr>
            <w:tcW w:w="302" w:type="dxa"/>
          </w:tcPr>
          <w:p w14:paraId="2C4CFFFE" w14:textId="77777777" w:rsidR="009810A5" w:rsidRPr="009810A5" w:rsidRDefault="009810A5" w:rsidP="009810A5">
            <w:pPr>
              <w:jc w:val="right"/>
              <w:rPr>
                <w:snapToGrid w:val="0"/>
                <w:color w:val="000000"/>
                <w:sz w:val="20"/>
                <w:szCs w:val="20"/>
              </w:rPr>
            </w:pPr>
          </w:p>
        </w:tc>
        <w:tc>
          <w:tcPr>
            <w:tcW w:w="5513" w:type="dxa"/>
          </w:tcPr>
          <w:p w14:paraId="21057836" w14:textId="77777777" w:rsidR="009810A5" w:rsidRPr="009810A5" w:rsidRDefault="009810A5" w:rsidP="009810A5">
            <w:pPr>
              <w:tabs>
                <w:tab w:val="left" w:pos="203"/>
              </w:tabs>
              <w:rPr>
                <w:snapToGrid w:val="0"/>
                <w:color w:val="000000"/>
                <w:sz w:val="20"/>
                <w:szCs w:val="20"/>
              </w:rPr>
            </w:pPr>
            <w:r w:rsidRPr="009810A5">
              <w:rPr>
                <w:snapToGrid w:val="0"/>
                <w:color w:val="000000"/>
                <w:sz w:val="20"/>
                <w:szCs w:val="20"/>
              </w:rPr>
              <w:tab/>
              <w:t>March 31, 2022 and December 31, 2021, respectively</w:t>
            </w:r>
          </w:p>
        </w:tc>
        <w:tc>
          <w:tcPr>
            <w:tcW w:w="90" w:type="dxa"/>
          </w:tcPr>
          <w:p w14:paraId="69E16749" w14:textId="77777777" w:rsidR="009810A5" w:rsidRPr="009810A5" w:rsidRDefault="009810A5" w:rsidP="009810A5">
            <w:pPr>
              <w:jc w:val="right"/>
              <w:rPr>
                <w:snapToGrid w:val="0"/>
                <w:color w:val="000000"/>
                <w:sz w:val="20"/>
                <w:szCs w:val="20"/>
              </w:rPr>
            </w:pPr>
          </w:p>
        </w:tc>
        <w:tc>
          <w:tcPr>
            <w:tcW w:w="1710" w:type="dxa"/>
          </w:tcPr>
          <w:p w14:paraId="07445A27"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9,449</w:t>
            </w:r>
          </w:p>
        </w:tc>
        <w:tc>
          <w:tcPr>
            <w:tcW w:w="270" w:type="dxa"/>
          </w:tcPr>
          <w:p w14:paraId="64433C98" w14:textId="77777777" w:rsidR="009810A5" w:rsidRPr="009810A5" w:rsidRDefault="009810A5" w:rsidP="009810A5">
            <w:pPr>
              <w:jc w:val="right"/>
              <w:rPr>
                <w:snapToGrid w:val="0"/>
                <w:color w:val="000000"/>
                <w:sz w:val="20"/>
                <w:szCs w:val="20"/>
              </w:rPr>
            </w:pPr>
          </w:p>
        </w:tc>
        <w:tc>
          <w:tcPr>
            <w:tcW w:w="1890" w:type="dxa"/>
          </w:tcPr>
          <w:p w14:paraId="0278766E"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6,382</w:t>
            </w:r>
          </w:p>
        </w:tc>
      </w:tr>
      <w:bookmarkEnd w:id="58"/>
      <w:tr w:rsidR="009810A5" w:rsidRPr="009810A5" w14:paraId="0B0173DE" w14:textId="77777777" w:rsidTr="004F5282">
        <w:trPr>
          <w:trHeight w:hRule="exact" w:val="230"/>
        </w:trPr>
        <w:tc>
          <w:tcPr>
            <w:tcW w:w="305" w:type="dxa"/>
          </w:tcPr>
          <w:p w14:paraId="3078F4FD" w14:textId="77777777" w:rsidR="009810A5" w:rsidRPr="009810A5" w:rsidRDefault="009810A5" w:rsidP="009810A5">
            <w:pPr>
              <w:jc w:val="right"/>
              <w:rPr>
                <w:snapToGrid w:val="0"/>
                <w:color w:val="000000"/>
                <w:sz w:val="20"/>
                <w:szCs w:val="20"/>
              </w:rPr>
            </w:pPr>
          </w:p>
        </w:tc>
        <w:tc>
          <w:tcPr>
            <w:tcW w:w="5815" w:type="dxa"/>
            <w:gridSpan w:val="2"/>
          </w:tcPr>
          <w:p w14:paraId="2B5B553E" w14:textId="77777777" w:rsidR="009810A5" w:rsidRPr="009810A5" w:rsidRDefault="009810A5" w:rsidP="009810A5">
            <w:pPr>
              <w:rPr>
                <w:snapToGrid w:val="0"/>
                <w:color w:val="000000"/>
                <w:sz w:val="20"/>
                <w:szCs w:val="20"/>
              </w:rPr>
            </w:pPr>
            <w:r w:rsidRPr="009810A5">
              <w:rPr>
                <w:snapToGrid w:val="0"/>
                <w:color w:val="000000"/>
                <w:sz w:val="20"/>
                <w:szCs w:val="20"/>
              </w:rPr>
              <w:t>Additional paid-in capital</w:t>
            </w:r>
          </w:p>
        </w:tc>
        <w:tc>
          <w:tcPr>
            <w:tcW w:w="90" w:type="dxa"/>
          </w:tcPr>
          <w:p w14:paraId="69E2025D" w14:textId="77777777" w:rsidR="009810A5" w:rsidRPr="009810A5" w:rsidRDefault="009810A5" w:rsidP="009810A5">
            <w:pPr>
              <w:jc w:val="right"/>
              <w:rPr>
                <w:snapToGrid w:val="0"/>
                <w:color w:val="000000"/>
                <w:sz w:val="20"/>
                <w:szCs w:val="20"/>
              </w:rPr>
            </w:pPr>
          </w:p>
        </w:tc>
        <w:tc>
          <w:tcPr>
            <w:tcW w:w="1710" w:type="dxa"/>
          </w:tcPr>
          <w:p w14:paraId="1E8197A2"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78,147,616</w:t>
            </w:r>
          </w:p>
        </w:tc>
        <w:tc>
          <w:tcPr>
            <w:tcW w:w="270" w:type="dxa"/>
          </w:tcPr>
          <w:p w14:paraId="6CA2E044" w14:textId="77777777" w:rsidR="009810A5" w:rsidRPr="009810A5" w:rsidRDefault="009810A5" w:rsidP="009810A5">
            <w:pPr>
              <w:jc w:val="right"/>
              <w:rPr>
                <w:snapToGrid w:val="0"/>
                <w:color w:val="000000"/>
                <w:sz w:val="20"/>
                <w:szCs w:val="20"/>
              </w:rPr>
            </w:pPr>
          </w:p>
        </w:tc>
        <w:tc>
          <w:tcPr>
            <w:tcW w:w="1890" w:type="dxa"/>
          </w:tcPr>
          <w:p w14:paraId="3F82764E"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68,731,220</w:t>
            </w:r>
          </w:p>
        </w:tc>
      </w:tr>
      <w:tr w:rsidR="009810A5" w:rsidRPr="009810A5" w14:paraId="3940FC2D" w14:textId="77777777" w:rsidTr="004F5282">
        <w:trPr>
          <w:trHeight w:hRule="exact" w:val="230"/>
        </w:trPr>
        <w:tc>
          <w:tcPr>
            <w:tcW w:w="305" w:type="dxa"/>
          </w:tcPr>
          <w:p w14:paraId="51C6C3D8" w14:textId="77777777" w:rsidR="009810A5" w:rsidRPr="009810A5" w:rsidRDefault="009810A5" w:rsidP="009810A5">
            <w:pPr>
              <w:jc w:val="right"/>
              <w:rPr>
                <w:snapToGrid w:val="0"/>
                <w:color w:val="000000"/>
                <w:sz w:val="20"/>
                <w:szCs w:val="20"/>
              </w:rPr>
            </w:pPr>
          </w:p>
        </w:tc>
        <w:tc>
          <w:tcPr>
            <w:tcW w:w="5815" w:type="dxa"/>
            <w:gridSpan w:val="2"/>
          </w:tcPr>
          <w:p w14:paraId="51541826" w14:textId="77777777" w:rsidR="009810A5" w:rsidRPr="009810A5" w:rsidRDefault="009810A5" w:rsidP="009810A5">
            <w:pPr>
              <w:rPr>
                <w:snapToGrid w:val="0"/>
                <w:color w:val="000000"/>
                <w:sz w:val="20"/>
                <w:szCs w:val="20"/>
              </w:rPr>
            </w:pPr>
            <w:r w:rsidRPr="009810A5">
              <w:rPr>
                <w:snapToGrid w:val="0"/>
                <w:color w:val="000000"/>
                <w:sz w:val="20"/>
                <w:szCs w:val="20"/>
              </w:rPr>
              <w:t>Accumulated deficit</w:t>
            </w:r>
          </w:p>
        </w:tc>
        <w:tc>
          <w:tcPr>
            <w:tcW w:w="90" w:type="dxa"/>
          </w:tcPr>
          <w:p w14:paraId="222F4C1D" w14:textId="77777777" w:rsidR="009810A5" w:rsidRPr="009810A5" w:rsidRDefault="009810A5" w:rsidP="009810A5">
            <w:pPr>
              <w:jc w:val="right"/>
              <w:rPr>
                <w:snapToGrid w:val="0"/>
                <w:color w:val="000000"/>
                <w:sz w:val="20"/>
                <w:szCs w:val="20"/>
              </w:rPr>
            </w:pPr>
          </w:p>
        </w:tc>
        <w:tc>
          <w:tcPr>
            <w:tcW w:w="1710" w:type="dxa"/>
            <w:tcBorders>
              <w:bottom w:val="single" w:sz="4" w:space="0" w:color="auto"/>
            </w:tcBorders>
          </w:tcPr>
          <w:p w14:paraId="0B87B401"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(66,803,413)</w:t>
            </w:r>
          </w:p>
        </w:tc>
        <w:tc>
          <w:tcPr>
            <w:tcW w:w="270" w:type="dxa"/>
          </w:tcPr>
          <w:p w14:paraId="70113811" w14:textId="77777777" w:rsidR="009810A5" w:rsidRPr="009810A5" w:rsidRDefault="009810A5" w:rsidP="009810A5">
            <w:pPr>
              <w:jc w:val="right"/>
              <w:rPr>
                <w:snapToGrid w:val="0"/>
                <w:color w:val="000000"/>
                <w:sz w:val="20"/>
                <w:szCs w:val="20"/>
              </w:rPr>
            </w:pPr>
          </w:p>
        </w:tc>
        <w:tc>
          <w:tcPr>
            <w:tcW w:w="1890" w:type="dxa"/>
            <w:tcBorders>
              <w:bottom w:val="single" w:sz="4" w:space="0" w:color="auto"/>
            </w:tcBorders>
          </w:tcPr>
          <w:p w14:paraId="5FA0DCBC"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(64,375,898)</w:t>
            </w:r>
          </w:p>
        </w:tc>
      </w:tr>
      <w:tr w:rsidR="009810A5" w:rsidRPr="009810A5" w14:paraId="24F2B25D" w14:textId="77777777" w:rsidTr="004F5282">
        <w:trPr>
          <w:trHeight w:hRule="exact" w:val="230"/>
        </w:trPr>
        <w:tc>
          <w:tcPr>
            <w:tcW w:w="6120" w:type="dxa"/>
            <w:gridSpan w:val="3"/>
          </w:tcPr>
          <w:p w14:paraId="0D17290F" w14:textId="77777777" w:rsidR="009810A5" w:rsidRPr="009810A5" w:rsidRDefault="009810A5" w:rsidP="009810A5">
            <w:pPr>
              <w:rPr>
                <w:snapToGrid w:val="0"/>
                <w:color w:val="000000"/>
                <w:sz w:val="20"/>
                <w:szCs w:val="20"/>
              </w:rPr>
            </w:pPr>
            <w:r w:rsidRPr="009810A5">
              <w:rPr>
                <w:snapToGrid w:val="0"/>
                <w:color w:val="000000"/>
                <w:sz w:val="20"/>
                <w:szCs w:val="20"/>
              </w:rPr>
              <w:t>Total stockholders’ equity</w:t>
            </w:r>
          </w:p>
        </w:tc>
        <w:tc>
          <w:tcPr>
            <w:tcW w:w="90" w:type="dxa"/>
          </w:tcPr>
          <w:p w14:paraId="4C8EEEB4" w14:textId="77777777" w:rsidR="009810A5" w:rsidRPr="009810A5" w:rsidRDefault="009810A5" w:rsidP="009810A5">
            <w:pPr>
              <w:jc w:val="right"/>
              <w:rPr>
                <w:snapToGrid w:val="0"/>
                <w:color w:val="000000"/>
                <w:sz w:val="20"/>
                <w:szCs w:val="20"/>
              </w:rPr>
            </w:pPr>
          </w:p>
        </w:tc>
        <w:tc>
          <w:tcPr>
            <w:tcW w:w="1710" w:type="dxa"/>
            <w:tcBorders>
              <w:bottom w:val="single" w:sz="4" w:space="0" w:color="auto"/>
            </w:tcBorders>
          </w:tcPr>
          <w:p w14:paraId="22684975" w14:textId="77777777" w:rsidR="009810A5" w:rsidRPr="009810A5" w:rsidRDefault="009810A5" w:rsidP="009810A5">
            <w:pPr>
              <w:tabs>
                <w:tab w:val="decimal" w:pos="1320"/>
              </w:tabs>
              <w:rPr>
                <w:snapToGrid w:val="0"/>
                <w:color w:val="000000"/>
                <w:sz w:val="20"/>
                <w:szCs w:val="20"/>
              </w:rPr>
            </w:pPr>
            <w:r w:rsidRPr="009810A5">
              <w:rPr>
                <w:snapToGrid w:val="0"/>
                <w:color w:val="000000"/>
                <w:sz w:val="20"/>
                <w:szCs w:val="20"/>
              </w:rPr>
              <w:t>11,353,652</w:t>
            </w:r>
          </w:p>
        </w:tc>
        <w:tc>
          <w:tcPr>
            <w:tcW w:w="270" w:type="dxa"/>
          </w:tcPr>
          <w:p w14:paraId="15D6CDB8" w14:textId="77777777" w:rsidR="009810A5" w:rsidRPr="009810A5" w:rsidRDefault="009810A5" w:rsidP="009810A5">
            <w:pPr>
              <w:jc w:val="right"/>
              <w:rPr>
                <w:snapToGrid w:val="0"/>
                <w:color w:val="000000"/>
                <w:sz w:val="20"/>
                <w:szCs w:val="20"/>
              </w:rPr>
            </w:pPr>
          </w:p>
        </w:tc>
        <w:tc>
          <w:tcPr>
            <w:tcW w:w="1890" w:type="dxa"/>
            <w:tcBorders>
              <w:bottom w:val="single" w:sz="4" w:space="0" w:color="auto"/>
            </w:tcBorders>
          </w:tcPr>
          <w:p w14:paraId="6C9ED8DE" w14:textId="77777777" w:rsidR="009810A5" w:rsidRPr="009810A5" w:rsidRDefault="009810A5" w:rsidP="009810A5">
            <w:pPr>
              <w:tabs>
                <w:tab w:val="decimal" w:pos="1500"/>
              </w:tabs>
              <w:rPr>
                <w:snapToGrid w:val="0"/>
                <w:color w:val="000000"/>
                <w:sz w:val="20"/>
                <w:szCs w:val="20"/>
              </w:rPr>
            </w:pPr>
            <w:r w:rsidRPr="009810A5">
              <w:rPr>
                <w:snapToGrid w:val="0"/>
                <w:color w:val="000000"/>
                <w:sz w:val="20"/>
                <w:szCs w:val="20"/>
              </w:rPr>
              <w:t>4,361,704</w:t>
            </w:r>
          </w:p>
        </w:tc>
      </w:tr>
      <w:tr w:rsidR="009810A5" w:rsidRPr="009810A5" w14:paraId="001D3A80" w14:textId="77777777" w:rsidTr="004F5282">
        <w:trPr>
          <w:trHeight w:hRule="exact" w:val="230"/>
        </w:trPr>
        <w:tc>
          <w:tcPr>
            <w:tcW w:w="305" w:type="dxa"/>
          </w:tcPr>
          <w:p w14:paraId="0DB15B0D" w14:textId="77777777" w:rsidR="009810A5" w:rsidRPr="009810A5" w:rsidRDefault="009810A5" w:rsidP="009810A5">
            <w:pPr>
              <w:jc w:val="right"/>
              <w:rPr>
                <w:snapToGrid w:val="0"/>
                <w:color w:val="000000"/>
                <w:sz w:val="20"/>
                <w:szCs w:val="20"/>
              </w:rPr>
            </w:pPr>
          </w:p>
        </w:tc>
        <w:tc>
          <w:tcPr>
            <w:tcW w:w="302" w:type="dxa"/>
          </w:tcPr>
          <w:p w14:paraId="67FEBD37" w14:textId="77777777" w:rsidR="009810A5" w:rsidRPr="009810A5" w:rsidRDefault="009810A5" w:rsidP="009810A5">
            <w:pPr>
              <w:jc w:val="right"/>
              <w:rPr>
                <w:snapToGrid w:val="0"/>
                <w:color w:val="000000"/>
                <w:sz w:val="20"/>
                <w:szCs w:val="20"/>
              </w:rPr>
            </w:pPr>
          </w:p>
        </w:tc>
        <w:tc>
          <w:tcPr>
            <w:tcW w:w="5513" w:type="dxa"/>
          </w:tcPr>
          <w:p w14:paraId="32ADC95D" w14:textId="77777777" w:rsidR="009810A5" w:rsidRPr="009810A5" w:rsidRDefault="009810A5" w:rsidP="009810A5">
            <w:pPr>
              <w:jc w:val="right"/>
              <w:rPr>
                <w:snapToGrid w:val="0"/>
                <w:color w:val="000000"/>
                <w:sz w:val="20"/>
                <w:szCs w:val="20"/>
              </w:rPr>
            </w:pPr>
          </w:p>
        </w:tc>
        <w:tc>
          <w:tcPr>
            <w:tcW w:w="90" w:type="dxa"/>
          </w:tcPr>
          <w:p w14:paraId="5012BB38" w14:textId="77777777" w:rsidR="009810A5" w:rsidRPr="009810A5" w:rsidRDefault="009810A5" w:rsidP="009810A5">
            <w:pPr>
              <w:jc w:val="right"/>
              <w:rPr>
                <w:snapToGrid w:val="0"/>
                <w:color w:val="000000"/>
                <w:sz w:val="20"/>
                <w:szCs w:val="20"/>
              </w:rPr>
            </w:pPr>
          </w:p>
        </w:tc>
        <w:tc>
          <w:tcPr>
            <w:tcW w:w="1710" w:type="dxa"/>
            <w:tcBorders>
              <w:top w:val="single" w:sz="4" w:space="0" w:color="auto"/>
            </w:tcBorders>
          </w:tcPr>
          <w:p w14:paraId="79A5234A" w14:textId="77777777" w:rsidR="009810A5" w:rsidRPr="009810A5" w:rsidRDefault="009810A5" w:rsidP="009810A5">
            <w:pPr>
              <w:tabs>
                <w:tab w:val="decimal" w:pos="1320"/>
              </w:tabs>
              <w:rPr>
                <w:snapToGrid w:val="0"/>
                <w:color w:val="000000"/>
                <w:sz w:val="20"/>
                <w:szCs w:val="20"/>
              </w:rPr>
            </w:pPr>
          </w:p>
        </w:tc>
        <w:tc>
          <w:tcPr>
            <w:tcW w:w="270" w:type="dxa"/>
          </w:tcPr>
          <w:p w14:paraId="4F47C6D1" w14:textId="77777777" w:rsidR="009810A5" w:rsidRPr="009810A5" w:rsidRDefault="009810A5" w:rsidP="009810A5">
            <w:pPr>
              <w:jc w:val="right"/>
              <w:rPr>
                <w:snapToGrid w:val="0"/>
                <w:color w:val="000000"/>
                <w:sz w:val="20"/>
                <w:szCs w:val="20"/>
              </w:rPr>
            </w:pPr>
          </w:p>
        </w:tc>
        <w:tc>
          <w:tcPr>
            <w:tcW w:w="1890" w:type="dxa"/>
            <w:tcBorders>
              <w:top w:val="single" w:sz="4" w:space="0" w:color="auto"/>
            </w:tcBorders>
          </w:tcPr>
          <w:p w14:paraId="0FA3205D" w14:textId="77777777" w:rsidR="009810A5" w:rsidRPr="009810A5" w:rsidRDefault="009810A5" w:rsidP="009810A5">
            <w:pPr>
              <w:tabs>
                <w:tab w:val="decimal" w:pos="1195"/>
              </w:tabs>
              <w:jc w:val="right"/>
              <w:rPr>
                <w:snapToGrid w:val="0"/>
                <w:color w:val="000000"/>
                <w:sz w:val="20"/>
                <w:szCs w:val="20"/>
              </w:rPr>
            </w:pPr>
          </w:p>
        </w:tc>
      </w:tr>
      <w:tr w:rsidR="009810A5" w:rsidRPr="009810A5" w14:paraId="03E45EA7" w14:textId="77777777" w:rsidTr="004F5282">
        <w:trPr>
          <w:trHeight w:hRule="exact" w:val="230"/>
        </w:trPr>
        <w:tc>
          <w:tcPr>
            <w:tcW w:w="6120" w:type="dxa"/>
            <w:gridSpan w:val="3"/>
          </w:tcPr>
          <w:p w14:paraId="7C59E224" w14:textId="77777777" w:rsidR="009810A5" w:rsidRPr="009810A5" w:rsidRDefault="009810A5" w:rsidP="009810A5">
            <w:pPr>
              <w:rPr>
                <w:snapToGrid w:val="0"/>
                <w:color w:val="000000"/>
                <w:sz w:val="20"/>
                <w:szCs w:val="20"/>
              </w:rPr>
            </w:pPr>
            <w:r w:rsidRPr="009810A5">
              <w:rPr>
                <w:snapToGrid w:val="0"/>
                <w:color w:val="000000"/>
                <w:sz w:val="20"/>
                <w:szCs w:val="20"/>
              </w:rPr>
              <w:t>Total liabilities and stockholders’ equity</w:t>
            </w:r>
          </w:p>
        </w:tc>
        <w:tc>
          <w:tcPr>
            <w:tcW w:w="90" w:type="dxa"/>
          </w:tcPr>
          <w:p w14:paraId="1F456E47" w14:textId="77777777" w:rsidR="009810A5" w:rsidRPr="009810A5" w:rsidRDefault="009810A5" w:rsidP="009810A5">
            <w:pPr>
              <w:jc w:val="right"/>
              <w:rPr>
                <w:snapToGrid w:val="0"/>
                <w:color w:val="000000"/>
                <w:sz w:val="20"/>
                <w:szCs w:val="20"/>
              </w:rPr>
            </w:pPr>
          </w:p>
        </w:tc>
        <w:tc>
          <w:tcPr>
            <w:tcW w:w="1710" w:type="dxa"/>
          </w:tcPr>
          <w:p w14:paraId="45A44A92" w14:textId="77777777" w:rsidR="009810A5" w:rsidRPr="009810A5" w:rsidRDefault="009810A5" w:rsidP="009810A5">
            <w:pPr>
              <w:tabs>
                <w:tab w:val="left" w:pos="115"/>
                <w:tab w:val="decimal" w:pos="1320"/>
              </w:tabs>
              <w:rPr>
                <w:snapToGrid w:val="0"/>
                <w:color w:val="000000"/>
                <w:sz w:val="20"/>
                <w:szCs w:val="20"/>
              </w:rPr>
            </w:pPr>
            <w:r w:rsidRPr="009810A5">
              <w:rPr>
                <w:snapToGrid w:val="0"/>
                <w:color w:val="000000"/>
                <w:sz w:val="20"/>
                <w:szCs w:val="20"/>
              </w:rPr>
              <w:t>$</w:t>
            </w:r>
            <w:r w:rsidRPr="009810A5">
              <w:rPr>
                <w:snapToGrid w:val="0"/>
                <w:color w:val="000000"/>
                <w:sz w:val="20"/>
                <w:szCs w:val="20"/>
              </w:rPr>
              <w:tab/>
            </w:r>
            <w:r w:rsidRPr="009810A5">
              <w:rPr>
                <w:snapToGrid w:val="0"/>
                <w:color w:val="000000"/>
                <w:sz w:val="20"/>
                <w:szCs w:val="20"/>
              </w:rPr>
              <w:tab/>
              <w:t>16,854,755</w:t>
            </w:r>
          </w:p>
        </w:tc>
        <w:tc>
          <w:tcPr>
            <w:tcW w:w="270" w:type="dxa"/>
          </w:tcPr>
          <w:p w14:paraId="4ACDA665" w14:textId="77777777" w:rsidR="009810A5" w:rsidRPr="009810A5" w:rsidRDefault="009810A5" w:rsidP="009810A5">
            <w:pPr>
              <w:jc w:val="right"/>
              <w:rPr>
                <w:snapToGrid w:val="0"/>
                <w:color w:val="000000"/>
                <w:sz w:val="20"/>
                <w:szCs w:val="20"/>
              </w:rPr>
            </w:pPr>
          </w:p>
        </w:tc>
        <w:tc>
          <w:tcPr>
            <w:tcW w:w="1890" w:type="dxa"/>
          </w:tcPr>
          <w:p w14:paraId="4E7544FC" w14:textId="77777777" w:rsidR="009810A5" w:rsidRPr="009810A5" w:rsidRDefault="009810A5" w:rsidP="009810A5">
            <w:pPr>
              <w:tabs>
                <w:tab w:val="left" w:pos="115"/>
                <w:tab w:val="decimal" w:pos="1500"/>
              </w:tabs>
              <w:rPr>
                <w:snapToGrid w:val="0"/>
                <w:color w:val="000000"/>
                <w:sz w:val="20"/>
                <w:szCs w:val="20"/>
              </w:rPr>
            </w:pPr>
            <w:r w:rsidRPr="009810A5">
              <w:rPr>
                <w:snapToGrid w:val="0"/>
                <w:color w:val="000000"/>
                <w:sz w:val="20"/>
                <w:szCs w:val="20"/>
              </w:rPr>
              <w:t>$</w:t>
            </w:r>
            <w:r w:rsidRPr="009810A5">
              <w:rPr>
                <w:snapToGrid w:val="0"/>
                <w:color w:val="000000"/>
                <w:sz w:val="20"/>
                <w:szCs w:val="20"/>
              </w:rPr>
              <w:tab/>
            </w:r>
            <w:r w:rsidRPr="009810A5">
              <w:rPr>
                <w:snapToGrid w:val="0"/>
                <w:color w:val="000000"/>
                <w:sz w:val="20"/>
                <w:szCs w:val="20"/>
              </w:rPr>
              <w:tab/>
              <w:t>11,797,064</w:t>
            </w:r>
          </w:p>
        </w:tc>
      </w:tr>
      <w:tr w:rsidR="009810A5" w:rsidRPr="009810A5" w14:paraId="36BFFAB8" w14:textId="77777777" w:rsidTr="004F5282">
        <w:trPr>
          <w:trHeight w:hRule="exact" w:val="230"/>
        </w:trPr>
        <w:tc>
          <w:tcPr>
            <w:tcW w:w="305" w:type="dxa"/>
          </w:tcPr>
          <w:p w14:paraId="6B0FDDBE" w14:textId="77777777" w:rsidR="009810A5" w:rsidRPr="009810A5" w:rsidRDefault="009810A5" w:rsidP="009810A5">
            <w:pPr>
              <w:jc w:val="right"/>
              <w:rPr>
                <w:snapToGrid w:val="0"/>
                <w:color w:val="000000"/>
                <w:sz w:val="20"/>
                <w:szCs w:val="20"/>
              </w:rPr>
            </w:pPr>
          </w:p>
        </w:tc>
        <w:tc>
          <w:tcPr>
            <w:tcW w:w="302" w:type="dxa"/>
          </w:tcPr>
          <w:p w14:paraId="5ABAC140" w14:textId="77777777" w:rsidR="009810A5" w:rsidRPr="009810A5" w:rsidRDefault="009810A5" w:rsidP="009810A5">
            <w:pPr>
              <w:jc w:val="right"/>
              <w:rPr>
                <w:snapToGrid w:val="0"/>
                <w:color w:val="000000"/>
                <w:sz w:val="20"/>
                <w:szCs w:val="20"/>
              </w:rPr>
            </w:pPr>
          </w:p>
        </w:tc>
        <w:tc>
          <w:tcPr>
            <w:tcW w:w="5513" w:type="dxa"/>
          </w:tcPr>
          <w:p w14:paraId="49949E93" w14:textId="77777777" w:rsidR="009810A5" w:rsidRPr="009810A5" w:rsidRDefault="009810A5" w:rsidP="009810A5">
            <w:pPr>
              <w:jc w:val="right"/>
              <w:rPr>
                <w:snapToGrid w:val="0"/>
                <w:color w:val="000000"/>
                <w:sz w:val="20"/>
                <w:szCs w:val="20"/>
              </w:rPr>
            </w:pPr>
          </w:p>
        </w:tc>
        <w:tc>
          <w:tcPr>
            <w:tcW w:w="90" w:type="dxa"/>
          </w:tcPr>
          <w:p w14:paraId="65943D93" w14:textId="77777777" w:rsidR="009810A5" w:rsidRPr="009810A5" w:rsidRDefault="009810A5" w:rsidP="009810A5">
            <w:pPr>
              <w:jc w:val="right"/>
              <w:rPr>
                <w:snapToGrid w:val="0"/>
                <w:color w:val="000000"/>
                <w:sz w:val="20"/>
                <w:szCs w:val="20"/>
              </w:rPr>
            </w:pPr>
          </w:p>
        </w:tc>
        <w:tc>
          <w:tcPr>
            <w:tcW w:w="1710" w:type="dxa"/>
            <w:tcBorders>
              <w:top w:val="double" w:sz="6" w:space="0" w:color="auto"/>
            </w:tcBorders>
          </w:tcPr>
          <w:p w14:paraId="030B17E2" w14:textId="77777777" w:rsidR="009810A5" w:rsidRPr="009810A5" w:rsidRDefault="009810A5" w:rsidP="009810A5">
            <w:pPr>
              <w:jc w:val="right"/>
              <w:rPr>
                <w:snapToGrid w:val="0"/>
                <w:color w:val="000000"/>
                <w:sz w:val="20"/>
                <w:szCs w:val="20"/>
              </w:rPr>
            </w:pPr>
          </w:p>
        </w:tc>
        <w:tc>
          <w:tcPr>
            <w:tcW w:w="270" w:type="dxa"/>
          </w:tcPr>
          <w:p w14:paraId="5B9FE6A8" w14:textId="77777777" w:rsidR="009810A5" w:rsidRPr="009810A5" w:rsidRDefault="009810A5" w:rsidP="009810A5">
            <w:pPr>
              <w:jc w:val="right"/>
              <w:rPr>
                <w:snapToGrid w:val="0"/>
                <w:color w:val="000000"/>
                <w:sz w:val="20"/>
                <w:szCs w:val="20"/>
              </w:rPr>
            </w:pPr>
          </w:p>
        </w:tc>
        <w:tc>
          <w:tcPr>
            <w:tcW w:w="1890" w:type="dxa"/>
            <w:tcBorders>
              <w:top w:val="double" w:sz="6" w:space="0" w:color="auto"/>
            </w:tcBorders>
          </w:tcPr>
          <w:p w14:paraId="2060A5A9" w14:textId="77777777" w:rsidR="009810A5" w:rsidRPr="009810A5" w:rsidRDefault="009810A5" w:rsidP="009810A5">
            <w:pPr>
              <w:jc w:val="right"/>
              <w:rPr>
                <w:snapToGrid w:val="0"/>
                <w:color w:val="000000"/>
                <w:sz w:val="20"/>
                <w:szCs w:val="20"/>
              </w:rPr>
            </w:pPr>
          </w:p>
        </w:tc>
      </w:tr>
    </w:tbl>
    <w:p w14:paraId="7E0232C4" w14:textId="77777777" w:rsidR="009810A5" w:rsidRPr="009810A5" w:rsidRDefault="009810A5" w:rsidP="009810A5">
      <w:pPr>
        <w:tabs>
          <w:tab w:val="left" w:pos="1080"/>
          <w:tab w:val="left" w:pos="1260"/>
          <w:tab w:val="left" w:pos="2340"/>
          <w:tab w:val="right" w:pos="9180"/>
        </w:tabs>
        <w:ind w:right="54"/>
        <w:jc w:val="center"/>
        <w:rPr>
          <w:snapToGrid w:val="0"/>
          <w:color w:val="000000"/>
          <w:sz w:val="20"/>
          <w:szCs w:val="20"/>
        </w:rPr>
      </w:pPr>
    </w:p>
    <w:p w14:paraId="356285CF" w14:textId="77777777" w:rsidR="009810A5" w:rsidRPr="009810A5" w:rsidRDefault="009810A5" w:rsidP="009810A5">
      <w:pPr>
        <w:tabs>
          <w:tab w:val="left" w:pos="1080"/>
          <w:tab w:val="left" w:pos="1260"/>
          <w:tab w:val="left" w:pos="2340"/>
          <w:tab w:val="right" w:pos="9180"/>
        </w:tabs>
        <w:ind w:right="54"/>
        <w:jc w:val="center"/>
        <w:rPr>
          <w:snapToGrid w:val="0"/>
          <w:color w:val="000000"/>
          <w:sz w:val="20"/>
          <w:szCs w:val="20"/>
        </w:rPr>
      </w:pPr>
    </w:p>
    <w:p w14:paraId="1FB432BD" w14:textId="77777777" w:rsidR="009810A5" w:rsidRPr="009810A5" w:rsidRDefault="009810A5" w:rsidP="009810A5">
      <w:pPr>
        <w:tabs>
          <w:tab w:val="left" w:pos="1080"/>
          <w:tab w:val="left" w:pos="1260"/>
          <w:tab w:val="left" w:pos="2340"/>
          <w:tab w:val="right" w:pos="9180"/>
        </w:tabs>
        <w:ind w:right="54"/>
        <w:jc w:val="center"/>
        <w:rPr>
          <w:snapToGrid w:val="0"/>
          <w:color w:val="000000"/>
          <w:sz w:val="20"/>
          <w:szCs w:val="20"/>
        </w:rPr>
      </w:pPr>
      <w:r w:rsidRPr="009810A5">
        <w:rPr>
          <w:snapToGrid w:val="0"/>
          <w:color w:val="000000"/>
          <w:sz w:val="20"/>
          <w:szCs w:val="20"/>
        </w:rPr>
        <w:t>See accompanying notes to condensed consolidated financial statements.</w:t>
      </w:r>
    </w:p>
    <w:p w14:paraId="5076B90E" w14:textId="77777777" w:rsidR="001A664B" w:rsidRDefault="001A664B" w:rsidP="001A664B">
      <w:pPr>
        <w:ind w:left="144" w:right="144"/>
        <w:rPr>
          <w:sz w:val="20"/>
          <w:szCs w:val="20"/>
        </w:rPr>
      </w:pPr>
      <w:r>
        <w:rPr>
          <w:sz w:val="20"/>
          <w:szCs w:val="20"/>
        </w:rPr>
        <w:t xml:space="preserve">  </w:t>
      </w:r>
    </w:p>
    <w:p w14:paraId="75A63C7D" w14:textId="77777777" w:rsidR="001A664B" w:rsidRDefault="001A664B">
      <w:pPr>
        <w:rPr>
          <w:b/>
          <w:bCs/>
          <w:sz w:val="20"/>
          <w:szCs w:val="20"/>
        </w:rPr>
      </w:pPr>
      <w:r>
        <w:rPr>
          <w:b/>
          <w:bCs/>
          <w:sz w:val="20"/>
          <w:szCs w:val="20"/>
        </w:rPr>
        <w:br w:type="page"/>
      </w:r>
    </w:p>
    <w:p w14:paraId="0E9143E3" w14:textId="77777777" w:rsidR="009810A5" w:rsidRPr="009810A5" w:rsidRDefault="009810A5" w:rsidP="009810A5">
      <w:pPr>
        <w:tabs>
          <w:tab w:val="left" w:pos="1080"/>
          <w:tab w:val="left" w:pos="1260"/>
          <w:tab w:val="left" w:pos="2340"/>
          <w:tab w:val="right" w:pos="9180"/>
        </w:tabs>
        <w:ind w:right="-360"/>
        <w:jc w:val="center"/>
        <w:rPr>
          <w:b/>
          <w:sz w:val="20"/>
          <w:szCs w:val="20"/>
        </w:rPr>
      </w:pPr>
      <w:r w:rsidRPr="009810A5">
        <w:rPr>
          <w:b/>
          <w:sz w:val="20"/>
          <w:szCs w:val="20"/>
        </w:rPr>
        <w:lastRenderedPageBreak/>
        <w:t>GEOVAX LABS, INC.</w:t>
      </w:r>
    </w:p>
    <w:p w14:paraId="75E619BA" w14:textId="77777777" w:rsidR="009810A5" w:rsidRPr="009810A5" w:rsidRDefault="009810A5" w:rsidP="009810A5">
      <w:pPr>
        <w:tabs>
          <w:tab w:val="left" w:pos="1080"/>
          <w:tab w:val="left" w:pos="1260"/>
          <w:tab w:val="left" w:pos="2340"/>
          <w:tab w:val="right" w:pos="9180"/>
        </w:tabs>
        <w:ind w:right="-360"/>
        <w:jc w:val="center"/>
        <w:rPr>
          <w:b/>
          <w:sz w:val="20"/>
          <w:szCs w:val="20"/>
        </w:rPr>
      </w:pPr>
      <w:r w:rsidRPr="009810A5">
        <w:rPr>
          <w:b/>
          <w:sz w:val="20"/>
          <w:szCs w:val="20"/>
        </w:rPr>
        <w:t>CONDENSED CONSOLIDATED STATEMENTS OF OPERATIONS</w:t>
      </w:r>
    </w:p>
    <w:p w14:paraId="1775F29A" w14:textId="77777777" w:rsidR="009810A5" w:rsidRPr="009810A5" w:rsidRDefault="009810A5" w:rsidP="009810A5">
      <w:pPr>
        <w:tabs>
          <w:tab w:val="left" w:pos="1080"/>
          <w:tab w:val="left" w:pos="1260"/>
          <w:tab w:val="left" w:pos="2340"/>
          <w:tab w:val="right" w:pos="9180"/>
        </w:tabs>
        <w:ind w:right="-360"/>
        <w:jc w:val="center"/>
        <w:rPr>
          <w:b/>
          <w:sz w:val="20"/>
          <w:szCs w:val="20"/>
        </w:rPr>
      </w:pPr>
      <w:r w:rsidRPr="009810A5">
        <w:rPr>
          <w:b/>
          <w:sz w:val="20"/>
          <w:szCs w:val="20"/>
        </w:rPr>
        <w:t>(Unaudited)</w:t>
      </w:r>
    </w:p>
    <w:p w14:paraId="22E8C581" w14:textId="77777777" w:rsidR="009810A5" w:rsidRPr="009810A5" w:rsidRDefault="009810A5" w:rsidP="009810A5">
      <w:pPr>
        <w:tabs>
          <w:tab w:val="left" w:pos="1080"/>
          <w:tab w:val="left" w:pos="1260"/>
          <w:tab w:val="left" w:pos="2340"/>
          <w:tab w:val="right" w:pos="9180"/>
        </w:tabs>
        <w:ind w:right="-360"/>
        <w:jc w:val="center"/>
        <w:rPr>
          <w:sz w:val="20"/>
          <w:szCs w:val="20"/>
        </w:rPr>
      </w:pPr>
    </w:p>
    <w:p w14:paraId="56EDAB3F" w14:textId="77777777" w:rsidR="009810A5" w:rsidRPr="009810A5" w:rsidRDefault="009810A5" w:rsidP="009810A5">
      <w:pPr>
        <w:tabs>
          <w:tab w:val="left" w:pos="1080"/>
          <w:tab w:val="left" w:pos="1260"/>
          <w:tab w:val="left" w:pos="2340"/>
          <w:tab w:val="right" w:pos="9180"/>
        </w:tabs>
        <w:ind w:right="-360"/>
        <w:rPr>
          <w:sz w:val="20"/>
          <w:szCs w:val="20"/>
        </w:rPr>
      </w:pPr>
    </w:p>
    <w:tbl>
      <w:tblPr>
        <w:tblW w:w="10188" w:type="dxa"/>
        <w:tblLayout w:type="fixed"/>
        <w:tblLook w:val="01E0" w:firstRow="1" w:lastRow="1" w:firstColumn="1" w:lastColumn="1" w:noHBand="0" w:noVBand="0"/>
      </w:tblPr>
      <w:tblGrid>
        <w:gridCol w:w="375"/>
        <w:gridCol w:w="448"/>
        <w:gridCol w:w="448"/>
        <w:gridCol w:w="1960"/>
        <w:gridCol w:w="537"/>
        <w:gridCol w:w="537"/>
        <w:gridCol w:w="1960"/>
        <w:gridCol w:w="1782"/>
        <w:gridCol w:w="359"/>
        <w:gridCol w:w="1782"/>
      </w:tblGrid>
      <w:tr w:rsidR="009810A5" w:rsidRPr="009810A5" w14:paraId="29D325D2" w14:textId="77777777" w:rsidTr="004F5282">
        <w:trPr>
          <w:trHeight w:val="230"/>
        </w:trPr>
        <w:tc>
          <w:tcPr>
            <w:tcW w:w="3231" w:type="dxa"/>
            <w:gridSpan w:val="4"/>
          </w:tcPr>
          <w:p w14:paraId="76CF715E" w14:textId="77777777" w:rsidR="009810A5" w:rsidRPr="009810A5" w:rsidRDefault="009810A5" w:rsidP="009810A5">
            <w:pPr>
              <w:tabs>
                <w:tab w:val="right" w:pos="9180"/>
              </w:tabs>
              <w:ind w:right="-360"/>
              <w:rPr>
                <w:sz w:val="20"/>
                <w:szCs w:val="20"/>
              </w:rPr>
            </w:pPr>
          </w:p>
        </w:tc>
        <w:tc>
          <w:tcPr>
            <w:tcW w:w="537" w:type="dxa"/>
          </w:tcPr>
          <w:p w14:paraId="0F3D090E" w14:textId="77777777" w:rsidR="009810A5" w:rsidRPr="009810A5" w:rsidRDefault="009810A5" w:rsidP="009810A5">
            <w:pPr>
              <w:tabs>
                <w:tab w:val="right" w:pos="9180"/>
              </w:tabs>
              <w:ind w:right="-18"/>
              <w:rPr>
                <w:sz w:val="20"/>
                <w:szCs w:val="20"/>
              </w:rPr>
            </w:pPr>
          </w:p>
        </w:tc>
        <w:tc>
          <w:tcPr>
            <w:tcW w:w="537" w:type="dxa"/>
          </w:tcPr>
          <w:p w14:paraId="339112C3" w14:textId="77777777" w:rsidR="009810A5" w:rsidRPr="009810A5" w:rsidRDefault="009810A5" w:rsidP="009810A5">
            <w:pPr>
              <w:tabs>
                <w:tab w:val="right" w:pos="9180"/>
              </w:tabs>
              <w:ind w:right="-360"/>
              <w:rPr>
                <w:sz w:val="20"/>
                <w:szCs w:val="20"/>
              </w:rPr>
            </w:pPr>
          </w:p>
        </w:tc>
        <w:tc>
          <w:tcPr>
            <w:tcW w:w="1960" w:type="dxa"/>
          </w:tcPr>
          <w:p w14:paraId="5F8990EA" w14:textId="77777777" w:rsidR="009810A5" w:rsidRPr="009810A5" w:rsidRDefault="009810A5" w:rsidP="009810A5">
            <w:pPr>
              <w:tabs>
                <w:tab w:val="right" w:pos="9180"/>
              </w:tabs>
              <w:ind w:right="-360"/>
              <w:rPr>
                <w:sz w:val="20"/>
                <w:szCs w:val="20"/>
              </w:rPr>
            </w:pPr>
          </w:p>
        </w:tc>
        <w:tc>
          <w:tcPr>
            <w:tcW w:w="1782" w:type="dxa"/>
          </w:tcPr>
          <w:p w14:paraId="3B894530" w14:textId="77777777" w:rsidR="009810A5" w:rsidRPr="009810A5" w:rsidRDefault="009810A5" w:rsidP="009810A5">
            <w:pPr>
              <w:tabs>
                <w:tab w:val="decimal" w:pos="1295"/>
                <w:tab w:val="right" w:pos="9180"/>
              </w:tabs>
              <w:ind w:right="-18"/>
              <w:rPr>
                <w:sz w:val="20"/>
                <w:szCs w:val="20"/>
              </w:rPr>
            </w:pPr>
          </w:p>
        </w:tc>
        <w:tc>
          <w:tcPr>
            <w:tcW w:w="359" w:type="dxa"/>
          </w:tcPr>
          <w:p w14:paraId="1C3016A9" w14:textId="77777777" w:rsidR="009810A5" w:rsidRPr="009810A5" w:rsidRDefault="009810A5" w:rsidP="009810A5">
            <w:pPr>
              <w:tabs>
                <w:tab w:val="right" w:pos="9180"/>
              </w:tabs>
              <w:ind w:right="-360"/>
              <w:rPr>
                <w:sz w:val="20"/>
                <w:szCs w:val="20"/>
              </w:rPr>
            </w:pPr>
          </w:p>
        </w:tc>
        <w:tc>
          <w:tcPr>
            <w:tcW w:w="1782" w:type="dxa"/>
          </w:tcPr>
          <w:p w14:paraId="7BE20B29" w14:textId="77777777" w:rsidR="009810A5" w:rsidRPr="009810A5" w:rsidRDefault="009810A5" w:rsidP="009810A5">
            <w:pPr>
              <w:tabs>
                <w:tab w:val="decimal" w:pos="1314"/>
                <w:tab w:val="right" w:pos="9180"/>
              </w:tabs>
              <w:ind w:right="-18"/>
              <w:rPr>
                <w:sz w:val="20"/>
                <w:szCs w:val="20"/>
              </w:rPr>
            </w:pPr>
          </w:p>
        </w:tc>
      </w:tr>
      <w:tr w:rsidR="009810A5" w:rsidRPr="009810A5" w14:paraId="1B6CA80E" w14:textId="77777777" w:rsidTr="004F5282">
        <w:trPr>
          <w:trHeight w:val="230"/>
        </w:trPr>
        <w:tc>
          <w:tcPr>
            <w:tcW w:w="3231" w:type="dxa"/>
            <w:gridSpan w:val="4"/>
          </w:tcPr>
          <w:p w14:paraId="245EC1EE" w14:textId="77777777" w:rsidR="009810A5" w:rsidRPr="009810A5" w:rsidRDefault="009810A5" w:rsidP="009810A5">
            <w:pPr>
              <w:tabs>
                <w:tab w:val="right" w:pos="9180"/>
              </w:tabs>
              <w:ind w:right="-360"/>
              <w:rPr>
                <w:sz w:val="20"/>
                <w:szCs w:val="20"/>
              </w:rPr>
            </w:pPr>
          </w:p>
        </w:tc>
        <w:tc>
          <w:tcPr>
            <w:tcW w:w="537" w:type="dxa"/>
          </w:tcPr>
          <w:p w14:paraId="62429CBA" w14:textId="77777777" w:rsidR="009810A5" w:rsidRPr="009810A5" w:rsidRDefault="009810A5" w:rsidP="009810A5">
            <w:pPr>
              <w:tabs>
                <w:tab w:val="right" w:pos="9180"/>
              </w:tabs>
              <w:ind w:right="-18"/>
              <w:rPr>
                <w:sz w:val="20"/>
                <w:szCs w:val="20"/>
              </w:rPr>
            </w:pPr>
          </w:p>
        </w:tc>
        <w:tc>
          <w:tcPr>
            <w:tcW w:w="537" w:type="dxa"/>
          </w:tcPr>
          <w:p w14:paraId="30838089" w14:textId="77777777" w:rsidR="009810A5" w:rsidRPr="009810A5" w:rsidRDefault="009810A5" w:rsidP="009810A5">
            <w:pPr>
              <w:tabs>
                <w:tab w:val="right" w:pos="9180"/>
              </w:tabs>
              <w:ind w:right="-360"/>
              <w:rPr>
                <w:sz w:val="20"/>
                <w:szCs w:val="20"/>
              </w:rPr>
            </w:pPr>
          </w:p>
        </w:tc>
        <w:tc>
          <w:tcPr>
            <w:tcW w:w="1960" w:type="dxa"/>
          </w:tcPr>
          <w:p w14:paraId="3FE6D000" w14:textId="77777777" w:rsidR="009810A5" w:rsidRPr="009810A5" w:rsidRDefault="009810A5" w:rsidP="009810A5">
            <w:pPr>
              <w:tabs>
                <w:tab w:val="right" w:pos="9180"/>
              </w:tabs>
              <w:ind w:right="-360"/>
              <w:rPr>
                <w:sz w:val="20"/>
                <w:szCs w:val="20"/>
              </w:rPr>
            </w:pPr>
          </w:p>
        </w:tc>
        <w:tc>
          <w:tcPr>
            <w:tcW w:w="3923" w:type="dxa"/>
            <w:gridSpan w:val="3"/>
            <w:tcBorders>
              <w:bottom w:val="single" w:sz="4" w:space="0" w:color="auto"/>
            </w:tcBorders>
          </w:tcPr>
          <w:p w14:paraId="14C66DBD" w14:textId="77777777" w:rsidR="009810A5" w:rsidRPr="009810A5" w:rsidRDefault="009810A5" w:rsidP="009810A5">
            <w:pPr>
              <w:tabs>
                <w:tab w:val="decimal" w:pos="1314"/>
                <w:tab w:val="right" w:pos="9180"/>
              </w:tabs>
              <w:ind w:right="-18"/>
              <w:jc w:val="center"/>
              <w:rPr>
                <w:sz w:val="20"/>
                <w:szCs w:val="20"/>
              </w:rPr>
            </w:pPr>
            <w:r w:rsidRPr="009810A5">
              <w:rPr>
                <w:sz w:val="20"/>
                <w:szCs w:val="20"/>
              </w:rPr>
              <w:t>Three Months Ended March 31,</w:t>
            </w:r>
          </w:p>
        </w:tc>
      </w:tr>
      <w:tr w:rsidR="009810A5" w:rsidRPr="009810A5" w14:paraId="36FA3361" w14:textId="77777777" w:rsidTr="004F5282">
        <w:trPr>
          <w:trHeight w:val="230"/>
        </w:trPr>
        <w:tc>
          <w:tcPr>
            <w:tcW w:w="3231" w:type="dxa"/>
            <w:gridSpan w:val="4"/>
          </w:tcPr>
          <w:p w14:paraId="3277E400" w14:textId="77777777" w:rsidR="009810A5" w:rsidRPr="009810A5" w:rsidRDefault="009810A5" w:rsidP="009810A5">
            <w:pPr>
              <w:tabs>
                <w:tab w:val="right" w:pos="9180"/>
              </w:tabs>
              <w:ind w:right="-360"/>
              <w:rPr>
                <w:sz w:val="20"/>
                <w:szCs w:val="20"/>
              </w:rPr>
            </w:pPr>
          </w:p>
        </w:tc>
        <w:tc>
          <w:tcPr>
            <w:tcW w:w="537" w:type="dxa"/>
          </w:tcPr>
          <w:p w14:paraId="3C728F58" w14:textId="77777777" w:rsidR="009810A5" w:rsidRPr="009810A5" w:rsidRDefault="009810A5" w:rsidP="009810A5">
            <w:pPr>
              <w:tabs>
                <w:tab w:val="right" w:pos="9180"/>
              </w:tabs>
              <w:ind w:right="-18"/>
              <w:rPr>
                <w:sz w:val="20"/>
                <w:szCs w:val="20"/>
              </w:rPr>
            </w:pPr>
          </w:p>
        </w:tc>
        <w:tc>
          <w:tcPr>
            <w:tcW w:w="537" w:type="dxa"/>
          </w:tcPr>
          <w:p w14:paraId="11F1F76B" w14:textId="77777777" w:rsidR="009810A5" w:rsidRPr="009810A5" w:rsidRDefault="009810A5" w:rsidP="009810A5">
            <w:pPr>
              <w:tabs>
                <w:tab w:val="right" w:pos="9180"/>
              </w:tabs>
              <w:ind w:right="-360"/>
              <w:rPr>
                <w:sz w:val="20"/>
                <w:szCs w:val="20"/>
              </w:rPr>
            </w:pPr>
          </w:p>
        </w:tc>
        <w:tc>
          <w:tcPr>
            <w:tcW w:w="1960" w:type="dxa"/>
          </w:tcPr>
          <w:p w14:paraId="0AAD6C30" w14:textId="77777777" w:rsidR="009810A5" w:rsidRPr="009810A5" w:rsidRDefault="009810A5" w:rsidP="009810A5">
            <w:pPr>
              <w:tabs>
                <w:tab w:val="right" w:pos="9180"/>
              </w:tabs>
              <w:ind w:right="-360"/>
              <w:rPr>
                <w:sz w:val="20"/>
                <w:szCs w:val="20"/>
              </w:rPr>
            </w:pPr>
          </w:p>
        </w:tc>
        <w:tc>
          <w:tcPr>
            <w:tcW w:w="1782" w:type="dxa"/>
            <w:tcBorders>
              <w:top w:val="single" w:sz="4" w:space="0" w:color="auto"/>
              <w:bottom w:val="single" w:sz="4" w:space="0" w:color="auto"/>
            </w:tcBorders>
          </w:tcPr>
          <w:p w14:paraId="3A1C1646" w14:textId="77777777" w:rsidR="009810A5" w:rsidRPr="009810A5" w:rsidRDefault="009810A5" w:rsidP="009810A5">
            <w:pPr>
              <w:tabs>
                <w:tab w:val="decimal" w:pos="1295"/>
                <w:tab w:val="right" w:pos="9180"/>
              </w:tabs>
              <w:ind w:right="-18"/>
              <w:jc w:val="center"/>
              <w:rPr>
                <w:sz w:val="20"/>
                <w:szCs w:val="20"/>
              </w:rPr>
            </w:pPr>
            <w:r w:rsidRPr="009810A5">
              <w:rPr>
                <w:sz w:val="20"/>
                <w:szCs w:val="20"/>
              </w:rPr>
              <w:t>2022</w:t>
            </w:r>
          </w:p>
        </w:tc>
        <w:tc>
          <w:tcPr>
            <w:tcW w:w="359" w:type="dxa"/>
            <w:tcBorders>
              <w:top w:val="single" w:sz="4" w:space="0" w:color="auto"/>
            </w:tcBorders>
          </w:tcPr>
          <w:p w14:paraId="628F550B" w14:textId="77777777" w:rsidR="009810A5" w:rsidRPr="009810A5" w:rsidRDefault="009810A5" w:rsidP="009810A5">
            <w:pPr>
              <w:tabs>
                <w:tab w:val="right" w:pos="9180"/>
              </w:tabs>
              <w:ind w:right="-360"/>
              <w:jc w:val="center"/>
              <w:rPr>
                <w:sz w:val="20"/>
                <w:szCs w:val="20"/>
              </w:rPr>
            </w:pPr>
          </w:p>
        </w:tc>
        <w:tc>
          <w:tcPr>
            <w:tcW w:w="1782" w:type="dxa"/>
            <w:tcBorders>
              <w:top w:val="single" w:sz="4" w:space="0" w:color="auto"/>
              <w:bottom w:val="single" w:sz="4" w:space="0" w:color="auto"/>
            </w:tcBorders>
          </w:tcPr>
          <w:p w14:paraId="2FBE6A21" w14:textId="77777777" w:rsidR="009810A5" w:rsidRPr="009810A5" w:rsidRDefault="009810A5" w:rsidP="009810A5">
            <w:pPr>
              <w:tabs>
                <w:tab w:val="decimal" w:pos="1314"/>
                <w:tab w:val="right" w:pos="9180"/>
              </w:tabs>
              <w:ind w:right="-18"/>
              <w:jc w:val="center"/>
              <w:rPr>
                <w:sz w:val="20"/>
                <w:szCs w:val="20"/>
              </w:rPr>
            </w:pPr>
            <w:r w:rsidRPr="009810A5">
              <w:rPr>
                <w:sz w:val="20"/>
                <w:szCs w:val="20"/>
              </w:rPr>
              <w:t>2021</w:t>
            </w:r>
          </w:p>
        </w:tc>
      </w:tr>
      <w:tr w:rsidR="009810A5" w:rsidRPr="009810A5" w14:paraId="6972442F" w14:textId="77777777" w:rsidTr="004F5282">
        <w:trPr>
          <w:trHeight w:val="230"/>
        </w:trPr>
        <w:tc>
          <w:tcPr>
            <w:tcW w:w="3768" w:type="dxa"/>
            <w:gridSpan w:val="5"/>
          </w:tcPr>
          <w:p w14:paraId="3791DD57" w14:textId="77777777" w:rsidR="009810A5" w:rsidRPr="009810A5" w:rsidRDefault="009810A5" w:rsidP="009810A5">
            <w:pPr>
              <w:tabs>
                <w:tab w:val="right" w:pos="9180"/>
              </w:tabs>
              <w:ind w:right="-18"/>
              <w:rPr>
                <w:sz w:val="20"/>
                <w:szCs w:val="20"/>
              </w:rPr>
            </w:pPr>
            <w:r w:rsidRPr="009810A5">
              <w:rPr>
                <w:sz w:val="20"/>
                <w:szCs w:val="20"/>
              </w:rPr>
              <w:t>Grant revenues</w:t>
            </w:r>
          </w:p>
        </w:tc>
        <w:tc>
          <w:tcPr>
            <w:tcW w:w="537" w:type="dxa"/>
          </w:tcPr>
          <w:p w14:paraId="71E528EC" w14:textId="77777777" w:rsidR="009810A5" w:rsidRPr="009810A5" w:rsidRDefault="009810A5" w:rsidP="009810A5">
            <w:pPr>
              <w:tabs>
                <w:tab w:val="right" w:pos="9180"/>
              </w:tabs>
              <w:ind w:right="-360"/>
              <w:rPr>
                <w:sz w:val="20"/>
                <w:szCs w:val="20"/>
              </w:rPr>
            </w:pPr>
          </w:p>
        </w:tc>
        <w:tc>
          <w:tcPr>
            <w:tcW w:w="1960" w:type="dxa"/>
          </w:tcPr>
          <w:p w14:paraId="7F5FC929" w14:textId="77777777" w:rsidR="009810A5" w:rsidRPr="009810A5" w:rsidRDefault="009810A5" w:rsidP="009810A5">
            <w:pPr>
              <w:tabs>
                <w:tab w:val="right" w:pos="9180"/>
              </w:tabs>
              <w:ind w:right="-360"/>
              <w:rPr>
                <w:sz w:val="20"/>
                <w:szCs w:val="20"/>
              </w:rPr>
            </w:pPr>
          </w:p>
        </w:tc>
        <w:tc>
          <w:tcPr>
            <w:tcW w:w="1782" w:type="dxa"/>
          </w:tcPr>
          <w:p w14:paraId="18B52B99" w14:textId="77777777" w:rsidR="009810A5" w:rsidRPr="009810A5" w:rsidRDefault="009810A5" w:rsidP="009810A5">
            <w:pPr>
              <w:tabs>
                <w:tab w:val="decimal" w:pos="1276"/>
                <w:tab w:val="right" w:pos="9180"/>
              </w:tabs>
              <w:ind w:right="-18"/>
              <w:rPr>
                <w:sz w:val="20"/>
                <w:szCs w:val="20"/>
              </w:rPr>
            </w:pPr>
            <w:r w:rsidRPr="009810A5">
              <w:rPr>
                <w:sz w:val="20"/>
                <w:szCs w:val="20"/>
              </w:rPr>
              <w:t>$</w:t>
            </w:r>
            <w:r w:rsidRPr="009810A5">
              <w:rPr>
                <w:sz w:val="20"/>
                <w:szCs w:val="20"/>
              </w:rPr>
              <w:tab/>
              <w:t>81,526</w:t>
            </w:r>
          </w:p>
        </w:tc>
        <w:tc>
          <w:tcPr>
            <w:tcW w:w="359" w:type="dxa"/>
          </w:tcPr>
          <w:p w14:paraId="7956503D" w14:textId="77777777" w:rsidR="009810A5" w:rsidRPr="009810A5" w:rsidRDefault="009810A5" w:rsidP="009810A5">
            <w:pPr>
              <w:tabs>
                <w:tab w:val="right" w:pos="9180"/>
              </w:tabs>
              <w:ind w:right="-360"/>
              <w:rPr>
                <w:sz w:val="20"/>
                <w:szCs w:val="20"/>
              </w:rPr>
            </w:pPr>
          </w:p>
        </w:tc>
        <w:tc>
          <w:tcPr>
            <w:tcW w:w="1782" w:type="dxa"/>
          </w:tcPr>
          <w:p w14:paraId="7F51352F" w14:textId="77777777" w:rsidR="009810A5" w:rsidRPr="009810A5" w:rsidRDefault="009810A5" w:rsidP="009810A5">
            <w:pPr>
              <w:tabs>
                <w:tab w:val="decimal" w:pos="1295"/>
                <w:tab w:val="right" w:pos="9180"/>
              </w:tabs>
              <w:ind w:right="-18"/>
              <w:rPr>
                <w:sz w:val="20"/>
                <w:szCs w:val="20"/>
              </w:rPr>
            </w:pPr>
            <w:r w:rsidRPr="009810A5">
              <w:rPr>
                <w:sz w:val="20"/>
                <w:szCs w:val="20"/>
              </w:rPr>
              <w:t>$</w:t>
            </w:r>
            <w:r w:rsidRPr="009810A5">
              <w:rPr>
                <w:sz w:val="20"/>
                <w:szCs w:val="20"/>
              </w:rPr>
              <w:tab/>
              <w:t>110,417</w:t>
            </w:r>
          </w:p>
        </w:tc>
      </w:tr>
      <w:tr w:rsidR="009810A5" w:rsidRPr="009810A5" w14:paraId="60FCB95A" w14:textId="77777777" w:rsidTr="004F5282">
        <w:trPr>
          <w:trHeight w:val="230"/>
        </w:trPr>
        <w:tc>
          <w:tcPr>
            <w:tcW w:w="375" w:type="dxa"/>
          </w:tcPr>
          <w:p w14:paraId="5FAE9F81" w14:textId="77777777" w:rsidR="009810A5" w:rsidRPr="009810A5" w:rsidRDefault="009810A5" w:rsidP="009810A5">
            <w:pPr>
              <w:ind w:right="-360"/>
              <w:rPr>
                <w:sz w:val="20"/>
                <w:szCs w:val="20"/>
              </w:rPr>
            </w:pPr>
          </w:p>
        </w:tc>
        <w:tc>
          <w:tcPr>
            <w:tcW w:w="448" w:type="dxa"/>
          </w:tcPr>
          <w:p w14:paraId="492A0F4C" w14:textId="77777777" w:rsidR="009810A5" w:rsidRPr="009810A5" w:rsidRDefault="009810A5" w:rsidP="009810A5">
            <w:pPr>
              <w:ind w:right="-360"/>
              <w:rPr>
                <w:sz w:val="20"/>
                <w:szCs w:val="20"/>
              </w:rPr>
            </w:pPr>
          </w:p>
        </w:tc>
        <w:tc>
          <w:tcPr>
            <w:tcW w:w="448" w:type="dxa"/>
          </w:tcPr>
          <w:p w14:paraId="6D99C4FA" w14:textId="77777777" w:rsidR="009810A5" w:rsidRPr="009810A5" w:rsidRDefault="009810A5" w:rsidP="009810A5">
            <w:pPr>
              <w:ind w:right="-360"/>
              <w:rPr>
                <w:sz w:val="20"/>
                <w:szCs w:val="20"/>
              </w:rPr>
            </w:pPr>
          </w:p>
        </w:tc>
        <w:tc>
          <w:tcPr>
            <w:tcW w:w="1960" w:type="dxa"/>
          </w:tcPr>
          <w:p w14:paraId="3F269A04" w14:textId="77777777" w:rsidR="009810A5" w:rsidRPr="009810A5" w:rsidRDefault="009810A5" w:rsidP="009810A5">
            <w:pPr>
              <w:tabs>
                <w:tab w:val="right" w:pos="9180"/>
              </w:tabs>
              <w:ind w:right="-360"/>
              <w:rPr>
                <w:sz w:val="20"/>
                <w:szCs w:val="20"/>
              </w:rPr>
            </w:pPr>
          </w:p>
        </w:tc>
        <w:tc>
          <w:tcPr>
            <w:tcW w:w="537" w:type="dxa"/>
          </w:tcPr>
          <w:p w14:paraId="46EF5435" w14:textId="77777777" w:rsidR="009810A5" w:rsidRPr="009810A5" w:rsidRDefault="009810A5" w:rsidP="009810A5">
            <w:pPr>
              <w:tabs>
                <w:tab w:val="right" w:pos="9180"/>
              </w:tabs>
              <w:ind w:right="-18"/>
              <w:rPr>
                <w:sz w:val="20"/>
                <w:szCs w:val="20"/>
              </w:rPr>
            </w:pPr>
          </w:p>
        </w:tc>
        <w:tc>
          <w:tcPr>
            <w:tcW w:w="537" w:type="dxa"/>
          </w:tcPr>
          <w:p w14:paraId="667E5D67" w14:textId="77777777" w:rsidR="009810A5" w:rsidRPr="009810A5" w:rsidRDefault="009810A5" w:rsidP="009810A5">
            <w:pPr>
              <w:tabs>
                <w:tab w:val="right" w:pos="9180"/>
              </w:tabs>
              <w:ind w:right="-360"/>
              <w:rPr>
                <w:sz w:val="20"/>
                <w:szCs w:val="20"/>
              </w:rPr>
            </w:pPr>
          </w:p>
        </w:tc>
        <w:tc>
          <w:tcPr>
            <w:tcW w:w="1960" w:type="dxa"/>
          </w:tcPr>
          <w:p w14:paraId="18D224B1" w14:textId="77777777" w:rsidR="009810A5" w:rsidRPr="009810A5" w:rsidRDefault="009810A5" w:rsidP="009810A5">
            <w:pPr>
              <w:tabs>
                <w:tab w:val="right" w:pos="9180"/>
              </w:tabs>
              <w:ind w:right="-360"/>
              <w:rPr>
                <w:sz w:val="20"/>
                <w:szCs w:val="20"/>
              </w:rPr>
            </w:pPr>
          </w:p>
        </w:tc>
        <w:tc>
          <w:tcPr>
            <w:tcW w:w="1782" w:type="dxa"/>
          </w:tcPr>
          <w:p w14:paraId="50D65FD5" w14:textId="77777777" w:rsidR="009810A5" w:rsidRPr="009810A5" w:rsidRDefault="009810A5" w:rsidP="009810A5">
            <w:pPr>
              <w:tabs>
                <w:tab w:val="decimal" w:pos="1062"/>
                <w:tab w:val="right" w:pos="9180"/>
              </w:tabs>
              <w:ind w:right="-18"/>
              <w:rPr>
                <w:sz w:val="20"/>
                <w:szCs w:val="20"/>
              </w:rPr>
            </w:pPr>
          </w:p>
        </w:tc>
        <w:tc>
          <w:tcPr>
            <w:tcW w:w="359" w:type="dxa"/>
          </w:tcPr>
          <w:p w14:paraId="4B275DCC" w14:textId="77777777" w:rsidR="009810A5" w:rsidRPr="009810A5" w:rsidRDefault="009810A5" w:rsidP="009810A5">
            <w:pPr>
              <w:tabs>
                <w:tab w:val="right" w:pos="9180"/>
              </w:tabs>
              <w:ind w:right="-360"/>
              <w:rPr>
                <w:sz w:val="20"/>
                <w:szCs w:val="20"/>
              </w:rPr>
            </w:pPr>
          </w:p>
        </w:tc>
        <w:tc>
          <w:tcPr>
            <w:tcW w:w="1782" w:type="dxa"/>
          </w:tcPr>
          <w:p w14:paraId="404638C5" w14:textId="77777777" w:rsidR="009810A5" w:rsidRPr="009810A5" w:rsidRDefault="009810A5" w:rsidP="009810A5">
            <w:pPr>
              <w:tabs>
                <w:tab w:val="decimal" w:pos="972"/>
                <w:tab w:val="right" w:pos="9180"/>
              </w:tabs>
              <w:ind w:right="-18"/>
              <w:rPr>
                <w:sz w:val="20"/>
                <w:szCs w:val="20"/>
              </w:rPr>
            </w:pPr>
          </w:p>
        </w:tc>
      </w:tr>
      <w:tr w:rsidR="009810A5" w:rsidRPr="009810A5" w14:paraId="7C513392" w14:textId="77777777" w:rsidTr="004F5282">
        <w:trPr>
          <w:trHeight w:val="230"/>
        </w:trPr>
        <w:tc>
          <w:tcPr>
            <w:tcW w:w="3231" w:type="dxa"/>
            <w:gridSpan w:val="4"/>
          </w:tcPr>
          <w:p w14:paraId="5A5F9F17" w14:textId="77777777" w:rsidR="009810A5" w:rsidRPr="009810A5" w:rsidRDefault="009810A5" w:rsidP="009810A5">
            <w:pPr>
              <w:tabs>
                <w:tab w:val="right" w:pos="9180"/>
              </w:tabs>
              <w:ind w:right="-360"/>
              <w:rPr>
                <w:sz w:val="20"/>
                <w:szCs w:val="20"/>
              </w:rPr>
            </w:pPr>
            <w:r w:rsidRPr="009810A5">
              <w:rPr>
                <w:sz w:val="20"/>
                <w:szCs w:val="20"/>
              </w:rPr>
              <w:t>Operating expenses:</w:t>
            </w:r>
          </w:p>
        </w:tc>
        <w:tc>
          <w:tcPr>
            <w:tcW w:w="537" w:type="dxa"/>
          </w:tcPr>
          <w:p w14:paraId="216716B1" w14:textId="77777777" w:rsidR="009810A5" w:rsidRPr="009810A5" w:rsidRDefault="009810A5" w:rsidP="009810A5">
            <w:pPr>
              <w:tabs>
                <w:tab w:val="right" w:pos="9180"/>
              </w:tabs>
              <w:ind w:right="-18"/>
              <w:rPr>
                <w:sz w:val="20"/>
                <w:szCs w:val="20"/>
              </w:rPr>
            </w:pPr>
          </w:p>
        </w:tc>
        <w:tc>
          <w:tcPr>
            <w:tcW w:w="537" w:type="dxa"/>
          </w:tcPr>
          <w:p w14:paraId="0ADE35E8" w14:textId="77777777" w:rsidR="009810A5" w:rsidRPr="009810A5" w:rsidRDefault="009810A5" w:rsidP="009810A5">
            <w:pPr>
              <w:tabs>
                <w:tab w:val="right" w:pos="9180"/>
              </w:tabs>
              <w:ind w:right="-360"/>
              <w:rPr>
                <w:sz w:val="20"/>
                <w:szCs w:val="20"/>
              </w:rPr>
            </w:pPr>
          </w:p>
        </w:tc>
        <w:tc>
          <w:tcPr>
            <w:tcW w:w="1960" w:type="dxa"/>
          </w:tcPr>
          <w:p w14:paraId="09C6C234" w14:textId="77777777" w:rsidR="009810A5" w:rsidRPr="009810A5" w:rsidRDefault="009810A5" w:rsidP="009810A5">
            <w:pPr>
              <w:tabs>
                <w:tab w:val="right" w:pos="9180"/>
              </w:tabs>
              <w:ind w:right="-360"/>
              <w:rPr>
                <w:sz w:val="20"/>
                <w:szCs w:val="20"/>
              </w:rPr>
            </w:pPr>
          </w:p>
        </w:tc>
        <w:tc>
          <w:tcPr>
            <w:tcW w:w="1782" w:type="dxa"/>
          </w:tcPr>
          <w:p w14:paraId="2914EBDB" w14:textId="77777777" w:rsidR="009810A5" w:rsidRPr="009810A5" w:rsidRDefault="009810A5" w:rsidP="009810A5">
            <w:pPr>
              <w:tabs>
                <w:tab w:val="decimal" w:pos="1062"/>
                <w:tab w:val="right" w:pos="9180"/>
              </w:tabs>
              <w:ind w:right="-18"/>
              <w:rPr>
                <w:sz w:val="20"/>
                <w:szCs w:val="20"/>
              </w:rPr>
            </w:pPr>
          </w:p>
        </w:tc>
        <w:tc>
          <w:tcPr>
            <w:tcW w:w="359" w:type="dxa"/>
          </w:tcPr>
          <w:p w14:paraId="22A8F56B" w14:textId="77777777" w:rsidR="009810A5" w:rsidRPr="009810A5" w:rsidRDefault="009810A5" w:rsidP="009810A5">
            <w:pPr>
              <w:tabs>
                <w:tab w:val="right" w:pos="9180"/>
              </w:tabs>
              <w:ind w:right="-360"/>
              <w:rPr>
                <w:sz w:val="20"/>
                <w:szCs w:val="20"/>
              </w:rPr>
            </w:pPr>
          </w:p>
        </w:tc>
        <w:tc>
          <w:tcPr>
            <w:tcW w:w="1782" w:type="dxa"/>
          </w:tcPr>
          <w:p w14:paraId="46DBE0F0" w14:textId="77777777" w:rsidR="009810A5" w:rsidRPr="009810A5" w:rsidRDefault="009810A5" w:rsidP="009810A5">
            <w:pPr>
              <w:tabs>
                <w:tab w:val="decimal" w:pos="972"/>
                <w:tab w:val="right" w:pos="9180"/>
              </w:tabs>
              <w:ind w:right="-18"/>
              <w:rPr>
                <w:sz w:val="20"/>
                <w:szCs w:val="20"/>
              </w:rPr>
            </w:pPr>
          </w:p>
        </w:tc>
      </w:tr>
      <w:tr w:rsidR="009810A5" w:rsidRPr="009810A5" w14:paraId="499D9542" w14:textId="77777777" w:rsidTr="004F5282">
        <w:trPr>
          <w:trHeight w:val="230"/>
        </w:trPr>
        <w:tc>
          <w:tcPr>
            <w:tcW w:w="375" w:type="dxa"/>
          </w:tcPr>
          <w:p w14:paraId="523466D1" w14:textId="77777777" w:rsidR="009810A5" w:rsidRPr="009810A5" w:rsidRDefault="009810A5" w:rsidP="009810A5">
            <w:pPr>
              <w:ind w:right="-360"/>
              <w:rPr>
                <w:sz w:val="20"/>
                <w:szCs w:val="20"/>
              </w:rPr>
            </w:pPr>
          </w:p>
        </w:tc>
        <w:tc>
          <w:tcPr>
            <w:tcW w:w="2856" w:type="dxa"/>
            <w:gridSpan w:val="3"/>
          </w:tcPr>
          <w:p w14:paraId="3F5946A7" w14:textId="77777777" w:rsidR="009810A5" w:rsidRPr="009810A5" w:rsidRDefault="009810A5" w:rsidP="009810A5">
            <w:pPr>
              <w:tabs>
                <w:tab w:val="right" w:pos="9180"/>
              </w:tabs>
              <w:ind w:right="-360"/>
              <w:rPr>
                <w:sz w:val="20"/>
                <w:szCs w:val="20"/>
              </w:rPr>
            </w:pPr>
            <w:r w:rsidRPr="009810A5">
              <w:rPr>
                <w:sz w:val="20"/>
                <w:szCs w:val="20"/>
              </w:rPr>
              <w:t>Research and development</w:t>
            </w:r>
          </w:p>
        </w:tc>
        <w:tc>
          <w:tcPr>
            <w:tcW w:w="537" w:type="dxa"/>
          </w:tcPr>
          <w:p w14:paraId="5EF84FA1" w14:textId="77777777" w:rsidR="009810A5" w:rsidRPr="009810A5" w:rsidRDefault="009810A5" w:rsidP="009810A5">
            <w:pPr>
              <w:tabs>
                <w:tab w:val="decimal" w:pos="1062"/>
                <w:tab w:val="right" w:pos="9180"/>
              </w:tabs>
              <w:ind w:right="-18"/>
              <w:rPr>
                <w:sz w:val="20"/>
                <w:szCs w:val="20"/>
              </w:rPr>
            </w:pPr>
          </w:p>
        </w:tc>
        <w:tc>
          <w:tcPr>
            <w:tcW w:w="537" w:type="dxa"/>
          </w:tcPr>
          <w:p w14:paraId="7713C0F5" w14:textId="77777777" w:rsidR="009810A5" w:rsidRPr="009810A5" w:rsidRDefault="009810A5" w:rsidP="009810A5">
            <w:pPr>
              <w:tabs>
                <w:tab w:val="right" w:pos="9180"/>
              </w:tabs>
              <w:ind w:right="-360"/>
              <w:rPr>
                <w:sz w:val="20"/>
                <w:szCs w:val="20"/>
              </w:rPr>
            </w:pPr>
          </w:p>
        </w:tc>
        <w:tc>
          <w:tcPr>
            <w:tcW w:w="1960" w:type="dxa"/>
          </w:tcPr>
          <w:p w14:paraId="4BDE5F4E" w14:textId="77777777" w:rsidR="009810A5" w:rsidRPr="009810A5" w:rsidRDefault="009810A5" w:rsidP="009810A5">
            <w:pPr>
              <w:tabs>
                <w:tab w:val="right" w:pos="9180"/>
              </w:tabs>
              <w:ind w:right="-360"/>
              <w:rPr>
                <w:sz w:val="20"/>
                <w:szCs w:val="20"/>
              </w:rPr>
            </w:pPr>
          </w:p>
        </w:tc>
        <w:tc>
          <w:tcPr>
            <w:tcW w:w="1782" w:type="dxa"/>
          </w:tcPr>
          <w:p w14:paraId="2CFB072F" w14:textId="77777777" w:rsidR="009810A5" w:rsidRPr="009810A5" w:rsidRDefault="009810A5" w:rsidP="009810A5">
            <w:pPr>
              <w:tabs>
                <w:tab w:val="decimal" w:pos="1295"/>
                <w:tab w:val="right" w:pos="9180"/>
              </w:tabs>
              <w:ind w:right="-18"/>
              <w:rPr>
                <w:sz w:val="20"/>
                <w:szCs w:val="20"/>
              </w:rPr>
            </w:pPr>
            <w:r w:rsidRPr="009810A5">
              <w:rPr>
                <w:sz w:val="20"/>
                <w:szCs w:val="20"/>
              </w:rPr>
              <w:tab/>
              <w:t>1,330,544</w:t>
            </w:r>
          </w:p>
        </w:tc>
        <w:tc>
          <w:tcPr>
            <w:tcW w:w="359" w:type="dxa"/>
          </w:tcPr>
          <w:p w14:paraId="354F535E" w14:textId="77777777" w:rsidR="009810A5" w:rsidRPr="009810A5" w:rsidRDefault="009810A5" w:rsidP="009810A5">
            <w:pPr>
              <w:tabs>
                <w:tab w:val="right" w:pos="9180"/>
              </w:tabs>
              <w:ind w:right="-360"/>
              <w:rPr>
                <w:sz w:val="20"/>
                <w:szCs w:val="20"/>
              </w:rPr>
            </w:pPr>
          </w:p>
        </w:tc>
        <w:tc>
          <w:tcPr>
            <w:tcW w:w="1782" w:type="dxa"/>
          </w:tcPr>
          <w:p w14:paraId="3F3E06F4" w14:textId="77777777" w:rsidR="009810A5" w:rsidRPr="009810A5" w:rsidRDefault="009810A5" w:rsidP="009810A5">
            <w:pPr>
              <w:tabs>
                <w:tab w:val="decimal" w:pos="1314"/>
                <w:tab w:val="right" w:pos="9180"/>
              </w:tabs>
              <w:ind w:right="-18"/>
              <w:rPr>
                <w:sz w:val="20"/>
                <w:szCs w:val="20"/>
              </w:rPr>
            </w:pPr>
            <w:r w:rsidRPr="009810A5">
              <w:rPr>
                <w:sz w:val="20"/>
                <w:szCs w:val="20"/>
              </w:rPr>
              <w:tab/>
              <w:t>602,783</w:t>
            </w:r>
          </w:p>
        </w:tc>
      </w:tr>
      <w:tr w:rsidR="009810A5" w:rsidRPr="009810A5" w14:paraId="55C82BF1" w14:textId="77777777" w:rsidTr="004F5282">
        <w:trPr>
          <w:trHeight w:val="230"/>
        </w:trPr>
        <w:tc>
          <w:tcPr>
            <w:tcW w:w="375" w:type="dxa"/>
          </w:tcPr>
          <w:p w14:paraId="3D73DDEB" w14:textId="77777777" w:rsidR="009810A5" w:rsidRPr="009810A5" w:rsidRDefault="009810A5" w:rsidP="009810A5">
            <w:pPr>
              <w:ind w:right="-360"/>
              <w:rPr>
                <w:sz w:val="20"/>
                <w:szCs w:val="20"/>
              </w:rPr>
            </w:pPr>
          </w:p>
        </w:tc>
        <w:tc>
          <w:tcPr>
            <w:tcW w:w="2856" w:type="dxa"/>
            <w:gridSpan w:val="3"/>
          </w:tcPr>
          <w:p w14:paraId="21154B27" w14:textId="77777777" w:rsidR="009810A5" w:rsidRPr="009810A5" w:rsidRDefault="009810A5" w:rsidP="009810A5">
            <w:pPr>
              <w:tabs>
                <w:tab w:val="right" w:pos="9180"/>
              </w:tabs>
              <w:ind w:right="-360"/>
              <w:rPr>
                <w:sz w:val="20"/>
                <w:szCs w:val="20"/>
              </w:rPr>
            </w:pPr>
            <w:r w:rsidRPr="009810A5">
              <w:rPr>
                <w:sz w:val="20"/>
                <w:szCs w:val="20"/>
              </w:rPr>
              <w:t>General and administrative</w:t>
            </w:r>
          </w:p>
        </w:tc>
        <w:tc>
          <w:tcPr>
            <w:tcW w:w="537" w:type="dxa"/>
          </w:tcPr>
          <w:p w14:paraId="48F0D549" w14:textId="77777777" w:rsidR="009810A5" w:rsidRPr="009810A5" w:rsidRDefault="009810A5" w:rsidP="009810A5">
            <w:pPr>
              <w:tabs>
                <w:tab w:val="decimal" w:pos="1062"/>
                <w:tab w:val="right" w:pos="9180"/>
              </w:tabs>
              <w:ind w:right="-18"/>
              <w:rPr>
                <w:sz w:val="20"/>
                <w:szCs w:val="20"/>
              </w:rPr>
            </w:pPr>
          </w:p>
        </w:tc>
        <w:tc>
          <w:tcPr>
            <w:tcW w:w="537" w:type="dxa"/>
          </w:tcPr>
          <w:p w14:paraId="5A331B3F" w14:textId="77777777" w:rsidR="009810A5" w:rsidRPr="009810A5" w:rsidRDefault="009810A5" w:rsidP="009810A5">
            <w:pPr>
              <w:tabs>
                <w:tab w:val="right" w:pos="9180"/>
              </w:tabs>
              <w:ind w:right="-360"/>
              <w:rPr>
                <w:sz w:val="20"/>
                <w:szCs w:val="20"/>
              </w:rPr>
            </w:pPr>
          </w:p>
        </w:tc>
        <w:tc>
          <w:tcPr>
            <w:tcW w:w="1960" w:type="dxa"/>
          </w:tcPr>
          <w:p w14:paraId="75A935E5" w14:textId="77777777" w:rsidR="009810A5" w:rsidRPr="009810A5" w:rsidRDefault="009810A5" w:rsidP="009810A5">
            <w:pPr>
              <w:tabs>
                <w:tab w:val="right" w:pos="9180"/>
              </w:tabs>
              <w:ind w:right="-360"/>
              <w:rPr>
                <w:sz w:val="20"/>
                <w:szCs w:val="20"/>
              </w:rPr>
            </w:pPr>
          </w:p>
        </w:tc>
        <w:tc>
          <w:tcPr>
            <w:tcW w:w="1782" w:type="dxa"/>
            <w:tcBorders>
              <w:bottom w:val="single" w:sz="4" w:space="0" w:color="auto"/>
            </w:tcBorders>
          </w:tcPr>
          <w:p w14:paraId="7785959D" w14:textId="77777777" w:rsidR="009810A5" w:rsidRPr="009810A5" w:rsidRDefault="009810A5" w:rsidP="009810A5">
            <w:pPr>
              <w:tabs>
                <w:tab w:val="decimal" w:pos="1295"/>
                <w:tab w:val="right" w:pos="9180"/>
              </w:tabs>
              <w:ind w:right="-18"/>
              <w:rPr>
                <w:sz w:val="20"/>
                <w:szCs w:val="20"/>
              </w:rPr>
            </w:pPr>
            <w:r w:rsidRPr="009810A5">
              <w:rPr>
                <w:sz w:val="20"/>
                <w:szCs w:val="20"/>
              </w:rPr>
              <w:tab/>
              <w:t>1,179,024</w:t>
            </w:r>
          </w:p>
        </w:tc>
        <w:tc>
          <w:tcPr>
            <w:tcW w:w="359" w:type="dxa"/>
          </w:tcPr>
          <w:p w14:paraId="5AC998F3" w14:textId="77777777" w:rsidR="009810A5" w:rsidRPr="009810A5" w:rsidRDefault="009810A5" w:rsidP="009810A5">
            <w:pPr>
              <w:tabs>
                <w:tab w:val="right" w:pos="9180"/>
              </w:tabs>
              <w:ind w:right="-360"/>
              <w:rPr>
                <w:sz w:val="20"/>
                <w:szCs w:val="20"/>
              </w:rPr>
            </w:pPr>
          </w:p>
        </w:tc>
        <w:tc>
          <w:tcPr>
            <w:tcW w:w="1782" w:type="dxa"/>
            <w:tcBorders>
              <w:bottom w:val="single" w:sz="4" w:space="0" w:color="auto"/>
            </w:tcBorders>
          </w:tcPr>
          <w:p w14:paraId="02FD984B" w14:textId="77777777" w:rsidR="009810A5" w:rsidRPr="009810A5" w:rsidRDefault="009810A5" w:rsidP="009810A5">
            <w:pPr>
              <w:tabs>
                <w:tab w:val="decimal" w:pos="1314"/>
                <w:tab w:val="right" w:pos="9180"/>
              </w:tabs>
              <w:ind w:right="-18"/>
              <w:rPr>
                <w:sz w:val="20"/>
                <w:szCs w:val="20"/>
              </w:rPr>
            </w:pPr>
            <w:r w:rsidRPr="009810A5">
              <w:rPr>
                <w:sz w:val="20"/>
                <w:szCs w:val="20"/>
              </w:rPr>
              <w:tab/>
              <w:t>1,071,710</w:t>
            </w:r>
          </w:p>
        </w:tc>
      </w:tr>
      <w:tr w:rsidR="009810A5" w:rsidRPr="009810A5" w14:paraId="203433CC" w14:textId="77777777" w:rsidTr="004F5282">
        <w:trPr>
          <w:trHeight w:val="230"/>
        </w:trPr>
        <w:tc>
          <w:tcPr>
            <w:tcW w:w="375" w:type="dxa"/>
          </w:tcPr>
          <w:p w14:paraId="7B4AAD51" w14:textId="77777777" w:rsidR="009810A5" w:rsidRPr="009810A5" w:rsidRDefault="009810A5" w:rsidP="009810A5">
            <w:pPr>
              <w:ind w:right="-360"/>
              <w:rPr>
                <w:sz w:val="20"/>
                <w:szCs w:val="20"/>
              </w:rPr>
            </w:pPr>
          </w:p>
        </w:tc>
        <w:tc>
          <w:tcPr>
            <w:tcW w:w="2856" w:type="dxa"/>
            <w:gridSpan w:val="3"/>
          </w:tcPr>
          <w:p w14:paraId="7AE7FB6D" w14:textId="77777777" w:rsidR="009810A5" w:rsidRPr="009810A5" w:rsidRDefault="009810A5" w:rsidP="009810A5">
            <w:pPr>
              <w:tabs>
                <w:tab w:val="right" w:pos="9180"/>
              </w:tabs>
              <w:ind w:right="-360"/>
              <w:rPr>
                <w:sz w:val="20"/>
                <w:szCs w:val="20"/>
              </w:rPr>
            </w:pPr>
            <w:r w:rsidRPr="009810A5">
              <w:rPr>
                <w:sz w:val="20"/>
                <w:szCs w:val="20"/>
              </w:rPr>
              <w:t>Total operating expenses</w:t>
            </w:r>
          </w:p>
        </w:tc>
        <w:tc>
          <w:tcPr>
            <w:tcW w:w="537" w:type="dxa"/>
          </w:tcPr>
          <w:p w14:paraId="30A5804E" w14:textId="77777777" w:rsidR="009810A5" w:rsidRPr="009810A5" w:rsidRDefault="009810A5" w:rsidP="009810A5">
            <w:pPr>
              <w:tabs>
                <w:tab w:val="decimal" w:pos="1062"/>
                <w:tab w:val="right" w:pos="9180"/>
              </w:tabs>
              <w:ind w:right="-18"/>
              <w:rPr>
                <w:sz w:val="20"/>
                <w:szCs w:val="20"/>
              </w:rPr>
            </w:pPr>
          </w:p>
        </w:tc>
        <w:tc>
          <w:tcPr>
            <w:tcW w:w="537" w:type="dxa"/>
          </w:tcPr>
          <w:p w14:paraId="583805FA" w14:textId="77777777" w:rsidR="009810A5" w:rsidRPr="009810A5" w:rsidRDefault="009810A5" w:rsidP="009810A5">
            <w:pPr>
              <w:tabs>
                <w:tab w:val="right" w:pos="9180"/>
              </w:tabs>
              <w:ind w:right="-360"/>
              <w:rPr>
                <w:sz w:val="20"/>
                <w:szCs w:val="20"/>
              </w:rPr>
            </w:pPr>
          </w:p>
        </w:tc>
        <w:tc>
          <w:tcPr>
            <w:tcW w:w="1960" w:type="dxa"/>
          </w:tcPr>
          <w:p w14:paraId="784A3942" w14:textId="77777777" w:rsidR="009810A5" w:rsidRPr="009810A5" w:rsidRDefault="009810A5" w:rsidP="009810A5">
            <w:pPr>
              <w:tabs>
                <w:tab w:val="right" w:pos="9180"/>
              </w:tabs>
              <w:ind w:right="-360"/>
              <w:rPr>
                <w:sz w:val="20"/>
                <w:szCs w:val="20"/>
              </w:rPr>
            </w:pPr>
          </w:p>
        </w:tc>
        <w:tc>
          <w:tcPr>
            <w:tcW w:w="1782" w:type="dxa"/>
            <w:tcBorders>
              <w:top w:val="single" w:sz="4" w:space="0" w:color="auto"/>
              <w:bottom w:val="single" w:sz="4" w:space="0" w:color="auto"/>
            </w:tcBorders>
          </w:tcPr>
          <w:p w14:paraId="52839954" w14:textId="77777777" w:rsidR="009810A5" w:rsidRPr="009810A5" w:rsidRDefault="009810A5" w:rsidP="009810A5">
            <w:pPr>
              <w:tabs>
                <w:tab w:val="decimal" w:pos="1295"/>
                <w:tab w:val="right" w:pos="9180"/>
              </w:tabs>
              <w:ind w:right="-18"/>
              <w:rPr>
                <w:sz w:val="20"/>
                <w:szCs w:val="20"/>
              </w:rPr>
            </w:pPr>
            <w:r w:rsidRPr="009810A5">
              <w:rPr>
                <w:sz w:val="20"/>
                <w:szCs w:val="20"/>
              </w:rPr>
              <w:tab/>
              <w:t>2,509,568</w:t>
            </w:r>
          </w:p>
        </w:tc>
        <w:tc>
          <w:tcPr>
            <w:tcW w:w="359" w:type="dxa"/>
          </w:tcPr>
          <w:p w14:paraId="1D9E0B34" w14:textId="77777777" w:rsidR="009810A5" w:rsidRPr="009810A5" w:rsidRDefault="009810A5" w:rsidP="009810A5">
            <w:pPr>
              <w:tabs>
                <w:tab w:val="right" w:pos="9180"/>
              </w:tabs>
              <w:ind w:right="-360"/>
              <w:rPr>
                <w:sz w:val="20"/>
                <w:szCs w:val="20"/>
              </w:rPr>
            </w:pPr>
          </w:p>
        </w:tc>
        <w:tc>
          <w:tcPr>
            <w:tcW w:w="1782" w:type="dxa"/>
            <w:tcBorders>
              <w:top w:val="single" w:sz="4" w:space="0" w:color="auto"/>
              <w:bottom w:val="single" w:sz="4" w:space="0" w:color="auto"/>
            </w:tcBorders>
          </w:tcPr>
          <w:p w14:paraId="53207BA4" w14:textId="77777777" w:rsidR="009810A5" w:rsidRPr="009810A5" w:rsidRDefault="009810A5" w:rsidP="009810A5">
            <w:pPr>
              <w:tabs>
                <w:tab w:val="decimal" w:pos="1314"/>
                <w:tab w:val="right" w:pos="9180"/>
              </w:tabs>
              <w:ind w:right="-18"/>
              <w:rPr>
                <w:sz w:val="20"/>
                <w:szCs w:val="20"/>
              </w:rPr>
            </w:pPr>
            <w:r w:rsidRPr="009810A5">
              <w:rPr>
                <w:sz w:val="20"/>
                <w:szCs w:val="20"/>
              </w:rPr>
              <w:tab/>
              <w:t>1,674,493</w:t>
            </w:r>
          </w:p>
        </w:tc>
      </w:tr>
      <w:tr w:rsidR="009810A5" w:rsidRPr="009810A5" w14:paraId="55C74ACD" w14:textId="77777777" w:rsidTr="004F5282">
        <w:trPr>
          <w:trHeight w:val="230"/>
        </w:trPr>
        <w:tc>
          <w:tcPr>
            <w:tcW w:w="375" w:type="dxa"/>
          </w:tcPr>
          <w:p w14:paraId="0DB3DE32" w14:textId="77777777" w:rsidR="009810A5" w:rsidRPr="009810A5" w:rsidRDefault="009810A5" w:rsidP="009810A5">
            <w:pPr>
              <w:ind w:right="-360"/>
              <w:rPr>
                <w:sz w:val="20"/>
                <w:szCs w:val="20"/>
              </w:rPr>
            </w:pPr>
          </w:p>
        </w:tc>
        <w:tc>
          <w:tcPr>
            <w:tcW w:w="448" w:type="dxa"/>
          </w:tcPr>
          <w:p w14:paraId="485FE9C6" w14:textId="77777777" w:rsidR="009810A5" w:rsidRPr="009810A5" w:rsidRDefault="009810A5" w:rsidP="009810A5">
            <w:pPr>
              <w:ind w:right="-360"/>
              <w:rPr>
                <w:sz w:val="20"/>
                <w:szCs w:val="20"/>
              </w:rPr>
            </w:pPr>
          </w:p>
        </w:tc>
        <w:tc>
          <w:tcPr>
            <w:tcW w:w="448" w:type="dxa"/>
          </w:tcPr>
          <w:p w14:paraId="229820F5" w14:textId="77777777" w:rsidR="009810A5" w:rsidRPr="009810A5" w:rsidRDefault="009810A5" w:rsidP="009810A5">
            <w:pPr>
              <w:ind w:right="-360"/>
              <w:rPr>
                <w:sz w:val="20"/>
                <w:szCs w:val="20"/>
              </w:rPr>
            </w:pPr>
          </w:p>
        </w:tc>
        <w:tc>
          <w:tcPr>
            <w:tcW w:w="1960" w:type="dxa"/>
          </w:tcPr>
          <w:p w14:paraId="41350A2E" w14:textId="77777777" w:rsidR="009810A5" w:rsidRPr="009810A5" w:rsidRDefault="009810A5" w:rsidP="009810A5">
            <w:pPr>
              <w:tabs>
                <w:tab w:val="right" w:pos="9180"/>
              </w:tabs>
              <w:ind w:right="-360"/>
              <w:rPr>
                <w:sz w:val="20"/>
                <w:szCs w:val="20"/>
              </w:rPr>
            </w:pPr>
          </w:p>
        </w:tc>
        <w:tc>
          <w:tcPr>
            <w:tcW w:w="537" w:type="dxa"/>
          </w:tcPr>
          <w:p w14:paraId="2AD462E0" w14:textId="77777777" w:rsidR="009810A5" w:rsidRPr="009810A5" w:rsidRDefault="009810A5" w:rsidP="009810A5">
            <w:pPr>
              <w:tabs>
                <w:tab w:val="right" w:pos="9180"/>
              </w:tabs>
              <w:ind w:right="-18"/>
              <w:rPr>
                <w:sz w:val="20"/>
                <w:szCs w:val="20"/>
              </w:rPr>
            </w:pPr>
          </w:p>
        </w:tc>
        <w:tc>
          <w:tcPr>
            <w:tcW w:w="537" w:type="dxa"/>
          </w:tcPr>
          <w:p w14:paraId="30E1EEE3" w14:textId="77777777" w:rsidR="009810A5" w:rsidRPr="009810A5" w:rsidRDefault="009810A5" w:rsidP="009810A5">
            <w:pPr>
              <w:tabs>
                <w:tab w:val="right" w:pos="9180"/>
              </w:tabs>
              <w:ind w:right="-360"/>
              <w:rPr>
                <w:sz w:val="20"/>
                <w:szCs w:val="20"/>
              </w:rPr>
            </w:pPr>
          </w:p>
        </w:tc>
        <w:tc>
          <w:tcPr>
            <w:tcW w:w="1960" w:type="dxa"/>
          </w:tcPr>
          <w:p w14:paraId="66964730" w14:textId="77777777" w:rsidR="009810A5" w:rsidRPr="009810A5" w:rsidRDefault="009810A5" w:rsidP="009810A5">
            <w:pPr>
              <w:tabs>
                <w:tab w:val="right" w:pos="9180"/>
              </w:tabs>
              <w:ind w:right="-360"/>
              <w:rPr>
                <w:sz w:val="20"/>
                <w:szCs w:val="20"/>
              </w:rPr>
            </w:pPr>
          </w:p>
        </w:tc>
        <w:tc>
          <w:tcPr>
            <w:tcW w:w="1782" w:type="dxa"/>
            <w:tcBorders>
              <w:top w:val="single" w:sz="4" w:space="0" w:color="auto"/>
            </w:tcBorders>
          </w:tcPr>
          <w:p w14:paraId="2E35FCA4" w14:textId="77777777" w:rsidR="009810A5" w:rsidRPr="009810A5" w:rsidRDefault="009810A5" w:rsidP="009810A5">
            <w:pPr>
              <w:tabs>
                <w:tab w:val="decimal" w:pos="1062"/>
                <w:tab w:val="right" w:pos="9180"/>
              </w:tabs>
              <w:ind w:right="-18"/>
              <w:rPr>
                <w:sz w:val="20"/>
                <w:szCs w:val="20"/>
              </w:rPr>
            </w:pPr>
          </w:p>
        </w:tc>
        <w:tc>
          <w:tcPr>
            <w:tcW w:w="359" w:type="dxa"/>
          </w:tcPr>
          <w:p w14:paraId="6829F13F" w14:textId="77777777" w:rsidR="009810A5" w:rsidRPr="009810A5" w:rsidRDefault="009810A5" w:rsidP="009810A5">
            <w:pPr>
              <w:tabs>
                <w:tab w:val="right" w:pos="9180"/>
              </w:tabs>
              <w:ind w:right="-360"/>
              <w:rPr>
                <w:sz w:val="20"/>
                <w:szCs w:val="20"/>
              </w:rPr>
            </w:pPr>
          </w:p>
        </w:tc>
        <w:tc>
          <w:tcPr>
            <w:tcW w:w="1782" w:type="dxa"/>
            <w:tcBorders>
              <w:top w:val="single" w:sz="4" w:space="0" w:color="auto"/>
            </w:tcBorders>
          </w:tcPr>
          <w:p w14:paraId="2C18FDA4" w14:textId="77777777" w:rsidR="009810A5" w:rsidRPr="009810A5" w:rsidRDefault="009810A5" w:rsidP="009810A5">
            <w:pPr>
              <w:tabs>
                <w:tab w:val="decimal" w:pos="972"/>
                <w:tab w:val="right" w:pos="9180"/>
              </w:tabs>
              <w:ind w:right="-18"/>
              <w:rPr>
                <w:sz w:val="20"/>
                <w:szCs w:val="20"/>
              </w:rPr>
            </w:pPr>
          </w:p>
        </w:tc>
      </w:tr>
      <w:tr w:rsidR="009810A5" w:rsidRPr="009810A5" w14:paraId="5146430E" w14:textId="77777777" w:rsidTr="004F5282">
        <w:trPr>
          <w:trHeight w:val="230"/>
        </w:trPr>
        <w:tc>
          <w:tcPr>
            <w:tcW w:w="3231" w:type="dxa"/>
            <w:gridSpan w:val="4"/>
          </w:tcPr>
          <w:p w14:paraId="598D8C96" w14:textId="77777777" w:rsidR="009810A5" w:rsidRPr="009810A5" w:rsidRDefault="009810A5" w:rsidP="009810A5">
            <w:pPr>
              <w:tabs>
                <w:tab w:val="right" w:pos="9180"/>
              </w:tabs>
              <w:ind w:right="-360"/>
              <w:rPr>
                <w:sz w:val="20"/>
                <w:szCs w:val="20"/>
              </w:rPr>
            </w:pPr>
            <w:r w:rsidRPr="009810A5">
              <w:rPr>
                <w:sz w:val="20"/>
                <w:szCs w:val="20"/>
              </w:rPr>
              <w:t>Loss from operations</w:t>
            </w:r>
          </w:p>
        </w:tc>
        <w:tc>
          <w:tcPr>
            <w:tcW w:w="537" w:type="dxa"/>
          </w:tcPr>
          <w:p w14:paraId="265748D6" w14:textId="77777777" w:rsidR="009810A5" w:rsidRPr="009810A5" w:rsidRDefault="009810A5" w:rsidP="009810A5">
            <w:pPr>
              <w:tabs>
                <w:tab w:val="decimal" w:pos="1062"/>
                <w:tab w:val="right" w:pos="9180"/>
              </w:tabs>
              <w:ind w:right="-18"/>
              <w:rPr>
                <w:sz w:val="20"/>
                <w:szCs w:val="20"/>
              </w:rPr>
            </w:pPr>
          </w:p>
        </w:tc>
        <w:tc>
          <w:tcPr>
            <w:tcW w:w="537" w:type="dxa"/>
          </w:tcPr>
          <w:p w14:paraId="7D91F442" w14:textId="77777777" w:rsidR="009810A5" w:rsidRPr="009810A5" w:rsidRDefault="009810A5" w:rsidP="009810A5">
            <w:pPr>
              <w:tabs>
                <w:tab w:val="right" w:pos="9180"/>
              </w:tabs>
              <w:ind w:right="-360"/>
              <w:rPr>
                <w:sz w:val="20"/>
                <w:szCs w:val="20"/>
              </w:rPr>
            </w:pPr>
          </w:p>
        </w:tc>
        <w:tc>
          <w:tcPr>
            <w:tcW w:w="1960" w:type="dxa"/>
          </w:tcPr>
          <w:p w14:paraId="635482DB" w14:textId="77777777" w:rsidR="009810A5" w:rsidRPr="009810A5" w:rsidRDefault="009810A5" w:rsidP="009810A5">
            <w:pPr>
              <w:tabs>
                <w:tab w:val="right" w:pos="9180"/>
              </w:tabs>
              <w:ind w:right="-360"/>
              <w:rPr>
                <w:sz w:val="20"/>
                <w:szCs w:val="20"/>
              </w:rPr>
            </w:pPr>
          </w:p>
        </w:tc>
        <w:tc>
          <w:tcPr>
            <w:tcW w:w="1782" w:type="dxa"/>
          </w:tcPr>
          <w:p w14:paraId="3C2D0791" w14:textId="77777777" w:rsidR="009810A5" w:rsidRPr="009810A5" w:rsidRDefault="009810A5" w:rsidP="009810A5">
            <w:pPr>
              <w:tabs>
                <w:tab w:val="decimal" w:pos="1295"/>
                <w:tab w:val="right" w:pos="9180"/>
              </w:tabs>
              <w:ind w:right="-18"/>
              <w:rPr>
                <w:sz w:val="20"/>
                <w:szCs w:val="20"/>
              </w:rPr>
            </w:pPr>
            <w:r w:rsidRPr="009810A5">
              <w:rPr>
                <w:sz w:val="20"/>
                <w:szCs w:val="20"/>
              </w:rPr>
              <w:tab/>
              <w:t>(2,428,042)</w:t>
            </w:r>
          </w:p>
        </w:tc>
        <w:tc>
          <w:tcPr>
            <w:tcW w:w="359" w:type="dxa"/>
          </w:tcPr>
          <w:p w14:paraId="268810C1" w14:textId="77777777" w:rsidR="009810A5" w:rsidRPr="009810A5" w:rsidRDefault="009810A5" w:rsidP="009810A5">
            <w:pPr>
              <w:tabs>
                <w:tab w:val="right" w:pos="9180"/>
              </w:tabs>
              <w:ind w:right="-360"/>
              <w:rPr>
                <w:sz w:val="20"/>
                <w:szCs w:val="20"/>
              </w:rPr>
            </w:pPr>
          </w:p>
        </w:tc>
        <w:tc>
          <w:tcPr>
            <w:tcW w:w="1782" w:type="dxa"/>
          </w:tcPr>
          <w:p w14:paraId="4CF7961A" w14:textId="77777777" w:rsidR="009810A5" w:rsidRPr="009810A5" w:rsidRDefault="009810A5" w:rsidP="009810A5">
            <w:pPr>
              <w:tabs>
                <w:tab w:val="decimal" w:pos="1314"/>
                <w:tab w:val="right" w:pos="9180"/>
              </w:tabs>
              <w:ind w:right="-18"/>
              <w:rPr>
                <w:sz w:val="20"/>
                <w:szCs w:val="20"/>
              </w:rPr>
            </w:pPr>
            <w:r w:rsidRPr="009810A5">
              <w:rPr>
                <w:sz w:val="20"/>
                <w:szCs w:val="20"/>
              </w:rPr>
              <w:tab/>
              <w:t>(1,564,076)</w:t>
            </w:r>
          </w:p>
        </w:tc>
      </w:tr>
      <w:tr w:rsidR="009810A5" w:rsidRPr="009810A5" w14:paraId="32C03F55" w14:textId="77777777" w:rsidTr="004F5282">
        <w:trPr>
          <w:trHeight w:val="230"/>
        </w:trPr>
        <w:tc>
          <w:tcPr>
            <w:tcW w:w="375" w:type="dxa"/>
          </w:tcPr>
          <w:p w14:paraId="0F87413D" w14:textId="77777777" w:rsidR="009810A5" w:rsidRPr="009810A5" w:rsidRDefault="009810A5" w:rsidP="009810A5">
            <w:pPr>
              <w:ind w:right="-360"/>
              <w:rPr>
                <w:sz w:val="20"/>
                <w:szCs w:val="20"/>
              </w:rPr>
            </w:pPr>
          </w:p>
        </w:tc>
        <w:tc>
          <w:tcPr>
            <w:tcW w:w="448" w:type="dxa"/>
          </w:tcPr>
          <w:p w14:paraId="52DE69C5" w14:textId="77777777" w:rsidR="009810A5" w:rsidRPr="009810A5" w:rsidRDefault="009810A5" w:rsidP="009810A5">
            <w:pPr>
              <w:ind w:right="-360"/>
              <w:rPr>
                <w:sz w:val="20"/>
                <w:szCs w:val="20"/>
              </w:rPr>
            </w:pPr>
          </w:p>
        </w:tc>
        <w:tc>
          <w:tcPr>
            <w:tcW w:w="448" w:type="dxa"/>
          </w:tcPr>
          <w:p w14:paraId="398C95A4" w14:textId="77777777" w:rsidR="009810A5" w:rsidRPr="009810A5" w:rsidRDefault="009810A5" w:rsidP="009810A5">
            <w:pPr>
              <w:ind w:right="-360"/>
              <w:rPr>
                <w:sz w:val="20"/>
                <w:szCs w:val="20"/>
              </w:rPr>
            </w:pPr>
          </w:p>
        </w:tc>
        <w:tc>
          <w:tcPr>
            <w:tcW w:w="1960" w:type="dxa"/>
          </w:tcPr>
          <w:p w14:paraId="61557DB5" w14:textId="77777777" w:rsidR="009810A5" w:rsidRPr="009810A5" w:rsidRDefault="009810A5" w:rsidP="009810A5">
            <w:pPr>
              <w:tabs>
                <w:tab w:val="right" w:pos="9180"/>
              </w:tabs>
              <w:ind w:right="-360"/>
              <w:rPr>
                <w:sz w:val="20"/>
                <w:szCs w:val="20"/>
              </w:rPr>
            </w:pPr>
          </w:p>
        </w:tc>
        <w:tc>
          <w:tcPr>
            <w:tcW w:w="537" w:type="dxa"/>
          </w:tcPr>
          <w:p w14:paraId="27C46D62" w14:textId="77777777" w:rsidR="009810A5" w:rsidRPr="009810A5" w:rsidRDefault="009810A5" w:rsidP="009810A5">
            <w:pPr>
              <w:tabs>
                <w:tab w:val="right" w:pos="9180"/>
              </w:tabs>
              <w:ind w:right="-18"/>
              <w:rPr>
                <w:sz w:val="20"/>
                <w:szCs w:val="20"/>
              </w:rPr>
            </w:pPr>
          </w:p>
        </w:tc>
        <w:tc>
          <w:tcPr>
            <w:tcW w:w="537" w:type="dxa"/>
          </w:tcPr>
          <w:p w14:paraId="35A52045" w14:textId="77777777" w:rsidR="009810A5" w:rsidRPr="009810A5" w:rsidRDefault="009810A5" w:rsidP="009810A5">
            <w:pPr>
              <w:tabs>
                <w:tab w:val="right" w:pos="9180"/>
              </w:tabs>
              <w:ind w:right="-360"/>
              <w:rPr>
                <w:sz w:val="20"/>
                <w:szCs w:val="20"/>
              </w:rPr>
            </w:pPr>
          </w:p>
        </w:tc>
        <w:tc>
          <w:tcPr>
            <w:tcW w:w="1960" w:type="dxa"/>
          </w:tcPr>
          <w:p w14:paraId="1AD3BE7A" w14:textId="77777777" w:rsidR="009810A5" w:rsidRPr="009810A5" w:rsidRDefault="009810A5" w:rsidP="009810A5">
            <w:pPr>
              <w:tabs>
                <w:tab w:val="right" w:pos="9180"/>
              </w:tabs>
              <w:ind w:right="-360"/>
              <w:rPr>
                <w:sz w:val="20"/>
                <w:szCs w:val="20"/>
              </w:rPr>
            </w:pPr>
          </w:p>
        </w:tc>
        <w:tc>
          <w:tcPr>
            <w:tcW w:w="1782" w:type="dxa"/>
          </w:tcPr>
          <w:p w14:paraId="483F05C4" w14:textId="77777777" w:rsidR="009810A5" w:rsidRPr="009810A5" w:rsidRDefault="009810A5" w:rsidP="009810A5">
            <w:pPr>
              <w:tabs>
                <w:tab w:val="decimal" w:pos="1295"/>
                <w:tab w:val="right" w:pos="9180"/>
              </w:tabs>
              <w:ind w:right="-18"/>
              <w:rPr>
                <w:sz w:val="20"/>
                <w:szCs w:val="20"/>
              </w:rPr>
            </w:pPr>
          </w:p>
        </w:tc>
        <w:tc>
          <w:tcPr>
            <w:tcW w:w="359" w:type="dxa"/>
          </w:tcPr>
          <w:p w14:paraId="34CD19EE" w14:textId="77777777" w:rsidR="009810A5" w:rsidRPr="009810A5" w:rsidRDefault="009810A5" w:rsidP="009810A5">
            <w:pPr>
              <w:tabs>
                <w:tab w:val="right" w:pos="9180"/>
              </w:tabs>
              <w:ind w:right="-360"/>
              <w:rPr>
                <w:sz w:val="20"/>
                <w:szCs w:val="20"/>
              </w:rPr>
            </w:pPr>
          </w:p>
        </w:tc>
        <w:tc>
          <w:tcPr>
            <w:tcW w:w="1782" w:type="dxa"/>
          </w:tcPr>
          <w:p w14:paraId="3B687E40" w14:textId="77777777" w:rsidR="009810A5" w:rsidRPr="009810A5" w:rsidRDefault="009810A5" w:rsidP="009810A5">
            <w:pPr>
              <w:tabs>
                <w:tab w:val="decimal" w:pos="1314"/>
                <w:tab w:val="right" w:pos="9180"/>
              </w:tabs>
              <w:ind w:right="-18"/>
              <w:rPr>
                <w:sz w:val="20"/>
                <w:szCs w:val="20"/>
              </w:rPr>
            </w:pPr>
          </w:p>
        </w:tc>
      </w:tr>
      <w:tr w:rsidR="009810A5" w:rsidRPr="009810A5" w14:paraId="6F528FA6" w14:textId="77777777" w:rsidTr="004F5282">
        <w:trPr>
          <w:trHeight w:val="230"/>
        </w:trPr>
        <w:tc>
          <w:tcPr>
            <w:tcW w:w="3231" w:type="dxa"/>
            <w:gridSpan w:val="4"/>
          </w:tcPr>
          <w:p w14:paraId="144A70CE" w14:textId="77777777" w:rsidR="009810A5" w:rsidRPr="009810A5" w:rsidRDefault="009810A5" w:rsidP="009810A5">
            <w:pPr>
              <w:tabs>
                <w:tab w:val="right" w:pos="9180"/>
              </w:tabs>
              <w:ind w:right="-360"/>
              <w:rPr>
                <w:sz w:val="20"/>
                <w:szCs w:val="20"/>
              </w:rPr>
            </w:pPr>
            <w:r w:rsidRPr="009810A5">
              <w:rPr>
                <w:sz w:val="20"/>
                <w:szCs w:val="20"/>
              </w:rPr>
              <w:t>Other income (expense):</w:t>
            </w:r>
          </w:p>
        </w:tc>
        <w:tc>
          <w:tcPr>
            <w:tcW w:w="537" w:type="dxa"/>
          </w:tcPr>
          <w:p w14:paraId="06D648E9" w14:textId="77777777" w:rsidR="009810A5" w:rsidRPr="009810A5" w:rsidRDefault="009810A5" w:rsidP="009810A5">
            <w:pPr>
              <w:tabs>
                <w:tab w:val="decimal" w:pos="1062"/>
                <w:tab w:val="right" w:pos="9180"/>
              </w:tabs>
              <w:ind w:right="-18"/>
              <w:rPr>
                <w:sz w:val="20"/>
                <w:szCs w:val="20"/>
              </w:rPr>
            </w:pPr>
          </w:p>
        </w:tc>
        <w:tc>
          <w:tcPr>
            <w:tcW w:w="537" w:type="dxa"/>
          </w:tcPr>
          <w:p w14:paraId="65B7BD5A" w14:textId="77777777" w:rsidR="009810A5" w:rsidRPr="009810A5" w:rsidRDefault="009810A5" w:rsidP="009810A5">
            <w:pPr>
              <w:tabs>
                <w:tab w:val="right" w:pos="9180"/>
              </w:tabs>
              <w:ind w:right="-360"/>
              <w:rPr>
                <w:sz w:val="20"/>
                <w:szCs w:val="20"/>
              </w:rPr>
            </w:pPr>
          </w:p>
        </w:tc>
        <w:tc>
          <w:tcPr>
            <w:tcW w:w="1960" w:type="dxa"/>
          </w:tcPr>
          <w:p w14:paraId="54E81410" w14:textId="77777777" w:rsidR="009810A5" w:rsidRPr="009810A5" w:rsidRDefault="009810A5" w:rsidP="009810A5">
            <w:pPr>
              <w:tabs>
                <w:tab w:val="right" w:pos="9180"/>
              </w:tabs>
              <w:ind w:right="-360"/>
              <w:rPr>
                <w:sz w:val="20"/>
                <w:szCs w:val="20"/>
              </w:rPr>
            </w:pPr>
          </w:p>
        </w:tc>
        <w:tc>
          <w:tcPr>
            <w:tcW w:w="1782" w:type="dxa"/>
          </w:tcPr>
          <w:p w14:paraId="66569901" w14:textId="77777777" w:rsidR="009810A5" w:rsidRPr="009810A5" w:rsidRDefault="009810A5" w:rsidP="009810A5">
            <w:pPr>
              <w:tabs>
                <w:tab w:val="decimal" w:pos="1295"/>
                <w:tab w:val="right" w:pos="9180"/>
              </w:tabs>
              <w:ind w:right="-18"/>
              <w:rPr>
                <w:sz w:val="20"/>
                <w:szCs w:val="20"/>
              </w:rPr>
            </w:pPr>
          </w:p>
        </w:tc>
        <w:tc>
          <w:tcPr>
            <w:tcW w:w="359" w:type="dxa"/>
          </w:tcPr>
          <w:p w14:paraId="2338AA7C" w14:textId="77777777" w:rsidR="009810A5" w:rsidRPr="009810A5" w:rsidRDefault="009810A5" w:rsidP="009810A5">
            <w:pPr>
              <w:tabs>
                <w:tab w:val="right" w:pos="9180"/>
              </w:tabs>
              <w:ind w:right="-360"/>
              <w:rPr>
                <w:sz w:val="20"/>
                <w:szCs w:val="20"/>
              </w:rPr>
            </w:pPr>
          </w:p>
        </w:tc>
        <w:tc>
          <w:tcPr>
            <w:tcW w:w="1782" w:type="dxa"/>
          </w:tcPr>
          <w:p w14:paraId="4FF118D5" w14:textId="77777777" w:rsidR="009810A5" w:rsidRPr="009810A5" w:rsidRDefault="009810A5" w:rsidP="009810A5">
            <w:pPr>
              <w:tabs>
                <w:tab w:val="decimal" w:pos="1314"/>
                <w:tab w:val="right" w:pos="9180"/>
              </w:tabs>
              <w:ind w:right="-18"/>
              <w:rPr>
                <w:sz w:val="20"/>
                <w:szCs w:val="20"/>
              </w:rPr>
            </w:pPr>
          </w:p>
        </w:tc>
      </w:tr>
      <w:tr w:rsidR="009810A5" w:rsidRPr="009810A5" w14:paraId="42FE0D57" w14:textId="77777777" w:rsidTr="004F5282">
        <w:trPr>
          <w:trHeight w:val="230"/>
        </w:trPr>
        <w:tc>
          <w:tcPr>
            <w:tcW w:w="375" w:type="dxa"/>
          </w:tcPr>
          <w:p w14:paraId="4D5DBF33" w14:textId="77777777" w:rsidR="009810A5" w:rsidRPr="009810A5" w:rsidRDefault="009810A5" w:rsidP="009810A5">
            <w:pPr>
              <w:ind w:right="-360"/>
              <w:rPr>
                <w:sz w:val="20"/>
                <w:szCs w:val="20"/>
              </w:rPr>
            </w:pPr>
          </w:p>
        </w:tc>
        <w:tc>
          <w:tcPr>
            <w:tcW w:w="2856" w:type="dxa"/>
            <w:gridSpan w:val="3"/>
          </w:tcPr>
          <w:p w14:paraId="207CF6F3" w14:textId="77777777" w:rsidR="009810A5" w:rsidRPr="009810A5" w:rsidRDefault="009810A5" w:rsidP="009810A5">
            <w:pPr>
              <w:tabs>
                <w:tab w:val="right" w:pos="9180"/>
              </w:tabs>
              <w:ind w:right="-360"/>
              <w:rPr>
                <w:sz w:val="20"/>
                <w:szCs w:val="20"/>
              </w:rPr>
            </w:pPr>
            <w:r w:rsidRPr="009810A5">
              <w:rPr>
                <w:sz w:val="20"/>
                <w:szCs w:val="20"/>
              </w:rPr>
              <w:t>Interest income</w:t>
            </w:r>
          </w:p>
        </w:tc>
        <w:tc>
          <w:tcPr>
            <w:tcW w:w="537" w:type="dxa"/>
          </w:tcPr>
          <w:p w14:paraId="751A7F92" w14:textId="77777777" w:rsidR="009810A5" w:rsidRPr="009810A5" w:rsidRDefault="009810A5" w:rsidP="009810A5">
            <w:pPr>
              <w:tabs>
                <w:tab w:val="decimal" w:pos="1062"/>
                <w:tab w:val="right" w:pos="9180"/>
              </w:tabs>
              <w:ind w:right="-18"/>
              <w:rPr>
                <w:sz w:val="20"/>
                <w:szCs w:val="20"/>
              </w:rPr>
            </w:pPr>
          </w:p>
        </w:tc>
        <w:tc>
          <w:tcPr>
            <w:tcW w:w="537" w:type="dxa"/>
          </w:tcPr>
          <w:p w14:paraId="149D0631" w14:textId="77777777" w:rsidR="009810A5" w:rsidRPr="009810A5" w:rsidRDefault="009810A5" w:rsidP="009810A5">
            <w:pPr>
              <w:tabs>
                <w:tab w:val="right" w:pos="9180"/>
              </w:tabs>
              <w:ind w:right="-360"/>
              <w:rPr>
                <w:sz w:val="20"/>
                <w:szCs w:val="20"/>
              </w:rPr>
            </w:pPr>
          </w:p>
        </w:tc>
        <w:tc>
          <w:tcPr>
            <w:tcW w:w="1960" w:type="dxa"/>
          </w:tcPr>
          <w:p w14:paraId="67034CE8" w14:textId="77777777" w:rsidR="009810A5" w:rsidRPr="009810A5" w:rsidRDefault="009810A5" w:rsidP="009810A5">
            <w:pPr>
              <w:tabs>
                <w:tab w:val="right" w:pos="9180"/>
              </w:tabs>
              <w:ind w:right="-360"/>
              <w:rPr>
                <w:sz w:val="20"/>
                <w:szCs w:val="20"/>
              </w:rPr>
            </w:pPr>
          </w:p>
        </w:tc>
        <w:tc>
          <w:tcPr>
            <w:tcW w:w="1782" w:type="dxa"/>
          </w:tcPr>
          <w:p w14:paraId="04AA4896" w14:textId="77777777" w:rsidR="009810A5" w:rsidRPr="009810A5" w:rsidRDefault="009810A5" w:rsidP="009810A5">
            <w:pPr>
              <w:tabs>
                <w:tab w:val="decimal" w:pos="1295"/>
                <w:tab w:val="right" w:pos="9180"/>
              </w:tabs>
              <w:ind w:right="-18"/>
              <w:rPr>
                <w:sz w:val="20"/>
                <w:szCs w:val="20"/>
              </w:rPr>
            </w:pPr>
            <w:r w:rsidRPr="009810A5">
              <w:rPr>
                <w:sz w:val="20"/>
                <w:szCs w:val="20"/>
              </w:rPr>
              <w:tab/>
              <w:t>527</w:t>
            </w:r>
          </w:p>
        </w:tc>
        <w:tc>
          <w:tcPr>
            <w:tcW w:w="359" w:type="dxa"/>
          </w:tcPr>
          <w:p w14:paraId="13AF4FFA" w14:textId="77777777" w:rsidR="009810A5" w:rsidRPr="009810A5" w:rsidRDefault="009810A5" w:rsidP="009810A5">
            <w:pPr>
              <w:tabs>
                <w:tab w:val="right" w:pos="9180"/>
              </w:tabs>
              <w:ind w:right="-360"/>
              <w:rPr>
                <w:sz w:val="20"/>
                <w:szCs w:val="20"/>
              </w:rPr>
            </w:pPr>
          </w:p>
        </w:tc>
        <w:tc>
          <w:tcPr>
            <w:tcW w:w="1782" w:type="dxa"/>
          </w:tcPr>
          <w:p w14:paraId="479BE71D" w14:textId="77777777" w:rsidR="009810A5" w:rsidRPr="009810A5" w:rsidRDefault="009810A5" w:rsidP="009810A5">
            <w:pPr>
              <w:tabs>
                <w:tab w:val="decimal" w:pos="1314"/>
                <w:tab w:val="right" w:pos="9180"/>
              </w:tabs>
              <w:ind w:right="-18"/>
              <w:rPr>
                <w:sz w:val="20"/>
                <w:szCs w:val="20"/>
              </w:rPr>
            </w:pPr>
            <w:r w:rsidRPr="009810A5">
              <w:rPr>
                <w:sz w:val="20"/>
                <w:szCs w:val="20"/>
              </w:rPr>
              <w:tab/>
              <w:t>2,053</w:t>
            </w:r>
          </w:p>
        </w:tc>
      </w:tr>
      <w:tr w:rsidR="009810A5" w:rsidRPr="009810A5" w14:paraId="7706BECF" w14:textId="77777777" w:rsidTr="004F5282">
        <w:trPr>
          <w:trHeight w:val="230"/>
        </w:trPr>
        <w:tc>
          <w:tcPr>
            <w:tcW w:w="375" w:type="dxa"/>
          </w:tcPr>
          <w:p w14:paraId="27529939" w14:textId="77777777" w:rsidR="009810A5" w:rsidRPr="009810A5" w:rsidRDefault="009810A5" w:rsidP="009810A5">
            <w:pPr>
              <w:ind w:right="-360"/>
              <w:rPr>
                <w:sz w:val="20"/>
                <w:szCs w:val="20"/>
              </w:rPr>
            </w:pPr>
          </w:p>
        </w:tc>
        <w:tc>
          <w:tcPr>
            <w:tcW w:w="2856" w:type="dxa"/>
            <w:gridSpan w:val="3"/>
          </w:tcPr>
          <w:p w14:paraId="26CCF8A6" w14:textId="77777777" w:rsidR="009810A5" w:rsidRPr="009810A5" w:rsidRDefault="009810A5" w:rsidP="009810A5">
            <w:pPr>
              <w:tabs>
                <w:tab w:val="right" w:pos="9180"/>
              </w:tabs>
              <w:ind w:right="-360"/>
              <w:rPr>
                <w:sz w:val="20"/>
                <w:szCs w:val="20"/>
              </w:rPr>
            </w:pPr>
            <w:r w:rsidRPr="009810A5">
              <w:rPr>
                <w:sz w:val="20"/>
                <w:szCs w:val="20"/>
              </w:rPr>
              <w:t>Interest expense</w:t>
            </w:r>
          </w:p>
        </w:tc>
        <w:tc>
          <w:tcPr>
            <w:tcW w:w="537" w:type="dxa"/>
          </w:tcPr>
          <w:p w14:paraId="206BC316" w14:textId="77777777" w:rsidR="009810A5" w:rsidRPr="009810A5" w:rsidRDefault="009810A5" w:rsidP="009810A5">
            <w:pPr>
              <w:tabs>
                <w:tab w:val="decimal" w:pos="1062"/>
                <w:tab w:val="right" w:pos="9180"/>
              </w:tabs>
              <w:ind w:right="-18"/>
              <w:rPr>
                <w:sz w:val="20"/>
                <w:szCs w:val="20"/>
              </w:rPr>
            </w:pPr>
          </w:p>
        </w:tc>
        <w:tc>
          <w:tcPr>
            <w:tcW w:w="537" w:type="dxa"/>
          </w:tcPr>
          <w:p w14:paraId="6127E11B" w14:textId="77777777" w:rsidR="009810A5" w:rsidRPr="009810A5" w:rsidRDefault="009810A5" w:rsidP="009810A5">
            <w:pPr>
              <w:tabs>
                <w:tab w:val="right" w:pos="9180"/>
              </w:tabs>
              <w:ind w:right="-360"/>
              <w:rPr>
                <w:sz w:val="20"/>
                <w:szCs w:val="20"/>
              </w:rPr>
            </w:pPr>
          </w:p>
        </w:tc>
        <w:tc>
          <w:tcPr>
            <w:tcW w:w="1960" w:type="dxa"/>
          </w:tcPr>
          <w:p w14:paraId="51F3B8E7" w14:textId="77777777" w:rsidR="009810A5" w:rsidRPr="009810A5" w:rsidRDefault="009810A5" w:rsidP="009810A5">
            <w:pPr>
              <w:tabs>
                <w:tab w:val="right" w:pos="9180"/>
              </w:tabs>
              <w:ind w:right="-360"/>
              <w:rPr>
                <w:sz w:val="20"/>
                <w:szCs w:val="20"/>
              </w:rPr>
            </w:pPr>
          </w:p>
        </w:tc>
        <w:tc>
          <w:tcPr>
            <w:tcW w:w="1782" w:type="dxa"/>
            <w:tcBorders>
              <w:bottom w:val="single" w:sz="4" w:space="0" w:color="auto"/>
            </w:tcBorders>
          </w:tcPr>
          <w:p w14:paraId="0E094592" w14:textId="77777777" w:rsidR="009810A5" w:rsidRPr="009810A5" w:rsidRDefault="009810A5" w:rsidP="009810A5">
            <w:pPr>
              <w:tabs>
                <w:tab w:val="decimal" w:pos="1295"/>
                <w:tab w:val="right" w:pos="9180"/>
              </w:tabs>
              <w:ind w:right="-18"/>
              <w:rPr>
                <w:sz w:val="20"/>
                <w:szCs w:val="20"/>
              </w:rPr>
            </w:pPr>
            <w:r w:rsidRPr="009810A5">
              <w:rPr>
                <w:sz w:val="20"/>
                <w:szCs w:val="20"/>
              </w:rPr>
              <w:tab/>
              <w:t>-</w:t>
            </w:r>
          </w:p>
        </w:tc>
        <w:tc>
          <w:tcPr>
            <w:tcW w:w="359" w:type="dxa"/>
          </w:tcPr>
          <w:p w14:paraId="14BEA8BD" w14:textId="77777777" w:rsidR="009810A5" w:rsidRPr="009810A5" w:rsidRDefault="009810A5" w:rsidP="009810A5">
            <w:pPr>
              <w:tabs>
                <w:tab w:val="right" w:pos="9180"/>
              </w:tabs>
              <w:ind w:right="-360"/>
              <w:rPr>
                <w:sz w:val="20"/>
                <w:szCs w:val="20"/>
              </w:rPr>
            </w:pPr>
          </w:p>
        </w:tc>
        <w:tc>
          <w:tcPr>
            <w:tcW w:w="1782" w:type="dxa"/>
            <w:tcBorders>
              <w:bottom w:val="single" w:sz="4" w:space="0" w:color="auto"/>
            </w:tcBorders>
          </w:tcPr>
          <w:p w14:paraId="715C2510" w14:textId="77777777" w:rsidR="009810A5" w:rsidRPr="009810A5" w:rsidRDefault="009810A5" w:rsidP="009810A5">
            <w:pPr>
              <w:tabs>
                <w:tab w:val="decimal" w:pos="1314"/>
                <w:tab w:val="right" w:pos="9180"/>
              </w:tabs>
              <w:ind w:right="-18"/>
              <w:rPr>
                <w:sz w:val="20"/>
                <w:szCs w:val="20"/>
              </w:rPr>
            </w:pPr>
            <w:r w:rsidRPr="009810A5">
              <w:rPr>
                <w:sz w:val="20"/>
                <w:szCs w:val="20"/>
              </w:rPr>
              <w:tab/>
              <w:t>(755)</w:t>
            </w:r>
          </w:p>
        </w:tc>
      </w:tr>
      <w:tr w:rsidR="009810A5" w:rsidRPr="009810A5" w14:paraId="4D0E20CF" w14:textId="77777777" w:rsidTr="004F5282">
        <w:trPr>
          <w:trHeight w:val="230"/>
        </w:trPr>
        <w:tc>
          <w:tcPr>
            <w:tcW w:w="375" w:type="dxa"/>
          </w:tcPr>
          <w:p w14:paraId="58D30FE5" w14:textId="77777777" w:rsidR="009810A5" w:rsidRPr="009810A5" w:rsidRDefault="009810A5" w:rsidP="009810A5">
            <w:pPr>
              <w:ind w:right="-360"/>
              <w:rPr>
                <w:sz w:val="20"/>
                <w:szCs w:val="20"/>
              </w:rPr>
            </w:pPr>
          </w:p>
        </w:tc>
        <w:tc>
          <w:tcPr>
            <w:tcW w:w="2856" w:type="dxa"/>
            <w:gridSpan w:val="3"/>
          </w:tcPr>
          <w:p w14:paraId="3415B868" w14:textId="77777777" w:rsidR="009810A5" w:rsidRPr="009810A5" w:rsidRDefault="009810A5" w:rsidP="009810A5">
            <w:pPr>
              <w:tabs>
                <w:tab w:val="right" w:pos="9180"/>
              </w:tabs>
              <w:ind w:right="-360"/>
              <w:rPr>
                <w:sz w:val="20"/>
                <w:szCs w:val="20"/>
              </w:rPr>
            </w:pPr>
            <w:r w:rsidRPr="009810A5">
              <w:rPr>
                <w:sz w:val="20"/>
                <w:szCs w:val="20"/>
              </w:rPr>
              <w:t>Total other income (expense)</w:t>
            </w:r>
          </w:p>
        </w:tc>
        <w:tc>
          <w:tcPr>
            <w:tcW w:w="537" w:type="dxa"/>
          </w:tcPr>
          <w:p w14:paraId="40503D0E" w14:textId="77777777" w:rsidR="009810A5" w:rsidRPr="009810A5" w:rsidRDefault="009810A5" w:rsidP="009810A5">
            <w:pPr>
              <w:tabs>
                <w:tab w:val="decimal" w:pos="1062"/>
                <w:tab w:val="right" w:pos="9180"/>
              </w:tabs>
              <w:ind w:right="-18"/>
              <w:rPr>
                <w:sz w:val="20"/>
                <w:szCs w:val="20"/>
              </w:rPr>
            </w:pPr>
          </w:p>
        </w:tc>
        <w:tc>
          <w:tcPr>
            <w:tcW w:w="537" w:type="dxa"/>
          </w:tcPr>
          <w:p w14:paraId="614322AB" w14:textId="77777777" w:rsidR="009810A5" w:rsidRPr="009810A5" w:rsidRDefault="009810A5" w:rsidP="009810A5">
            <w:pPr>
              <w:tabs>
                <w:tab w:val="right" w:pos="9180"/>
              </w:tabs>
              <w:ind w:right="-360"/>
              <w:rPr>
                <w:sz w:val="20"/>
                <w:szCs w:val="20"/>
              </w:rPr>
            </w:pPr>
          </w:p>
        </w:tc>
        <w:tc>
          <w:tcPr>
            <w:tcW w:w="1960" w:type="dxa"/>
          </w:tcPr>
          <w:p w14:paraId="6795D921" w14:textId="77777777" w:rsidR="009810A5" w:rsidRPr="009810A5" w:rsidRDefault="009810A5" w:rsidP="009810A5">
            <w:pPr>
              <w:tabs>
                <w:tab w:val="right" w:pos="9180"/>
              </w:tabs>
              <w:ind w:right="-360"/>
              <w:rPr>
                <w:sz w:val="20"/>
                <w:szCs w:val="20"/>
              </w:rPr>
            </w:pPr>
          </w:p>
        </w:tc>
        <w:tc>
          <w:tcPr>
            <w:tcW w:w="1782" w:type="dxa"/>
            <w:tcBorders>
              <w:top w:val="single" w:sz="4" w:space="0" w:color="auto"/>
            </w:tcBorders>
          </w:tcPr>
          <w:p w14:paraId="7AB7AD1D" w14:textId="77777777" w:rsidR="009810A5" w:rsidRPr="009810A5" w:rsidRDefault="009810A5" w:rsidP="009810A5">
            <w:pPr>
              <w:tabs>
                <w:tab w:val="decimal" w:pos="1295"/>
                <w:tab w:val="right" w:pos="9180"/>
              </w:tabs>
              <w:ind w:right="-18"/>
              <w:rPr>
                <w:sz w:val="20"/>
                <w:szCs w:val="20"/>
              </w:rPr>
            </w:pPr>
            <w:r w:rsidRPr="009810A5">
              <w:rPr>
                <w:sz w:val="20"/>
                <w:szCs w:val="20"/>
              </w:rPr>
              <w:tab/>
              <w:t>527</w:t>
            </w:r>
          </w:p>
        </w:tc>
        <w:tc>
          <w:tcPr>
            <w:tcW w:w="359" w:type="dxa"/>
          </w:tcPr>
          <w:p w14:paraId="7379217A" w14:textId="77777777" w:rsidR="009810A5" w:rsidRPr="009810A5" w:rsidRDefault="009810A5" w:rsidP="009810A5">
            <w:pPr>
              <w:tabs>
                <w:tab w:val="right" w:pos="9180"/>
              </w:tabs>
              <w:ind w:right="-360"/>
              <w:rPr>
                <w:sz w:val="20"/>
                <w:szCs w:val="20"/>
              </w:rPr>
            </w:pPr>
          </w:p>
        </w:tc>
        <w:tc>
          <w:tcPr>
            <w:tcW w:w="1782" w:type="dxa"/>
            <w:tcBorders>
              <w:top w:val="single" w:sz="4" w:space="0" w:color="auto"/>
            </w:tcBorders>
          </w:tcPr>
          <w:p w14:paraId="09062D8D" w14:textId="77777777" w:rsidR="009810A5" w:rsidRPr="009810A5" w:rsidRDefault="009810A5" w:rsidP="009810A5">
            <w:pPr>
              <w:tabs>
                <w:tab w:val="decimal" w:pos="1314"/>
                <w:tab w:val="right" w:pos="9180"/>
              </w:tabs>
              <w:ind w:right="-18"/>
              <w:rPr>
                <w:sz w:val="20"/>
                <w:szCs w:val="20"/>
              </w:rPr>
            </w:pPr>
            <w:r w:rsidRPr="009810A5">
              <w:rPr>
                <w:sz w:val="20"/>
                <w:szCs w:val="20"/>
              </w:rPr>
              <w:tab/>
              <w:t>1,298</w:t>
            </w:r>
          </w:p>
        </w:tc>
      </w:tr>
      <w:tr w:rsidR="009810A5" w:rsidRPr="009810A5" w14:paraId="0749BC06" w14:textId="77777777" w:rsidTr="004F5282">
        <w:trPr>
          <w:trHeight w:val="230"/>
        </w:trPr>
        <w:tc>
          <w:tcPr>
            <w:tcW w:w="375" w:type="dxa"/>
          </w:tcPr>
          <w:p w14:paraId="320D93F2" w14:textId="77777777" w:rsidR="009810A5" w:rsidRPr="009810A5" w:rsidRDefault="009810A5" w:rsidP="009810A5">
            <w:pPr>
              <w:ind w:right="-360"/>
              <w:rPr>
                <w:sz w:val="20"/>
                <w:szCs w:val="20"/>
              </w:rPr>
            </w:pPr>
          </w:p>
        </w:tc>
        <w:tc>
          <w:tcPr>
            <w:tcW w:w="448" w:type="dxa"/>
          </w:tcPr>
          <w:p w14:paraId="4DF17039" w14:textId="77777777" w:rsidR="009810A5" w:rsidRPr="009810A5" w:rsidRDefault="009810A5" w:rsidP="009810A5">
            <w:pPr>
              <w:ind w:right="-360"/>
              <w:rPr>
                <w:sz w:val="20"/>
                <w:szCs w:val="20"/>
              </w:rPr>
            </w:pPr>
          </w:p>
        </w:tc>
        <w:tc>
          <w:tcPr>
            <w:tcW w:w="448" w:type="dxa"/>
          </w:tcPr>
          <w:p w14:paraId="426B1538" w14:textId="77777777" w:rsidR="009810A5" w:rsidRPr="009810A5" w:rsidRDefault="009810A5" w:rsidP="009810A5">
            <w:pPr>
              <w:ind w:right="-360"/>
              <w:rPr>
                <w:sz w:val="20"/>
                <w:szCs w:val="20"/>
              </w:rPr>
            </w:pPr>
          </w:p>
        </w:tc>
        <w:tc>
          <w:tcPr>
            <w:tcW w:w="1960" w:type="dxa"/>
          </w:tcPr>
          <w:p w14:paraId="2119EF5F" w14:textId="77777777" w:rsidR="009810A5" w:rsidRPr="009810A5" w:rsidRDefault="009810A5" w:rsidP="009810A5">
            <w:pPr>
              <w:tabs>
                <w:tab w:val="right" w:pos="9180"/>
              </w:tabs>
              <w:ind w:right="-360"/>
              <w:rPr>
                <w:sz w:val="20"/>
                <w:szCs w:val="20"/>
              </w:rPr>
            </w:pPr>
          </w:p>
        </w:tc>
        <w:tc>
          <w:tcPr>
            <w:tcW w:w="537" w:type="dxa"/>
          </w:tcPr>
          <w:p w14:paraId="7B00C3CF" w14:textId="77777777" w:rsidR="009810A5" w:rsidRPr="009810A5" w:rsidRDefault="009810A5" w:rsidP="009810A5">
            <w:pPr>
              <w:tabs>
                <w:tab w:val="right" w:pos="9180"/>
              </w:tabs>
              <w:ind w:right="-18"/>
              <w:rPr>
                <w:sz w:val="20"/>
                <w:szCs w:val="20"/>
              </w:rPr>
            </w:pPr>
          </w:p>
        </w:tc>
        <w:tc>
          <w:tcPr>
            <w:tcW w:w="537" w:type="dxa"/>
          </w:tcPr>
          <w:p w14:paraId="6764D428" w14:textId="77777777" w:rsidR="009810A5" w:rsidRPr="009810A5" w:rsidRDefault="009810A5" w:rsidP="009810A5">
            <w:pPr>
              <w:tabs>
                <w:tab w:val="right" w:pos="9180"/>
              </w:tabs>
              <w:ind w:right="-360"/>
              <w:rPr>
                <w:sz w:val="20"/>
                <w:szCs w:val="20"/>
              </w:rPr>
            </w:pPr>
          </w:p>
        </w:tc>
        <w:tc>
          <w:tcPr>
            <w:tcW w:w="1960" w:type="dxa"/>
          </w:tcPr>
          <w:p w14:paraId="222BFB65" w14:textId="77777777" w:rsidR="009810A5" w:rsidRPr="009810A5" w:rsidRDefault="009810A5" w:rsidP="009810A5">
            <w:pPr>
              <w:tabs>
                <w:tab w:val="right" w:pos="9180"/>
              </w:tabs>
              <w:ind w:right="-360"/>
              <w:rPr>
                <w:sz w:val="20"/>
                <w:szCs w:val="20"/>
              </w:rPr>
            </w:pPr>
          </w:p>
        </w:tc>
        <w:tc>
          <w:tcPr>
            <w:tcW w:w="1782" w:type="dxa"/>
            <w:tcBorders>
              <w:top w:val="single" w:sz="4" w:space="0" w:color="auto"/>
            </w:tcBorders>
          </w:tcPr>
          <w:p w14:paraId="0C5804A5" w14:textId="77777777" w:rsidR="009810A5" w:rsidRPr="009810A5" w:rsidRDefault="009810A5" w:rsidP="009810A5">
            <w:pPr>
              <w:tabs>
                <w:tab w:val="decimal" w:pos="1295"/>
                <w:tab w:val="right" w:pos="9180"/>
              </w:tabs>
              <w:ind w:right="-18"/>
              <w:rPr>
                <w:sz w:val="20"/>
                <w:szCs w:val="20"/>
              </w:rPr>
            </w:pPr>
          </w:p>
        </w:tc>
        <w:tc>
          <w:tcPr>
            <w:tcW w:w="359" w:type="dxa"/>
          </w:tcPr>
          <w:p w14:paraId="27B6F533" w14:textId="77777777" w:rsidR="009810A5" w:rsidRPr="009810A5" w:rsidRDefault="009810A5" w:rsidP="009810A5">
            <w:pPr>
              <w:tabs>
                <w:tab w:val="right" w:pos="9180"/>
              </w:tabs>
              <w:ind w:right="-360"/>
              <w:rPr>
                <w:sz w:val="20"/>
                <w:szCs w:val="20"/>
              </w:rPr>
            </w:pPr>
          </w:p>
        </w:tc>
        <w:tc>
          <w:tcPr>
            <w:tcW w:w="1782" w:type="dxa"/>
            <w:tcBorders>
              <w:top w:val="single" w:sz="4" w:space="0" w:color="auto"/>
            </w:tcBorders>
          </w:tcPr>
          <w:p w14:paraId="30E97567" w14:textId="77777777" w:rsidR="009810A5" w:rsidRPr="009810A5" w:rsidRDefault="009810A5" w:rsidP="009810A5">
            <w:pPr>
              <w:tabs>
                <w:tab w:val="decimal" w:pos="1314"/>
                <w:tab w:val="right" w:pos="9180"/>
              </w:tabs>
              <w:ind w:right="-18"/>
              <w:rPr>
                <w:sz w:val="20"/>
                <w:szCs w:val="20"/>
              </w:rPr>
            </w:pPr>
          </w:p>
        </w:tc>
      </w:tr>
      <w:tr w:rsidR="009810A5" w:rsidRPr="009810A5" w14:paraId="71ACD46F" w14:textId="77777777" w:rsidTr="004F5282">
        <w:trPr>
          <w:trHeight w:val="230"/>
        </w:trPr>
        <w:tc>
          <w:tcPr>
            <w:tcW w:w="3231" w:type="dxa"/>
            <w:gridSpan w:val="4"/>
          </w:tcPr>
          <w:p w14:paraId="32BEF039" w14:textId="77777777" w:rsidR="009810A5" w:rsidRPr="009810A5" w:rsidRDefault="009810A5" w:rsidP="009810A5">
            <w:pPr>
              <w:tabs>
                <w:tab w:val="right" w:pos="9180"/>
              </w:tabs>
              <w:ind w:right="-360"/>
              <w:rPr>
                <w:sz w:val="20"/>
                <w:szCs w:val="20"/>
              </w:rPr>
            </w:pPr>
            <w:r w:rsidRPr="009810A5">
              <w:rPr>
                <w:sz w:val="20"/>
                <w:szCs w:val="20"/>
              </w:rPr>
              <w:t>Net loss</w:t>
            </w:r>
          </w:p>
        </w:tc>
        <w:tc>
          <w:tcPr>
            <w:tcW w:w="537" w:type="dxa"/>
          </w:tcPr>
          <w:p w14:paraId="62127D77" w14:textId="77777777" w:rsidR="009810A5" w:rsidRPr="009810A5" w:rsidRDefault="009810A5" w:rsidP="009810A5">
            <w:pPr>
              <w:tabs>
                <w:tab w:val="decimal" w:pos="1062"/>
                <w:tab w:val="right" w:pos="9180"/>
              </w:tabs>
              <w:ind w:right="-18"/>
              <w:rPr>
                <w:sz w:val="20"/>
                <w:szCs w:val="20"/>
              </w:rPr>
            </w:pPr>
          </w:p>
        </w:tc>
        <w:tc>
          <w:tcPr>
            <w:tcW w:w="537" w:type="dxa"/>
          </w:tcPr>
          <w:p w14:paraId="7A64385C" w14:textId="77777777" w:rsidR="009810A5" w:rsidRPr="009810A5" w:rsidRDefault="009810A5" w:rsidP="009810A5">
            <w:pPr>
              <w:tabs>
                <w:tab w:val="right" w:pos="9180"/>
              </w:tabs>
              <w:ind w:right="-360"/>
              <w:rPr>
                <w:sz w:val="20"/>
                <w:szCs w:val="20"/>
              </w:rPr>
            </w:pPr>
          </w:p>
        </w:tc>
        <w:tc>
          <w:tcPr>
            <w:tcW w:w="1960" w:type="dxa"/>
          </w:tcPr>
          <w:p w14:paraId="71D32478" w14:textId="77777777" w:rsidR="009810A5" w:rsidRPr="009810A5" w:rsidRDefault="009810A5" w:rsidP="009810A5">
            <w:pPr>
              <w:tabs>
                <w:tab w:val="right" w:pos="9180"/>
              </w:tabs>
              <w:ind w:right="-360"/>
              <w:rPr>
                <w:sz w:val="20"/>
                <w:szCs w:val="20"/>
              </w:rPr>
            </w:pPr>
          </w:p>
        </w:tc>
        <w:tc>
          <w:tcPr>
            <w:tcW w:w="1782" w:type="dxa"/>
            <w:tcBorders>
              <w:bottom w:val="double" w:sz="4" w:space="0" w:color="auto"/>
            </w:tcBorders>
          </w:tcPr>
          <w:p w14:paraId="4C2B03F5" w14:textId="77777777" w:rsidR="009810A5" w:rsidRPr="009810A5" w:rsidRDefault="009810A5" w:rsidP="009810A5">
            <w:pPr>
              <w:tabs>
                <w:tab w:val="decimal" w:pos="1295"/>
                <w:tab w:val="right" w:pos="9180"/>
              </w:tabs>
              <w:ind w:right="-18"/>
              <w:rPr>
                <w:sz w:val="20"/>
                <w:szCs w:val="20"/>
              </w:rPr>
            </w:pPr>
            <w:r w:rsidRPr="009810A5">
              <w:rPr>
                <w:sz w:val="20"/>
                <w:szCs w:val="20"/>
              </w:rPr>
              <w:t>$</w:t>
            </w:r>
            <w:r w:rsidRPr="009810A5">
              <w:rPr>
                <w:sz w:val="20"/>
                <w:szCs w:val="20"/>
              </w:rPr>
              <w:tab/>
              <w:t>(2,427,515)</w:t>
            </w:r>
          </w:p>
        </w:tc>
        <w:tc>
          <w:tcPr>
            <w:tcW w:w="359" w:type="dxa"/>
          </w:tcPr>
          <w:p w14:paraId="2943AB4B" w14:textId="77777777" w:rsidR="009810A5" w:rsidRPr="009810A5" w:rsidRDefault="009810A5" w:rsidP="009810A5">
            <w:pPr>
              <w:tabs>
                <w:tab w:val="right" w:pos="9180"/>
              </w:tabs>
              <w:ind w:right="-360"/>
              <w:rPr>
                <w:sz w:val="20"/>
                <w:szCs w:val="20"/>
              </w:rPr>
            </w:pPr>
          </w:p>
        </w:tc>
        <w:tc>
          <w:tcPr>
            <w:tcW w:w="1782" w:type="dxa"/>
            <w:tcBorders>
              <w:bottom w:val="double" w:sz="4" w:space="0" w:color="auto"/>
            </w:tcBorders>
          </w:tcPr>
          <w:p w14:paraId="240F1532" w14:textId="77777777" w:rsidR="009810A5" w:rsidRPr="009810A5" w:rsidRDefault="009810A5" w:rsidP="009810A5">
            <w:pPr>
              <w:tabs>
                <w:tab w:val="decimal" w:pos="1314"/>
                <w:tab w:val="right" w:pos="9180"/>
              </w:tabs>
              <w:ind w:right="-18"/>
              <w:rPr>
                <w:sz w:val="20"/>
                <w:szCs w:val="20"/>
              </w:rPr>
            </w:pPr>
            <w:r w:rsidRPr="009810A5">
              <w:rPr>
                <w:sz w:val="20"/>
                <w:szCs w:val="20"/>
              </w:rPr>
              <w:t>$</w:t>
            </w:r>
            <w:r w:rsidRPr="009810A5">
              <w:rPr>
                <w:sz w:val="20"/>
                <w:szCs w:val="20"/>
              </w:rPr>
              <w:tab/>
              <w:t>(1,562,778)</w:t>
            </w:r>
          </w:p>
        </w:tc>
      </w:tr>
      <w:tr w:rsidR="009810A5" w:rsidRPr="009810A5" w14:paraId="3E72699F" w14:textId="77777777" w:rsidTr="004F5282">
        <w:trPr>
          <w:trHeight w:val="230"/>
        </w:trPr>
        <w:tc>
          <w:tcPr>
            <w:tcW w:w="375" w:type="dxa"/>
          </w:tcPr>
          <w:p w14:paraId="0E5EAC26" w14:textId="77777777" w:rsidR="009810A5" w:rsidRPr="009810A5" w:rsidRDefault="009810A5" w:rsidP="009810A5">
            <w:pPr>
              <w:ind w:right="-360"/>
              <w:rPr>
                <w:sz w:val="20"/>
                <w:szCs w:val="20"/>
              </w:rPr>
            </w:pPr>
          </w:p>
        </w:tc>
        <w:tc>
          <w:tcPr>
            <w:tcW w:w="448" w:type="dxa"/>
          </w:tcPr>
          <w:p w14:paraId="60FEF12A" w14:textId="77777777" w:rsidR="009810A5" w:rsidRPr="009810A5" w:rsidRDefault="009810A5" w:rsidP="009810A5">
            <w:pPr>
              <w:ind w:right="-360"/>
              <w:rPr>
                <w:sz w:val="20"/>
                <w:szCs w:val="20"/>
              </w:rPr>
            </w:pPr>
          </w:p>
        </w:tc>
        <w:tc>
          <w:tcPr>
            <w:tcW w:w="448" w:type="dxa"/>
          </w:tcPr>
          <w:p w14:paraId="2F76BD6A" w14:textId="77777777" w:rsidR="009810A5" w:rsidRPr="009810A5" w:rsidRDefault="009810A5" w:rsidP="009810A5">
            <w:pPr>
              <w:ind w:right="-360"/>
              <w:rPr>
                <w:sz w:val="20"/>
                <w:szCs w:val="20"/>
              </w:rPr>
            </w:pPr>
          </w:p>
        </w:tc>
        <w:tc>
          <w:tcPr>
            <w:tcW w:w="1960" w:type="dxa"/>
          </w:tcPr>
          <w:p w14:paraId="794D4739" w14:textId="77777777" w:rsidR="009810A5" w:rsidRPr="009810A5" w:rsidRDefault="009810A5" w:rsidP="009810A5">
            <w:pPr>
              <w:tabs>
                <w:tab w:val="right" w:pos="9180"/>
              </w:tabs>
              <w:ind w:right="-360"/>
              <w:rPr>
                <w:sz w:val="20"/>
                <w:szCs w:val="20"/>
              </w:rPr>
            </w:pPr>
          </w:p>
        </w:tc>
        <w:tc>
          <w:tcPr>
            <w:tcW w:w="537" w:type="dxa"/>
          </w:tcPr>
          <w:p w14:paraId="24B24CFF" w14:textId="77777777" w:rsidR="009810A5" w:rsidRPr="009810A5" w:rsidRDefault="009810A5" w:rsidP="009810A5">
            <w:pPr>
              <w:tabs>
                <w:tab w:val="right" w:pos="9180"/>
              </w:tabs>
              <w:ind w:right="-18"/>
              <w:rPr>
                <w:sz w:val="20"/>
                <w:szCs w:val="20"/>
              </w:rPr>
            </w:pPr>
          </w:p>
        </w:tc>
        <w:tc>
          <w:tcPr>
            <w:tcW w:w="537" w:type="dxa"/>
          </w:tcPr>
          <w:p w14:paraId="67408CB4" w14:textId="77777777" w:rsidR="009810A5" w:rsidRPr="009810A5" w:rsidRDefault="009810A5" w:rsidP="009810A5">
            <w:pPr>
              <w:tabs>
                <w:tab w:val="right" w:pos="9180"/>
              </w:tabs>
              <w:ind w:right="-360"/>
              <w:rPr>
                <w:sz w:val="20"/>
                <w:szCs w:val="20"/>
              </w:rPr>
            </w:pPr>
          </w:p>
        </w:tc>
        <w:tc>
          <w:tcPr>
            <w:tcW w:w="1960" w:type="dxa"/>
          </w:tcPr>
          <w:p w14:paraId="3262CCD4" w14:textId="77777777" w:rsidR="009810A5" w:rsidRPr="009810A5" w:rsidRDefault="009810A5" w:rsidP="009810A5">
            <w:pPr>
              <w:tabs>
                <w:tab w:val="right" w:pos="9180"/>
              </w:tabs>
              <w:ind w:right="-360"/>
              <w:rPr>
                <w:sz w:val="20"/>
                <w:szCs w:val="20"/>
              </w:rPr>
            </w:pPr>
          </w:p>
        </w:tc>
        <w:tc>
          <w:tcPr>
            <w:tcW w:w="1782" w:type="dxa"/>
          </w:tcPr>
          <w:p w14:paraId="1358A906" w14:textId="77777777" w:rsidR="009810A5" w:rsidRPr="009810A5" w:rsidRDefault="009810A5" w:rsidP="009810A5">
            <w:pPr>
              <w:tabs>
                <w:tab w:val="right" w:pos="9180"/>
              </w:tabs>
              <w:ind w:right="-18"/>
              <w:rPr>
                <w:sz w:val="20"/>
                <w:szCs w:val="20"/>
              </w:rPr>
            </w:pPr>
          </w:p>
        </w:tc>
        <w:tc>
          <w:tcPr>
            <w:tcW w:w="359" w:type="dxa"/>
          </w:tcPr>
          <w:p w14:paraId="4B591402" w14:textId="77777777" w:rsidR="009810A5" w:rsidRPr="009810A5" w:rsidRDefault="009810A5" w:rsidP="009810A5">
            <w:pPr>
              <w:tabs>
                <w:tab w:val="right" w:pos="9180"/>
              </w:tabs>
              <w:ind w:right="-360"/>
              <w:rPr>
                <w:sz w:val="20"/>
                <w:szCs w:val="20"/>
              </w:rPr>
            </w:pPr>
          </w:p>
        </w:tc>
        <w:tc>
          <w:tcPr>
            <w:tcW w:w="1782" w:type="dxa"/>
          </w:tcPr>
          <w:p w14:paraId="33617FD9" w14:textId="77777777" w:rsidR="009810A5" w:rsidRPr="009810A5" w:rsidRDefault="009810A5" w:rsidP="009810A5">
            <w:pPr>
              <w:tabs>
                <w:tab w:val="right" w:pos="9180"/>
              </w:tabs>
              <w:ind w:right="-18"/>
              <w:rPr>
                <w:sz w:val="20"/>
                <w:szCs w:val="20"/>
              </w:rPr>
            </w:pPr>
          </w:p>
        </w:tc>
      </w:tr>
      <w:tr w:rsidR="009810A5" w:rsidRPr="009810A5" w14:paraId="2DC74C7F" w14:textId="77777777" w:rsidTr="004F5282">
        <w:trPr>
          <w:trHeight w:val="230"/>
        </w:trPr>
        <w:tc>
          <w:tcPr>
            <w:tcW w:w="3231" w:type="dxa"/>
            <w:gridSpan w:val="4"/>
          </w:tcPr>
          <w:p w14:paraId="464ABEAB" w14:textId="77777777" w:rsidR="009810A5" w:rsidRPr="009810A5" w:rsidRDefault="009810A5" w:rsidP="009810A5">
            <w:pPr>
              <w:tabs>
                <w:tab w:val="right" w:pos="9180"/>
              </w:tabs>
              <w:ind w:right="-360"/>
              <w:rPr>
                <w:sz w:val="20"/>
                <w:szCs w:val="20"/>
              </w:rPr>
            </w:pPr>
            <w:r w:rsidRPr="009810A5">
              <w:rPr>
                <w:sz w:val="20"/>
                <w:szCs w:val="20"/>
              </w:rPr>
              <w:t>Basic and diluted:</w:t>
            </w:r>
          </w:p>
        </w:tc>
        <w:tc>
          <w:tcPr>
            <w:tcW w:w="537" w:type="dxa"/>
          </w:tcPr>
          <w:p w14:paraId="3C819205" w14:textId="77777777" w:rsidR="009810A5" w:rsidRPr="009810A5" w:rsidRDefault="009810A5" w:rsidP="009810A5">
            <w:pPr>
              <w:tabs>
                <w:tab w:val="right" w:pos="9180"/>
              </w:tabs>
              <w:ind w:right="-18"/>
              <w:rPr>
                <w:sz w:val="20"/>
                <w:szCs w:val="20"/>
              </w:rPr>
            </w:pPr>
          </w:p>
        </w:tc>
        <w:tc>
          <w:tcPr>
            <w:tcW w:w="537" w:type="dxa"/>
          </w:tcPr>
          <w:p w14:paraId="51CB92DF" w14:textId="77777777" w:rsidR="009810A5" w:rsidRPr="009810A5" w:rsidRDefault="009810A5" w:rsidP="009810A5">
            <w:pPr>
              <w:tabs>
                <w:tab w:val="right" w:pos="9180"/>
              </w:tabs>
              <w:ind w:right="-360"/>
              <w:rPr>
                <w:sz w:val="20"/>
                <w:szCs w:val="20"/>
              </w:rPr>
            </w:pPr>
          </w:p>
        </w:tc>
        <w:tc>
          <w:tcPr>
            <w:tcW w:w="1960" w:type="dxa"/>
          </w:tcPr>
          <w:p w14:paraId="09CE52AD" w14:textId="77777777" w:rsidR="009810A5" w:rsidRPr="009810A5" w:rsidRDefault="009810A5" w:rsidP="009810A5">
            <w:pPr>
              <w:tabs>
                <w:tab w:val="right" w:pos="9180"/>
              </w:tabs>
              <w:ind w:right="-360"/>
              <w:rPr>
                <w:sz w:val="20"/>
                <w:szCs w:val="20"/>
              </w:rPr>
            </w:pPr>
          </w:p>
        </w:tc>
        <w:tc>
          <w:tcPr>
            <w:tcW w:w="1782" w:type="dxa"/>
          </w:tcPr>
          <w:p w14:paraId="4B466C45" w14:textId="77777777" w:rsidR="009810A5" w:rsidRPr="009810A5" w:rsidRDefault="009810A5" w:rsidP="009810A5">
            <w:pPr>
              <w:tabs>
                <w:tab w:val="right" w:pos="9180"/>
              </w:tabs>
              <w:ind w:right="-18"/>
              <w:rPr>
                <w:sz w:val="20"/>
                <w:szCs w:val="20"/>
              </w:rPr>
            </w:pPr>
          </w:p>
        </w:tc>
        <w:tc>
          <w:tcPr>
            <w:tcW w:w="359" w:type="dxa"/>
          </w:tcPr>
          <w:p w14:paraId="67B48076" w14:textId="77777777" w:rsidR="009810A5" w:rsidRPr="009810A5" w:rsidRDefault="009810A5" w:rsidP="009810A5">
            <w:pPr>
              <w:tabs>
                <w:tab w:val="right" w:pos="9180"/>
              </w:tabs>
              <w:ind w:right="-360"/>
              <w:rPr>
                <w:sz w:val="20"/>
                <w:szCs w:val="20"/>
              </w:rPr>
            </w:pPr>
          </w:p>
        </w:tc>
        <w:tc>
          <w:tcPr>
            <w:tcW w:w="1782" w:type="dxa"/>
          </w:tcPr>
          <w:p w14:paraId="12B11034" w14:textId="77777777" w:rsidR="009810A5" w:rsidRPr="009810A5" w:rsidRDefault="009810A5" w:rsidP="009810A5">
            <w:pPr>
              <w:tabs>
                <w:tab w:val="right" w:pos="9180"/>
              </w:tabs>
              <w:ind w:right="-18"/>
              <w:rPr>
                <w:sz w:val="20"/>
                <w:szCs w:val="20"/>
              </w:rPr>
            </w:pPr>
          </w:p>
        </w:tc>
      </w:tr>
      <w:tr w:rsidR="009810A5" w:rsidRPr="009810A5" w14:paraId="1C0BB575" w14:textId="77777777" w:rsidTr="004F5282">
        <w:trPr>
          <w:trHeight w:val="230"/>
        </w:trPr>
        <w:tc>
          <w:tcPr>
            <w:tcW w:w="375" w:type="dxa"/>
          </w:tcPr>
          <w:p w14:paraId="51CE610D" w14:textId="77777777" w:rsidR="009810A5" w:rsidRPr="009810A5" w:rsidRDefault="009810A5" w:rsidP="009810A5">
            <w:pPr>
              <w:ind w:right="-360"/>
              <w:rPr>
                <w:sz w:val="20"/>
                <w:szCs w:val="20"/>
              </w:rPr>
            </w:pPr>
          </w:p>
        </w:tc>
        <w:tc>
          <w:tcPr>
            <w:tcW w:w="5890" w:type="dxa"/>
            <w:gridSpan w:val="6"/>
          </w:tcPr>
          <w:p w14:paraId="756E2369" w14:textId="77777777" w:rsidR="009810A5" w:rsidRPr="009810A5" w:rsidRDefault="009810A5" w:rsidP="009810A5">
            <w:pPr>
              <w:tabs>
                <w:tab w:val="right" w:pos="9180"/>
              </w:tabs>
              <w:ind w:right="-360"/>
              <w:rPr>
                <w:sz w:val="20"/>
                <w:szCs w:val="20"/>
              </w:rPr>
            </w:pPr>
            <w:r w:rsidRPr="009810A5">
              <w:rPr>
                <w:sz w:val="20"/>
                <w:szCs w:val="20"/>
              </w:rPr>
              <w:t>Net loss per common share</w:t>
            </w:r>
          </w:p>
        </w:tc>
        <w:tc>
          <w:tcPr>
            <w:tcW w:w="1782" w:type="dxa"/>
            <w:tcBorders>
              <w:bottom w:val="double" w:sz="4" w:space="0" w:color="auto"/>
            </w:tcBorders>
          </w:tcPr>
          <w:p w14:paraId="1D515E5F" w14:textId="77777777" w:rsidR="009810A5" w:rsidRPr="009810A5" w:rsidRDefault="009810A5" w:rsidP="009810A5">
            <w:pPr>
              <w:tabs>
                <w:tab w:val="decimal" w:pos="1025"/>
                <w:tab w:val="right" w:pos="9180"/>
              </w:tabs>
              <w:ind w:right="-18"/>
              <w:rPr>
                <w:sz w:val="20"/>
                <w:szCs w:val="20"/>
              </w:rPr>
            </w:pPr>
            <w:r w:rsidRPr="009810A5">
              <w:rPr>
                <w:sz w:val="20"/>
                <w:szCs w:val="20"/>
              </w:rPr>
              <w:t>$</w:t>
            </w:r>
            <w:r w:rsidRPr="009810A5">
              <w:rPr>
                <w:sz w:val="20"/>
                <w:szCs w:val="20"/>
              </w:rPr>
              <w:tab/>
              <w:t>(0.34)</w:t>
            </w:r>
          </w:p>
        </w:tc>
        <w:tc>
          <w:tcPr>
            <w:tcW w:w="359" w:type="dxa"/>
          </w:tcPr>
          <w:p w14:paraId="559E134A" w14:textId="77777777" w:rsidR="009810A5" w:rsidRPr="009810A5" w:rsidRDefault="009810A5" w:rsidP="009810A5">
            <w:pPr>
              <w:tabs>
                <w:tab w:val="right" w:pos="9180"/>
              </w:tabs>
              <w:ind w:right="-360"/>
              <w:rPr>
                <w:sz w:val="20"/>
                <w:szCs w:val="20"/>
              </w:rPr>
            </w:pPr>
          </w:p>
        </w:tc>
        <w:tc>
          <w:tcPr>
            <w:tcW w:w="1782" w:type="dxa"/>
            <w:tcBorders>
              <w:bottom w:val="double" w:sz="4" w:space="0" w:color="auto"/>
            </w:tcBorders>
          </w:tcPr>
          <w:p w14:paraId="2C56E13D" w14:textId="77777777" w:rsidR="009810A5" w:rsidRPr="009810A5" w:rsidRDefault="009810A5" w:rsidP="009810A5">
            <w:pPr>
              <w:tabs>
                <w:tab w:val="decimal" w:pos="1044"/>
                <w:tab w:val="right" w:pos="9180"/>
              </w:tabs>
              <w:ind w:right="-18"/>
              <w:rPr>
                <w:sz w:val="20"/>
                <w:szCs w:val="20"/>
              </w:rPr>
            </w:pPr>
            <w:r w:rsidRPr="009810A5">
              <w:rPr>
                <w:sz w:val="20"/>
                <w:szCs w:val="20"/>
              </w:rPr>
              <w:t>$</w:t>
            </w:r>
            <w:r w:rsidRPr="009810A5">
              <w:rPr>
                <w:sz w:val="20"/>
                <w:szCs w:val="20"/>
              </w:rPr>
              <w:tab/>
              <w:t>(0.29)</w:t>
            </w:r>
          </w:p>
        </w:tc>
      </w:tr>
      <w:tr w:rsidR="009810A5" w:rsidRPr="009810A5" w14:paraId="6F58F262" w14:textId="77777777" w:rsidTr="004F5282">
        <w:trPr>
          <w:trHeight w:val="230"/>
        </w:trPr>
        <w:tc>
          <w:tcPr>
            <w:tcW w:w="375" w:type="dxa"/>
          </w:tcPr>
          <w:p w14:paraId="083D0A3F" w14:textId="77777777" w:rsidR="009810A5" w:rsidRPr="009810A5" w:rsidRDefault="009810A5" w:rsidP="009810A5">
            <w:pPr>
              <w:ind w:right="-360"/>
              <w:rPr>
                <w:sz w:val="20"/>
                <w:szCs w:val="20"/>
              </w:rPr>
            </w:pPr>
          </w:p>
        </w:tc>
        <w:tc>
          <w:tcPr>
            <w:tcW w:w="3393" w:type="dxa"/>
            <w:gridSpan w:val="4"/>
          </w:tcPr>
          <w:p w14:paraId="28BEC3F7" w14:textId="77777777" w:rsidR="009810A5" w:rsidRPr="009810A5" w:rsidRDefault="009810A5" w:rsidP="009810A5">
            <w:pPr>
              <w:tabs>
                <w:tab w:val="right" w:pos="9180"/>
              </w:tabs>
              <w:ind w:right="-18"/>
              <w:rPr>
                <w:sz w:val="20"/>
                <w:szCs w:val="20"/>
              </w:rPr>
            </w:pPr>
            <w:r w:rsidRPr="009810A5">
              <w:rPr>
                <w:sz w:val="20"/>
                <w:szCs w:val="20"/>
              </w:rPr>
              <w:t>Weighted average shares outstanding</w:t>
            </w:r>
          </w:p>
        </w:tc>
        <w:tc>
          <w:tcPr>
            <w:tcW w:w="537" w:type="dxa"/>
          </w:tcPr>
          <w:p w14:paraId="3970B399" w14:textId="77777777" w:rsidR="009810A5" w:rsidRPr="009810A5" w:rsidRDefault="009810A5" w:rsidP="009810A5">
            <w:pPr>
              <w:tabs>
                <w:tab w:val="right" w:pos="9180"/>
              </w:tabs>
              <w:ind w:right="-360"/>
              <w:rPr>
                <w:sz w:val="20"/>
                <w:szCs w:val="20"/>
              </w:rPr>
            </w:pPr>
          </w:p>
        </w:tc>
        <w:tc>
          <w:tcPr>
            <w:tcW w:w="1960" w:type="dxa"/>
          </w:tcPr>
          <w:p w14:paraId="33A6B865" w14:textId="77777777" w:rsidR="009810A5" w:rsidRPr="009810A5" w:rsidRDefault="009810A5" w:rsidP="009810A5">
            <w:pPr>
              <w:tabs>
                <w:tab w:val="right" w:pos="9180"/>
              </w:tabs>
              <w:ind w:right="-360"/>
              <w:rPr>
                <w:sz w:val="20"/>
                <w:szCs w:val="20"/>
              </w:rPr>
            </w:pPr>
          </w:p>
        </w:tc>
        <w:tc>
          <w:tcPr>
            <w:tcW w:w="1782" w:type="dxa"/>
            <w:tcBorders>
              <w:top w:val="double" w:sz="4" w:space="0" w:color="auto"/>
              <w:bottom w:val="double" w:sz="4" w:space="0" w:color="auto"/>
            </w:tcBorders>
          </w:tcPr>
          <w:p w14:paraId="1DFCBCEE" w14:textId="77777777" w:rsidR="009810A5" w:rsidRPr="009810A5" w:rsidRDefault="009810A5" w:rsidP="009810A5">
            <w:pPr>
              <w:tabs>
                <w:tab w:val="decimal" w:pos="1295"/>
                <w:tab w:val="right" w:pos="9180"/>
              </w:tabs>
              <w:ind w:right="-18"/>
              <w:rPr>
                <w:sz w:val="20"/>
                <w:szCs w:val="20"/>
              </w:rPr>
            </w:pPr>
            <w:r w:rsidRPr="009810A5">
              <w:rPr>
                <w:sz w:val="20"/>
                <w:szCs w:val="20"/>
              </w:rPr>
              <w:tab/>
              <w:t>7,109,473</w:t>
            </w:r>
          </w:p>
        </w:tc>
        <w:tc>
          <w:tcPr>
            <w:tcW w:w="359" w:type="dxa"/>
          </w:tcPr>
          <w:p w14:paraId="03E8BFD2" w14:textId="77777777" w:rsidR="009810A5" w:rsidRPr="009810A5" w:rsidRDefault="009810A5" w:rsidP="009810A5">
            <w:pPr>
              <w:tabs>
                <w:tab w:val="right" w:pos="9180"/>
              </w:tabs>
              <w:ind w:right="-360"/>
              <w:rPr>
                <w:sz w:val="20"/>
                <w:szCs w:val="20"/>
              </w:rPr>
            </w:pPr>
          </w:p>
        </w:tc>
        <w:tc>
          <w:tcPr>
            <w:tcW w:w="1782" w:type="dxa"/>
            <w:tcBorders>
              <w:top w:val="double" w:sz="4" w:space="0" w:color="auto"/>
              <w:bottom w:val="double" w:sz="4" w:space="0" w:color="auto"/>
            </w:tcBorders>
          </w:tcPr>
          <w:p w14:paraId="13138819" w14:textId="77777777" w:rsidR="009810A5" w:rsidRPr="009810A5" w:rsidRDefault="009810A5" w:rsidP="009810A5">
            <w:pPr>
              <w:tabs>
                <w:tab w:val="decimal" w:pos="1314"/>
                <w:tab w:val="right" w:pos="9180"/>
              </w:tabs>
              <w:ind w:right="-18"/>
              <w:rPr>
                <w:sz w:val="20"/>
                <w:szCs w:val="20"/>
              </w:rPr>
            </w:pPr>
            <w:r w:rsidRPr="009810A5">
              <w:rPr>
                <w:sz w:val="20"/>
                <w:szCs w:val="20"/>
              </w:rPr>
              <w:tab/>
              <w:t>5,332,058</w:t>
            </w:r>
          </w:p>
        </w:tc>
      </w:tr>
      <w:tr w:rsidR="009810A5" w:rsidRPr="009810A5" w14:paraId="7D7433EF" w14:textId="77777777" w:rsidTr="004F5282">
        <w:trPr>
          <w:trHeight w:val="230"/>
        </w:trPr>
        <w:tc>
          <w:tcPr>
            <w:tcW w:w="3231" w:type="dxa"/>
            <w:gridSpan w:val="4"/>
          </w:tcPr>
          <w:p w14:paraId="4257887F" w14:textId="77777777" w:rsidR="009810A5" w:rsidRPr="009810A5" w:rsidRDefault="009810A5" w:rsidP="009810A5">
            <w:pPr>
              <w:tabs>
                <w:tab w:val="right" w:pos="9180"/>
              </w:tabs>
              <w:ind w:right="-360"/>
              <w:rPr>
                <w:sz w:val="20"/>
                <w:szCs w:val="20"/>
              </w:rPr>
            </w:pPr>
          </w:p>
        </w:tc>
        <w:tc>
          <w:tcPr>
            <w:tcW w:w="537" w:type="dxa"/>
          </w:tcPr>
          <w:p w14:paraId="331C4362" w14:textId="77777777" w:rsidR="009810A5" w:rsidRPr="009810A5" w:rsidRDefault="009810A5" w:rsidP="009810A5">
            <w:pPr>
              <w:tabs>
                <w:tab w:val="decimal" w:pos="882"/>
                <w:tab w:val="right" w:pos="9180"/>
              </w:tabs>
              <w:ind w:right="-18"/>
              <w:rPr>
                <w:sz w:val="20"/>
                <w:szCs w:val="20"/>
              </w:rPr>
            </w:pPr>
          </w:p>
        </w:tc>
        <w:tc>
          <w:tcPr>
            <w:tcW w:w="537" w:type="dxa"/>
          </w:tcPr>
          <w:p w14:paraId="5E51D8DF" w14:textId="77777777" w:rsidR="009810A5" w:rsidRPr="009810A5" w:rsidRDefault="009810A5" w:rsidP="009810A5">
            <w:pPr>
              <w:tabs>
                <w:tab w:val="right" w:pos="9180"/>
              </w:tabs>
              <w:ind w:right="-360"/>
              <w:rPr>
                <w:sz w:val="20"/>
                <w:szCs w:val="20"/>
              </w:rPr>
            </w:pPr>
          </w:p>
        </w:tc>
        <w:tc>
          <w:tcPr>
            <w:tcW w:w="1960" w:type="dxa"/>
          </w:tcPr>
          <w:p w14:paraId="04F9CDCA" w14:textId="77777777" w:rsidR="009810A5" w:rsidRPr="009810A5" w:rsidRDefault="009810A5" w:rsidP="009810A5">
            <w:pPr>
              <w:tabs>
                <w:tab w:val="right" w:pos="9180"/>
              </w:tabs>
              <w:ind w:right="-360"/>
              <w:rPr>
                <w:sz w:val="20"/>
                <w:szCs w:val="20"/>
              </w:rPr>
            </w:pPr>
          </w:p>
        </w:tc>
        <w:tc>
          <w:tcPr>
            <w:tcW w:w="1782" w:type="dxa"/>
          </w:tcPr>
          <w:p w14:paraId="7E586BA3" w14:textId="77777777" w:rsidR="009810A5" w:rsidRPr="009810A5" w:rsidRDefault="009810A5" w:rsidP="009810A5">
            <w:pPr>
              <w:tabs>
                <w:tab w:val="decimal" w:pos="792"/>
                <w:tab w:val="right" w:pos="9180"/>
              </w:tabs>
              <w:ind w:right="-18"/>
              <w:rPr>
                <w:sz w:val="20"/>
                <w:szCs w:val="20"/>
              </w:rPr>
            </w:pPr>
          </w:p>
        </w:tc>
        <w:tc>
          <w:tcPr>
            <w:tcW w:w="359" w:type="dxa"/>
          </w:tcPr>
          <w:p w14:paraId="21264154" w14:textId="77777777" w:rsidR="009810A5" w:rsidRPr="009810A5" w:rsidRDefault="009810A5" w:rsidP="009810A5">
            <w:pPr>
              <w:tabs>
                <w:tab w:val="right" w:pos="9180"/>
              </w:tabs>
              <w:ind w:right="-360"/>
              <w:rPr>
                <w:sz w:val="20"/>
                <w:szCs w:val="20"/>
              </w:rPr>
            </w:pPr>
          </w:p>
        </w:tc>
        <w:tc>
          <w:tcPr>
            <w:tcW w:w="1782" w:type="dxa"/>
          </w:tcPr>
          <w:p w14:paraId="53A509C2" w14:textId="77777777" w:rsidR="009810A5" w:rsidRPr="009810A5" w:rsidRDefault="009810A5" w:rsidP="009810A5">
            <w:pPr>
              <w:tabs>
                <w:tab w:val="decimal" w:pos="702"/>
                <w:tab w:val="right" w:pos="9180"/>
              </w:tabs>
              <w:ind w:right="-18"/>
              <w:rPr>
                <w:sz w:val="20"/>
                <w:szCs w:val="20"/>
              </w:rPr>
            </w:pPr>
          </w:p>
        </w:tc>
      </w:tr>
      <w:tr w:rsidR="009810A5" w:rsidRPr="009810A5" w14:paraId="6A118E59" w14:textId="77777777" w:rsidTr="004F5282">
        <w:trPr>
          <w:trHeight w:val="230"/>
        </w:trPr>
        <w:tc>
          <w:tcPr>
            <w:tcW w:w="3231" w:type="dxa"/>
            <w:gridSpan w:val="4"/>
          </w:tcPr>
          <w:p w14:paraId="6DF95D92" w14:textId="77777777" w:rsidR="009810A5" w:rsidRPr="009810A5" w:rsidRDefault="009810A5" w:rsidP="009810A5">
            <w:pPr>
              <w:tabs>
                <w:tab w:val="right" w:pos="9180"/>
              </w:tabs>
              <w:ind w:right="-360"/>
              <w:rPr>
                <w:sz w:val="20"/>
                <w:szCs w:val="20"/>
              </w:rPr>
            </w:pPr>
          </w:p>
        </w:tc>
        <w:tc>
          <w:tcPr>
            <w:tcW w:w="537" w:type="dxa"/>
          </w:tcPr>
          <w:p w14:paraId="12878CB9" w14:textId="77777777" w:rsidR="009810A5" w:rsidRPr="009810A5" w:rsidRDefault="009810A5" w:rsidP="009810A5">
            <w:pPr>
              <w:tabs>
                <w:tab w:val="decimal" w:pos="882"/>
                <w:tab w:val="right" w:pos="9180"/>
              </w:tabs>
              <w:ind w:right="-18"/>
              <w:rPr>
                <w:sz w:val="20"/>
                <w:szCs w:val="20"/>
              </w:rPr>
            </w:pPr>
          </w:p>
        </w:tc>
        <w:tc>
          <w:tcPr>
            <w:tcW w:w="537" w:type="dxa"/>
          </w:tcPr>
          <w:p w14:paraId="752E5139" w14:textId="77777777" w:rsidR="009810A5" w:rsidRPr="009810A5" w:rsidRDefault="009810A5" w:rsidP="009810A5">
            <w:pPr>
              <w:tabs>
                <w:tab w:val="right" w:pos="9180"/>
              </w:tabs>
              <w:ind w:right="-360"/>
              <w:rPr>
                <w:sz w:val="20"/>
                <w:szCs w:val="20"/>
              </w:rPr>
            </w:pPr>
          </w:p>
        </w:tc>
        <w:tc>
          <w:tcPr>
            <w:tcW w:w="1960" w:type="dxa"/>
          </w:tcPr>
          <w:p w14:paraId="0CEEE482" w14:textId="77777777" w:rsidR="009810A5" w:rsidRPr="009810A5" w:rsidRDefault="009810A5" w:rsidP="009810A5">
            <w:pPr>
              <w:tabs>
                <w:tab w:val="right" w:pos="9180"/>
              </w:tabs>
              <w:ind w:right="-360"/>
              <w:rPr>
                <w:sz w:val="20"/>
                <w:szCs w:val="20"/>
              </w:rPr>
            </w:pPr>
          </w:p>
        </w:tc>
        <w:tc>
          <w:tcPr>
            <w:tcW w:w="1782" w:type="dxa"/>
          </w:tcPr>
          <w:p w14:paraId="43C0F8D0" w14:textId="77777777" w:rsidR="009810A5" w:rsidRPr="009810A5" w:rsidRDefault="009810A5" w:rsidP="009810A5">
            <w:pPr>
              <w:tabs>
                <w:tab w:val="decimal" w:pos="792"/>
                <w:tab w:val="right" w:pos="9180"/>
              </w:tabs>
              <w:ind w:right="-18"/>
              <w:rPr>
                <w:sz w:val="20"/>
                <w:szCs w:val="20"/>
              </w:rPr>
            </w:pPr>
          </w:p>
        </w:tc>
        <w:tc>
          <w:tcPr>
            <w:tcW w:w="359" w:type="dxa"/>
          </w:tcPr>
          <w:p w14:paraId="5D161622" w14:textId="77777777" w:rsidR="009810A5" w:rsidRPr="009810A5" w:rsidRDefault="009810A5" w:rsidP="009810A5">
            <w:pPr>
              <w:tabs>
                <w:tab w:val="right" w:pos="9180"/>
              </w:tabs>
              <w:ind w:right="-360"/>
              <w:rPr>
                <w:sz w:val="20"/>
                <w:szCs w:val="20"/>
              </w:rPr>
            </w:pPr>
          </w:p>
        </w:tc>
        <w:tc>
          <w:tcPr>
            <w:tcW w:w="1782" w:type="dxa"/>
          </w:tcPr>
          <w:p w14:paraId="335BF6A3" w14:textId="77777777" w:rsidR="009810A5" w:rsidRPr="009810A5" w:rsidRDefault="009810A5" w:rsidP="009810A5">
            <w:pPr>
              <w:tabs>
                <w:tab w:val="decimal" w:pos="702"/>
                <w:tab w:val="right" w:pos="9180"/>
              </w:tabs>
              <w:ind w:right="-18"/>
              <w:rPr>
                <w:sz w:val="20"/>
                <w:szCs w:val="20"/>
              </w:rPr>
            </w:pPr>
          </w:p>
        </w:tc>
      </w:tr>
      <w:tr w:rsidR="009810A5" w:rsidRPr="009810A5" w14:paraId="3297CF61" w14:textId="77777777" w:rsidTr="004F5282">
        <w:trPr>
          <w:trHeight w:val="230"/>
        </w:trPr>
        <w:tc>
          <w:tcPr>
            <w:tcW w:w="3231" w:type="dxa"/>
            <w:gridSpan w:val="4"/>
          </w:tcPr>
          <w:p w14:paraId="3E8EE2F2" w14:textId="77777777" w:rsidR="009810A5" w:rsidRPr="009810A5" w:rsidRDefault="009810A5" w:rsidP="009810A5">
            <w:pPr>
              <w:tabs>
                <w:tab w:val="right" w:pos="9180"/>
              </w:tabs>
              <w:ind w:right="-360"/>
              <w:rPr>
                <w:sz w:val="20"/>
                <w:szCs w:val="20"/>
              </w:rPr>
            </w:pPr>
          </w:p>
        </w:tc>
        <w:tc>
          <w:tcPr>
            <w:tcW w:w="537" w:type="dxa"/>
          </w:tcPr>
          <w:p w14:paraId="0AA52600" w14:textId="77777777" w:rsidR="009810A5" w:rsidRPr="009810A5" w:rsidRDefault="009810A5" w:rsidP="009810A5">
            <w:pPr>
              <w:tabs>
                <w:tab w:val="decimal" w:pos="882"/>
                <w:tab w:val="right" w:pos="9180"/>
              </w:tabs>
              <w:ind w:right="-18"/>
              <w:rPr>
                <w:sz w:val="20"/>
                <w:szCs w:val="20"/>
              </w:rPr>
            </w:pPr>
          </w:p>
        </w:tc>
        <w:tc>
          <w:tcPr>
            <w:tcW w:w="537" w:type="dxa"/>
          </w:tcPr>
          <w:p w14:paraId="7CAF776F" w14:textId="77777777" w:rsidR="009810A5" w:rsidRPr="009810A5" w:rsidRDefault="009810A5" w:rsidP="009810A5">
            <w:pPr>
              <w:tabs>
                <w:tab w:val="right" w:pos="9180"/>
              </w:tabs>
              <w:ind w:right="-360"/>
              <w:rPr>
                <w:sz w:val="20"/>
                <w:szCs w:val="20"/>
              </w:rPr>
            </w:pPr>
          </w:p>
        </w:tc>
        <w:tc>
          <w:tcPr>
            <w:tcW w:w="1960" w:type="dxa"/>
          </w:tcPr>
          <w:p w14:paraId="7285C852" w14:textId="77777777" w:rsidR="009810A5" w:rsidRPr="009810A5" w:rsidRDefault="009810A5" w:rsidP="009810A5">
            <w:pPr>
              <w:tabs>
                <w:tab w:val="right" w:pos="9180"/>
              </w:tabs>
              <w:ind w:right="-360"/>
              <w:rPr>
                <w:sz w:val="20"/>
                <w:szCs w:val="20"/>
              </w:rPr>
            </w:pPr>
          </w:p>
        </w:tc>
        <w:tc>
          <w:tcPr>
            <w:tcW w:w="1782" w:type="dxa"/>
          </w:tcPr>
          <w:p w14:paraId="1162DA51" w14:textId="77777777" w:rsidR="009810A5" w:rsidRPr="009810A5" w:rsidRDefault="009810A5" w:rsidP="009810A5">
            <w:pPr>
              <w:tabs>
                <w:tab w:val="decimal" w:pos="792"/>
                <w:tab w:val="right" w:pos="9180"/>
              </w:tabs>
              <w:ind w:right="-18"/>
              <w:rPr>
                <w:sz w:val="20"/>
                <w:szCs w:val="20"/>
              </w:rPr>
            </w:pPr>
          </w:p>
        </w:tc>
        <w:tc>
          <w:tcPr>
            <w:tcW w:w="359" w:type="dxa"/>
          </w:tcPr>
          <w:p w14:paraId="185E17E4" w14:textId="77777777" w:rsidR="009810A5" w:rsidRPr="009810A5" w:rsidRDefault="009810A5" w:rsidP="009810A5">
            <w:pPr>
              <w:tabs>
                <w:tab w:val="right" w:pos="9180"/>
              </w:tabs>
              <w:ind w:right="-360"/>
              <w:rPr>
                <w:sz w:val="20"/>
                <w:szCs w:val="20"/>
              </w:rPr>
            </w:pPr>
          </w:p>
        </w:tc>
        <w:tc>
          <w:tcPr>
            <w:tcW w:w="1782" w:type="dxa"/>
          </w:tcPr>
          <w:p w14:paraId="6CC73DB9" w14:textId="77777777" w:rsidR="009810A5" w:rsidRPr="009810A5" w:rsidRDefault="009810A5" w:rsidP="009810A5">
            <w:pPr>
              <w:tabs>
                <w:tab w:val="decimal" w:pos="702"/>
                <w:tab w:val="right" w:pos="9180"/>
              </w:tabs>
              <w:ind w:right="-18"/>
              <w:rPr>
                <w:sz w:val="20"/>
                <w:szCs w:val="20"/>
              </w:rPr>
            </w:pPr>
          </w:p>
        </w:tc>
      </w:tr>
    </w:tbl>
    <w:p w14:paraId="04FB88BE" w14:textId="77777777" w:rsidR="009810A5" w:rsidRPr="009810A5" w:rsidRDefault="009810A5" w:rsidP="009810A5">
      <w:pPr>
        <w:tabs>
          <w:tab w:val="left" w:pos="1080"/>
          <w:tab w:val="left" w:pos="1260"/>
          <w:tab w:val="left" w:pos="2340"/>
          <w:tab w:val="right" w:pos="9180"/>
        </w:tabs>
        <w:ind w:right="-360"/>
        <w:rPr>
          <w:sz w:val="20"/>
          <w:szCs w:val="20"/>
        </w:rPr>
      </w:pPr>
    </w:p>
    <w:p w14:paraId="40B9A5F5" w14:textId="77777777" w:rsidR="009810A5" w:rsidRPr="009810A5" w:rsidRDefault="009810A5" w:rsidP="009810A5">
      <w:pPr>
        <w:tabs>
          <w:tab w:val="left" w:pos="1080"/>
          <w:tab w:val="left" w:pos="1260"/>
          <w:tab w:val="left" w:pos="2340"/>
          <w:tab w:val="right" w:pos="9180"/>
        </w:tabs>
        <w:ind w:right="-360"/>
        <w:rPr>
          <w:sz w:val="20"/>
          <w:szCs w:val="20"/>
        </w:rPr>
      </w:pPr>
    </w:p>
    <w:p w14:paraId="2D20860A" w14:textId="77777777" w:rsidR="009810A5" w:rsidRPr="009810A5" w:rsidRDefault="009810A5" w:rsidP="009810A5">
      <w:pPr>
        <w:tabs>
          <w:tab w:val="left" w:pos="1080"/>
          <w:tab w:val="left" w:pos="1260"/>
          <w:tab w:val="left" w:pos="2340"/>
          <w:tab w:val="right" w:pos="9180"/>
        </w:tabs>
        <w:ind w:right="-360"/>
        <w:rPr>
          <w:sz w:val="20"/>
          <w:szCs w:val="20"/>
        </w:rPr>
      </w:pPr>
    </w:p>
    <w:p w14:paraId="53C305E6" w14:textId="77777777" w:rsidR="009810A5" w:rsidRPr="009810A5" w:rsidRDefault="009810A5" w:rsidP="009810A5">
      <w:pPr>
        <w:tabs>
          <w:tab w:val="left" w:pos="1080"/>
          <w:tab w:val="left" w:pos="1260"/>
          <w:tab w:val="left" w:pos="2340"/>
          <w:tab w:val="right" w:pos="9180"/>
        </w:tabs>
        <w:ind w:right="-360"/>
        <w:jc w:val="center"/>
        <w:rPr>
          <w:sz w:val="20"/>
          <w:szCs w:val="20"/>
        </w:rPr>
      </w:pPr>
      <w:r w:rsidRPr="009810A5">
        <w:rPr>
          <w:sz w:val="20"/>
          <w:szCs w:val="20"/>
        </w:rPr>
        <w:t>See accompanying notes to condensed consolidated financial statements.</w:t>
      </w:r>
    </w:p>
    <w:p w14:paraId="22DD29CB" w14:textId="77777777" w:rsidR="009339E3" w:rsidRDefault="001A664B" w:rsidP="001A664B">
      <w:pPr>
        <w:ind w:left="144" w:right="144"/>
        <w:rPr>
          <w:sz w:val="20"/>
          <w:szCs w:val="20"/>
        </w:rPr>
        <w:sectPr w:rsidR="009339E3" w:rsidSect="001A664B">
          <w:footerReference w:type="default" r:id="rId22"/>
          <w:pgSz w:w="12240" w:h="15840"/>
          <w:pgMar w:top="1440" w:right="1440" w:bottom="1440" w:left="1440" w:header="720" w:footer="720" w:gutter="0"/>
          <w:cols w:space="720"/>
          <w:docGrid w:linePitch="326"/>
        </w:sectPr>
      </w:pPr>
      <w:r>
        <w:rPr>
          <w:sz w:val="20"/>
          <w:szCs w:val="20"/>
        </w:rPr>
        <w:t> </w:t>
      </w:r>
    </w:p>
    <w:p w14:paraId="448B94A6" w14:textId="77777777" w:rsidR="001A664B" w:rsidRDefault="001A664B" w:rsidP="001A664B">
      <w:pPr>
        <w:ind w:left="144" w:right="144"/>
        <w:rPr>
          <w:sz w:val="20"/>
          <w:szCs w:val="20"/>
        </w:rPr>
      </w:pPr>
    </w:p>
    <w:p w14:paraId="381670C3" w14:textId="77777777" w:rsidR="009339E3" w:rsidRPr="009339E3" w:rsidRDefault="009339E3" w:rsidP="009339E3">
      <w:pPr>
        <w:jc w:val="center"/>
        <w:rPr>
          <w:b/>
          <w:sz w:val="20"/>
          <w:szCs w:val="20"/>
        </w:rPr>
      </w:pPr>
      <w:r w:rsidRPr="009339E3">
        <w:rPr>
          <w:b/>
          <w:sz w:val="20"/>
          <w:szCs w:val="20"/>
        </w:rPr>
        <w:t>GEOVAX LABS, INC.</w:t>
      </w:r>
    </w:p>
    <w:p w14:paraId="4FF0C6B9" w14:textId="77777777" w:rsidR="009339E3" w:rsidRPr="009339E3" w:rsidRDefault="009339E3" w:rsidP="009339E3">
      <w:pPr>
        <w:jc w:val="center"/>
        <w:rPr>
          <w:b/>
          <w:sz w:val="20"/>
          <w:szCs w:val="20"/>
        </w:rPr>
      </w:pPr>
      <w:r w:rsidRPr="009339E3">
        <w:rPr>
          <w:b/>
          <w:sz w:val="20"/>
          <w:szCs w:val="20"/>
        </w:rPr>
        <w:t>CONDENSED CONSOLIDATED STATEMENTS OF CHANGES IN STOCKHOLDERS’ EQUITY</w:t>
      </w:r>
    </w:p>
    <w:p w14:paraId="630497E6" w14:textId="77777777" w:rsidR="009339E3" w:rsidRPr="009339E3" w:rsidRDefault="009339E3" w:rsidP="009339E3">
      <w:pPr>
        <w:jc w:val="center"/>
        <w:rPr>
          <w:b/>
          <w:sz w:val="20"/>
          <w:szCs w:val="20"/>
        </w:rPr>
      </w:pPr>
      <w:r w:rsidRPr="009339E3">
        <w:rPr>
          <w:b/>
          <w:sz w:val="20"/>
          <w:szCs w:val="20"/>
        </w:rPr>
        <w:t>(Unaudited)</w:t>
      </w:r>
    </w:p>
    <w:p w14:paraId="42443396" w14:textId="77777777" w:rsidR="009339E3" w:rsidRPr="009339E3" w:rsidRDefault="009339E3" w:rsidP="009339E3">
      <w:pPr>
        <w:tabs>
          <w:tab w:val="decimal" w:pos="1152"/>
          <w:tab w:val="left" w:pos="2340"/>
          <w:tab w:val="right" w:pos="9180"/>
        </w:tabs>
        <w:rPr>
          <w:snapToGrid w:val="0"/>
          <w:color w:val="000000"/>
          <w:sz w:val="20"/>
          <w:szCs w:val="20"/>
        </w:rPr>
      </w:pPr>
    </w:p>
    <w:p w14:paraId="4D7BE3F3" w14:textId="77777777" w:rsidR="009339E3" w:rsidRPr="009339E3" w:rsidRDefault="009339E3" w:rsidP="009339E3">
      <w:pPr>
        <w:tabs>
          <w:tab w:val="decimal" w:pos="1152"/>
          <w:tab w:val="left" w:pos="2340"/>
          <w:tab w:val="right" w:pos="9180"/>
        </w:tabs>
        <w:rPr>
          <w:snapToGrid w:val="0"/>
          <w:color w:val="000000"/>
          <w:sz w:val="19"/>
          <w:szCs w:val="19"/>
        </w:rPr>
      </w:pPr>
      <w:bookmarkStart w:id="59" w:name="_Hlk36562604"/>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170"/>
        <w:gridCol w:w="1170"/>
        <w:gridCol w:w="1080"/>
        <w:gridCol w:w="1170"/>
        <w:gridCol w:w="1440"/>
        <w:gridCol w:w="1350"/>
        <w:gridCol w:w="1800"/>
      </w:tblGrid>
      <w:tr w:rsidR="009339E3" w:rsidRPr="009339E3" w14:paraId="5B49F394" w14:textId="77777777" w:rsidTr="004F5282">
        <w:tc>
          <w:tcPr>
            <w:tcW w:w="4410" w:type="dxa"/>
          </w:tcPr>
          <w:p w14:paraId="24E4AEAE" w14:textId="77777777" w:rsidR="009339E3" w:rsidRPr="009339E3" w:rsidRDefault="009339E3" w:rsidP="009339E3">
            <w:pPr>
              <w:tabs>
                <w:tab w:val="left" w:pos="144"/>
                <w:tab w:val="left" w:pos="324"/>
                <w:tab w:val="right" w:pos="9180"/>
              </w:tabs>
              <w:rPr>
                <w:snapToGrid w:val="0"/>
                <w:color w:val="000000"/>
                <w:sz w:val="19"/>
                <w:szCs w:val="19"/>
              </w:rPr>
            </w:pPr>
            <w:bookmarkStart w:id="60" w:name="_Hlk98334236"/>
            <w:bookmarkEnd w:id="59"/>
          </w:p>
        </w:tc>
        <w:tc>
          <w:tcPr>
            <w:tcW w:w="9180" w:type="dxa"/>
            <w:gridSpan w:val="7"/>
            <w:tcBorders>
              <w:bottom w:val="single" w:sz="4" w:space="0" w:color="auto"/>
            </w:tcBorders>
          </w:tcPr>
          <w:p w14:paraId="740E1509" w14:textId="77777777" w:rsidR="009339E3" w:rsidRPr="009339E3" w:rsidRDefault="009339E3" w:rsidP="009339E3">
            <w:pPr>
              <w:tabs>
                <w:tab w:val="right" w:pos="9180"/>
              </w:tabs>
              <w:jc w:val="center"/>
              <w:rPr>
                <w:snapToGrid w:val="0"/>
                <w:color w:val="000000"/>
                <w:sz w:val="19"/>
                <w:szCs w:val="19"/>
              </w:rPr>
            </w:pPr>
            <w:r w:rsidRPr="009339E3">
              <w:rPr>
                <w:snapToGrid w:val="0"/>
                <w:color w:val="000000"/>
                <w:sz w:val="19"/>
                <w:szCs w:val="19"/>
              </w:rPr>
              <w:t>Three Months Ended March 31, 2022</w:t>
            </w:r>
          </w:p>
        </w:tc>
      </w:tr>
      <w:tr w:rsidR="009339E3" w:rsidRPr="009339E3" w14:paraId="75EBE3EF" w14:textId="77777777" w:rsidTr="004F5282">
        <w:tc>
          <w:tcPr>
            <w:tcW w:w="4410" w:type="dxa"/>
          </w:tcPr>
          <w:p w14:paraId="3F12519A" w14:textId="77777777" w:rsidR="009339E3" w:rsidRPr="009339E3" w:rsidRDefault="009339E3" w:rsidP="009339E3">
            <w:pPr>
              <w:tabs>
                <w:tab w:val="left" w:pos="144"/>
                <w:tab w:val="left" w:pos="324"/>
                <w:tab w:val="right" w:pos="9180"/>
              </w:tabs>
              <w:rPr>
                <w:snapToGrid w:val="0"/>
                <w:color w:val="000000"/>
                <w:sz w:val="19"/>
                <w:szCs w:val="19"/>
              </w:rPr>
            </w:pPr>
          </w:p>
        </w:tc>
        <w:tc>
          <w:tcPr>
            <w:tcW w:w="2340" w:type="dxa"/>
            <w:gridSpan w:val="2"/>
          </w:tcPr>
          <w:p w14:paraId="3CD15CCF" w14:textId="77777777" w:rsidR="009339E3" w:rsidRPr="009339E3" w:rsidRDefault="009339E3" w:rsidP="009339E3">
            <w:pPr>
              <w:tabs>
                <w:tab w:val="left" w:pos="2340"/>
                <w:tab w:val="right" w:pos="9180"/>
              </w:tabs>
              <w:jc w:val="center"/>
              <w:rPr>
                <w:snapToGrid w:val="0"/>
                <w:color w:val="000000"/>
                <w:sz w:val="19"/>
                <w:szCs w:val="19"/>
              </w:rPr>
            </w:pPr>
          </w:p>
        </w:tc>
        <w:tc>
          <w:tcPr>
            <w:tcW w:w="1080" w:type="dxa"/>
          </w:tcPr>
          <w:p w14:paraId="46E23F33" w14:textId="77777777" w:rsidR="009339E3" w:rsidRPr="009339E3" w:rsidRDefault="009339E3" w:rsidP="009339E3">
            <w:pPr>
              <w:tabs>
                <w:tab w:val="decimal" w:pos="1148"/>
                <w:tab w:val="right" w:pos="9180"/>
              </w:tabs>
              <w:jc w:val="center"/>
              <w:rPr>
                <w:snapToGrid w:val="0"/>
                <w:color w:val="000000"/>
                <w:sz w:val="19"/>
                <w:szCs w:val="19"/>
              </w:rPr>
            </w:pPr>
          </w:p>
        </w:tc>
        <w:tc>
          <w:tcPr>
            <w:tcW w:w="1170" w:type="dxa"/>
          </w:tcPr>
          <w:p w14:paraId="709F64BC" w14:textId="77777777" w:rsidR="009339E3" w:rsidRPr="009339E3" w:rsidRDefault="009339E3" w:rsidP="009339E3">
            <w:pPr>
              <w:tabs>
                <w:tab w:val="decimal" w:pos="1148"/>
                <w:tab w:val="right" w:pos="9180"/>
              </w:tabs>
              <w:jc w:val="center"/>
              <w:rPr>
                <w:snapToGrid w:val="0"/>
                <w:color w:val="000000"/>
                <w:sz w:val="19"/>
                <w:szCs w:val="19"/>
              </w:rPr>
            </w:pPr>
          </w:p>
        </w:tc>
        <w:tc>
          <w:tcPr>
            <w:tcW w:w="1440" w:type="dxa"/>
          </w:tcPr>
          <w:p w14:paraId="2DE87F01" w14:textId="77777777" w:rsidR="009339E3" w:rsidRPr="009339E3" w:rsidRDefault="009339E3" w:rsidP="009339E3">
            <w:pPr>
              <w:tabs>
                <w:tab w:val="decimal" w:pos="1148"/>
                <w:tab w:val="right" w:pos="9180"/>
              </w:tabs>
              <w:jc w:val="center"/>
              <w:rPr>
                <w:snapToGrid w:val="0"/>
                <w:color w:val="000000"/>
                <w:sz w:val="19"/>
                <w:szCs w:val="19"/>
              </w:rPr>
            </w:pPr>
          </w:p>
        </w:tc>
        <w:tc>
          <w:tcPr>
            <w:tcW w:w="1350" w:type="dxa"/>
          </w:tcPr>
          <w:p w14:paraId="4B5D02D5" w14:textId="77777777" w:rsidR="009339E3" w:rsidRPr="009339E3" w:rsidRDefault="009339E3" w:rsidP="009339E3">
            <w:pPr>
              <w:tabs>
                <w:tab w:val="right" w:pos="9180"/>
              </w:tabs>
              <w:jc w:val="center"/>
              <w:rPr>
                <w:snapToGrid w:val="0"/>
                <w:color w:val="000000"/>
                <w:sz w:val="19"/>
                <w:szCs w:val="19"/>
              </w:rPr>
            </w:pPr>
          </w:p>
        </w:tc>
        <w:tc>
          <w:tcPr>
            <w:tcW w:w="1800" w:type="dxa"/>
          </w:tcPr>
          <w:p w14:paraId="4A428B6E" w14:textId="77777777" w:rsidR="009339E3" w:rsidRPr="009339E3" w:rsidRDefault="009339E3" w:rsidP="009339E3">
            <w:pPr>
              <w:tabs>
                <w:tab w:val="right" w:pos="9180"/>
              </w:tabs>
              <w:jc w:val="center"/>
              <w:rPr>
                <w:snapToGrid w:val="0"/>
                <w:color w:val="000000"/>
                <w:sz w:val="19"/>
                <w:szCs w:val="19"/>
              </w:rPr>
            </w:pPr>
            <w:r w:rsidRPr="009339E3">
              <w:rPr>
                <w:snapToGrid w:val="0"/>
                <w:color w:val="000000"/>
                <w:sz w:val="19"/>
                <w:szCs w:val="19"/>
              </w:rPr>
              <w:t>Total</w:t>
            </w:r>
          </w:p>
        </w:tc>
      </w:tr>
      <w:tr w:rsidR="009339E3" w:rsidRPr="009339E3" w14:paraId="260002FE" w14:textId="77777777" w:rsidTr="004F5282">
        <w:tc>
          <w:tcPr>
            <w:tcW w:w="4410" w:type="dxa"/>
          </w:tcPr>
          <w:p w14:paraId="75943405" w14:textId="77777777" w:rsidR="009339E3" w:rsidRPr="009339E3" w:rsidRDefault="009339E3" w:rsidP="009339E3">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519C88BE"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Preferred Stock</w:t>
            </w:r>
          </w:p>
        </w:tc>
        <w:tc>
          <w:tcPr>
            <w:tcW w:w="2250" w:type="dxa"/>
            <w:gridSpan w:val="2"/>
            <w:tcBorders>
              <w:bottom w:val="single" w:sz="4" w:space="0" w:color="auto"/>
            </w:tcBorders>
          </w:tcPr>
          <w:p w14:paraId="7D36D4A2"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Common Stock</w:t>
            </w:r>
          </w:p>
        </w:tc>
        <w:tc>
          <w:tcPr>
            <w:tcW w:w="1440" w:type="dxa"/>
          </w:tcPr>
          <w:p w14:paraId="3B885578"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Additional</w:t>
            </w:r>
          </w:p>
        </w:tc>
        <w:tc>
          <w:tcPr>
            <w:tcW w:w="1350" w:type="dxa"/>
          </w:tcPr>
          <w:p w14:paraId="7843B7EE" w14:textId="77777777" w:rsidR="009339E3" w:rsidRPr="009339E3" w:rsidRDefault="009339E3" w:rsidP="009339E3">
            <w:pPr>
              <w:tabs>
                <w:tab w:val="right" w:pos="9180"/>
              </w:tabs>
              <w:jc w:val="center"/>
              <w:rPr>
                <w:snapToGrid w:val="0"/>
                <w:color w:val="000000"/>
                <w:sz w:val="19"/>
                <w:szCs w:val="19"/>
              </w:rPr>
            </w:pPr>
            <w:r w:rsidRPr="009339E3">
              <w:rPr>
                <w:snapToGrid w:val="0"/>
                <w:color w:val="000000"/>
                <w:sz w:val="19"/>
                <w:szCs w:val="19"/>
              </w:rPr>
              <w:t>Accumulated</w:t>
            </w:r>
          </w:p>
        </w:tc>
        <w:tc>
          <w:tcPr>
            <w:tcW w:w="1800" w:type="dxa"/>
          </w:tcPr>
          <w:p w14:paraId="58F40F69"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Stockholders’</w:t>
            </w:r>
          </w:p>
        </w:tc>
      </w:tr>
      <w:tr w:rsidR="009339E3" w:rsidRPr="009339E3" w14:paraId="489C71B1" w14:textId="77777777" w:rsidTr="004F5282">
        <w:tc>
          <w:tcPr>
            <w:tcW w:w="4410" w:type="dxa"/>
          </w:tcPr>
          <w:p w14:paraId="697F8790" w14:textId="77777777" w:rsidR="009339E3" w:rsidRPr="009339E3" w:rsidRDefault="009339E3" w:rsidP="009339E3">
            <w:pPr>
              <w:tabs>
                <w:tab w:val="left" w:pos="144"/>
                <w:tab w:val="left" w:pos="324"/>
                <w:tab w:val="right" w:pos="9180"/>
              </w:tabs>
              <w:rPr>
                <w:snapToGrid w:val="0"/>
                <w:color w:val="000000"/>
                <w:sz w:val="19"/>
                <w:szCs w:val="19"/>
              </w:rPr>
            </w:pPr>
          </w:p>
        </w:tc>
        <w:tc>
          <w:tcPr>
            <w:tcW w:w="1170" w:type="dxa"/>
            <w:tcBorders>
              <w:top w:val="single" w:sz="4" w:space="0" w:color="auto"/>
              <w:bottom w:val="single" w:sz="4" w:space="0" w:color="auto"/>
            </w:tcBorders>
          </w:tcPr>
          <w:p w14:paraId="5C808F7B"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Shares</w:t>
            </w:r>
          </w:p>
        </w:tc>
        <w:tc>
          <w:tcPr>
            <w:tcW w:w="1170" w:type="dxa"/>
            <w:tcBorders>
              <w:top w:val="single" w:sz="4" w:space="0" w:color="auto"/>
              <w:bottom w:val="single" w:sz="4" w:space="0" w:color="auto"/>
            </w:tcBorders>
          </w:tcPr>
          <w:p w14:paraId="4B0D384D"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Amount</w:t>
            </w:r>
          </w:p>
        </w:tc>
        <w:tc>
          <w:tcPr>
            <w:tcW w:w="1080" w:type="dxa"/>
            <w:tcBorders>
              <w:bottom w:val="single" w:sz="4" w:space="0" w:color="auto"/>
            </w:tcBorders>
          </w:tcPr>
          <w:p w14:paraId="5535BAE9"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Shares</w:t>
            </w:r>
          </w:p>
        </w:tc>
        <w:tc>
          <w:tcPr>
            <w:tcW w:w="1170" w:type="dxa"/>
            <w:tcBorders>
              <w:bottom w:val="single" w:sz="4" w:space="0" w:color="auto"/>
            </w:tcBorders>
          </w:tcPr>
          <w:p w14:paraId="09506DCA"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Amount</w:t>
            </w:r>
          </w:p>
        </w:tc>
        <w:tc>
          <w:tcPr>
            <w:tcW w:w="1440" w:type="dxa"/>
            <w:tcBorders>
              <w:bottom w:val="single" w:sz="4" w:space="0" w:color="auto"/>
            </w:tcBorders>
          </w:tcPr>
          <w:p w14:paraId="6D909C7F"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Paid-in Capital</w:t>
            </w:r>
          </w:p>
        </w:tc>
        <w:tc>
          <w:tcPr>
            <w:tcW w:w="1350" w:type="dxa"/>
            <w:tcBorders>
              <w:bottom w:val="single" w:sz="4" w:space="0" w:color="auto"/>
            </w:tcBorders>
          </w:tcPr>
          <w:p w14:paraId="5FD0A43A" w14:textId="77777777" w:rsidR="009339E3" w:rsidRPr="009339E3" w:rsidRDefault="009339E3" w:rsidP="009339E3">
            <w:pPr>
              <w:tabs>
                <w:tab w:val="right" w:pos="9180"/>
              </w:tabs>
              <w:jc w:val="center"/>
              <w:rPr>
                <w:snapToGrid w:val="0"/>
                <w:color w:val="000000"/>
                <w:sz w:val="19"/>
                <w:szCs w:val="19"/>
              </w:rPr>
            </w:pPr>
            <w:r w:rsidRPr="009339E3">
              <w:rPr>
                <w:snapToGrid w:val="0"/>
                <w:color w:val="000000"/>
                <w:sz w:val="19"/>
                <w:szCs w:val="19"/>
              </w:rPr>
              <w:t>Deficit</w:t>
            </w:r>
          </w:p>
        </w:tc>
        <w:tc>
          <w:tcPr>
            <w:tcW w:w="1800" w:type="dxa"/>
            <w:tcBorders>
              <w:bottom w:val="single" w:sz="4" w:space="0" w:color="auto"/>
            </w:tcBorders>
          </w:tcPr>
          <w:p w14:paraId="62393B15"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Equity</w:t>
            </w:r>
          </w:p>
        </w:tc>
      </w:tr>
      <w:tr w:rsidR="009339E3" w:rsidRPr="009339E3" w14:paraId="5B2ADDB6" w14:textId="77777777" w:rsidTr="004F5282">
        <w:tc>
          <w:tcPr>
            <w:tcW w:w="4410" w:type="dxa"/>
          </w:tcPr>
          <w:p w14:paraId="34C25DB5"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Balance at December 31, 2021</w:t>
            </w:r>
          </w:p>
        </w:tc>
        <w:tc>
          <w:tcPr>
            <w:tcW w:w="1170" w:type="dxa"/>
          </w:tcPr>
          <w:p w14:paraId="1F91AA65"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32429CAA"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w:t>
            </w:r>
          </w:p>
        </w:tc>
        <w:tc>
          <w:tcPr>
            <w:tcW w:w="1080" w:type="dxa"/>
          </w:tcPr>
          <w:p w14:paraId="4080F389"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6,381,541</w:t>
            </w:r>
          </w:p>
        </w:tc>
        <w:tc>
          <w:tcPr>
            <w:tcW w:w="1170" w:type="dxa"/>
          </w:tcPr>
          <w:p w14:paraId="2E0B9714"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6,382</w:t>
            </w:r>
          </w:p>
        </w:tc>
        <w:tc>
          <w:tcPr>
            <w:tcW w:w="1440" w:type="dxa"/>
          </w:tcPr>
          <w:p w14:paraId="0DAF989C"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68,731,220</w:t>
            </w:r>
          </w:p>
        </w:tc>
        <w:tc>
          <w:tcPr>
            <w:tcW w:w="1350" w:type="dxa"/>
          </w:tcPr>
          <w:p w14:paraId="247E50F2"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ab/>
              <w:t>$(64,375,898)</w:t>
            </w:r>
          </w:p>
        </w:tc>
        <w:tc>
          <w:tcPr>
            <w:tcW w:w="1800" w:type="dxa"/>
          </w:tcPr>
          <w:p w14:paraId="1CF41734"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4,361,704</w:t>
            </w:r>
          </w:p>
        </w:tc>
      </w:tr>
      <w:tr w:rsidR="009339E3" w:rsidRPr="009339E3" w14:paraId="0E709B27" w14:textId="77777777" w:rsidTr="004F5282">
        <w:tc>
          <w:tcPr>
            <w:tcW w:w="4410" w:type="dxa"/>
          </w:tcPr>
          <w:p w14:paraId="16887552"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ab/>
              <w:t>Sale of common stock and warrants for cash</w:t>
            </w:r>
          </w:p>
        </w:tc>
        <w:tc>
          <w:tcPr>
            <w:tcW w:w="1170" w:type="dxa"/>
          </w:tcPr>
          <w:p w14:paraId="0C099B57"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67991632"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ab/>
              <w:t>-</w:t>
            </w:r>
          </w:p>
        </w:tc>
        <w:tc>
          <w:tcPr>
            <w:tcW w:w="1080" w:type="dxa"/>
          </w:tcPr>
          <w:p w14:paraId="76F561D7"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707,484</w:t>
            </w:r>
          </w:p>
        </w:tc>
        <w:tc>
          <w:tcPr>
            <w:tcW w:w="1170" w:type="dxa"/>
          </w:tcPr>
          <w:p w14:paraId="3EB7619A"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707</w:t>
            </w:r>
          </w:p>
        </w:tc>
        <w:tc>
          <w:tcPr>
            <w:tcW w:w="1440" w:type="dxa"/>
          </w:tcPr>
          <w:p w14:paraId="1C282B63"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9,228,541</w:t>
            </w:r>
          </w:p>
        </w:tc>
        <w:tc>
          <w:tcPr>
            <w:tcW w:w="1350" w:type="dxa"/>
          </w:tcPr>
          <w:p w14:paraId="4C1531A8"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ab/>
              <w:t>-</w:t>
            </w:r>
          </w:p>
        </w:tc>
        <w:tc>
          <w:tcPr>
            <w:tcW w:w="1800" w:type="dxa"/>
          </w:tcPr>
          <w:p w14:paraId="641ED8D0"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ab/>
              <w:t>9,229,248</w:t>
            </w:r>
          </w:p>
        </w:tc>
      </w:tr>
      <w:tr w:rsidR="009339E3" w:rsidRPr="009339E3" w14:paraId="060F5D19" w14:textId="77777777" w:rsidTr="004F5282">
        <w:tc>
          <w:tcPr>
            <w:tcW w:w="4410" w:type="dxa"/>
          </w:tcPr>
          <w:p w14:paraId="10FCD6C0"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ab/>
              <w:t>Issuance of common stock upon warrant exercise</w:t>
            </w:r>
          </w:p>
        </w:tc>
        <w:tc>
          <w:tcPr>
            <w:tcW w:w="1170" w:type="dxa"/>
          </w:tcPr>
          <w:p w14:paraId="4EC74456"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4D95871C"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ab/>
              <w:t>-</w:t>
            </w:r>
          </w:p>
        </w:tc>
        <w:tc>
          <w:tcPr>
            <w:tcW w:w="1080" w:type="dxa"/>
          </w:tcPr>
          <w:p w14:paraId="7C6D1E47"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2,360,000</w:t>
            </w:r>
          </w:p>
        </w:tc>
        <w:tc>
          <w:tcPr>
            <w:tcW w:w="1170" w:type="dxa"/>
          </w:tcPr>
          <w:p w14:paraId="012F7339"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2,360</w:t>
            </w:r>
          </w:p>
        </w:tc>
        <w:tc>
          <w:tcPr>
            <w:tcW w:w="1440" w:type="dxa"/>
          </w:tcPr>
          <w:p w14:paraId="1463F4B4"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(2,336)</w:t>
            </w:r>
          </w:p>
        </w:tc>
        <w:tc>
          <w:tcPr>
            <w:tcW w:w="1350" w:type="dxa"/>
          </w:tcPr>
          <w:p w14:paraId="59AF4A33"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ab/>
              <w:t>-</w:t>
            </w:r>
          </w:p>
        </w:tc>
        <w:tc>
          <w:tcPr>
            <w:tcW w:w="1800" w:type="dxa"/>
          </w:tcPr>
          <w:p w14:paraId="34BE5D55"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ab/>
              <w:t>24</w:t>
            </w:r>
          </w:p>
        </w:tc>
      </w:tr>
      <w:tr w:rsidR="009339E3" w:rsidRPr="009339E3" w14:paraId="3F9CAD15" w14:textId="77777777" w:rsidTr="004F5282">
        <w:tc>
          <w:tcPr>
            <w:tcW w:w="4410" w:type="dxa"/>
          </w:tcPr>
          <w:p w14:paraId="16734C0B"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ab/>
              <w:t>Stock option expense</w:t>
            </w:r>
          </w:p>
        </w:tc>
        <w:tc>
          <w:tcPr>
            <w:tcW w:w="1170" w:type="dxa"/>
          </w:tcPr>
          <w:p w14:paraId="6039122B"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087AE31A"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ab/>
              <w:t>-</w:t>
            </w:r>
          </w:p>
        </w:tc>
        <w:tc>
          <w:tcPr>
            <w:tcW w:w="1080" w:type="dxa"/>
          </w:tcPr>
          <w:p w14:paraId="6D670A00"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24F78CA0"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440" w:type="dxa"/>
          </w:tcPr>
          <w:p w14:paraId="47DA9BE2"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190,191</w:t>
            </w:r>
          </w:p>
        </w:tc>
        <w:tc>
          <w:tcPr>
            <w:tcW w:w="1350" w:type="dxa"/>
          </w:tcPr>
          <w:p w14:paraId="289B0B10" w14:textId="77777777" w:rsidR="009339E3" w:rsidRPr="009339E3" w:rsidRDefault="009339E3" w:rsidP="00C73E0F">
            <w:pPr>
              <w:numPr>
                <w:ilvl w:val="0"/>
                <w:numId w:val="18"/>
              </w:numPr>
              <w:tabs>
                <w:tab w:val="decimal" w:pos="1150"/>
                <w:tab w:val="left" w:pos="2340"/>
                <w:tab w:val="right" w:pos="9180"/>
              </w:tabs>
              <w:contextualSpacing/>
              <w:rPr>
                <w:rFonts w:ascii="CG Times (WN)" w:hAnsi="CG Times (WN)"/>
                <w:snapToGrid w:val="0"/>
                <w:color w:val="000000"/>
                <w:sz w:val="19"/>
                <w:szCs w:val="19"/>
              </w:rPr>
            </w:pPr>
          </w:p>
        </w:tc>
        <w:tc>
          <w:tcPr>
            <w:tcW w:w="1800" w:type="dxa"/>
          </w:tcPr>
          <w:p w14:paraId="5F04361C"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ab/>
              <w:t>190,191</w:t>
            </w:r>
          </w:p>
        </w:tc>
      </w:tr>
      <w:tr w:rsidR="009339E3" w:rsidRPr="009339E3" w14:paraId="652FA639" w14:textId="77777777" w:rsidTr="004F5282">
        <w:tc>
          <w:tcPr>
            <w:tcW w:w="4410" w:type="dxa"/>
          </w:tcPr>
          <w:p w14:paraId="78A8E175"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ab/>
              <w:t>Net loss for the three months ended March 31, 2022</w:t>
            </w:r>
          </w:p>
        </w:tc>
        <w:tc>
          <w:tcPr>
            <w:tcW w:w="1170" w:type="dxa"/>
            <w:tcBorders>
              <w:bottom w:val="single" w:sz="4" w:space="0" w:color="auto"/>
            </w:tcBorders>
          </w:tcPr>
          <w:p w14:paraId="01DE35C0"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Borders>
              <w:bottom w:val="single" w:sz="4" w:space="0" w:color="auto"/>
            </w:tcBorders>
          </w:tcPr>
          <w:p w14:paraId="44C0BE1F"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ab/>
              <w:t>-</w:t>
            </w:r>
          </w:p>
        </w:tc>
        <w:tc>
          <w:tcPr>
            <w:tcW w:w="1080" w:type="dxa"/>
            <w:tcBorders>
              <w:bottom w:val="single" w:sz="4" w:space="0" w:color="auto"/>
            </w:tcBorders>
          </w:tcPr>
          <w:p w14:paraId="314A8E05"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170" w:type="dxa"/>
            <w:tcBorders>
              <w:bottom w:val="single" w:sz="4" w:space="0" w:color="auto"/>
            </w:tcBorders>
          </w:tcPr>
          <w:p w14:paraId="14372FBC"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440" w:type="dxa"/>
            <w:tcBorders>
              <w:bottom w:val="single" w:sz="4" w:space="0" w:color="auto"/>
            </w:tcBorders>
          </w:tcPr>
          <w:p w14:paraId="242EF193"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350" w:type="dxa"/>
            <w:tcBorders>
              <w:bottom w:val="single" w:sz="4" w:space="0" w:color="auto"/>
            </w:tcBorders>
          </w:tcPr>
          <w:p w14:paraId="37F669AC"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ab/>
              <w:t>(2,427,515)</w:t>
            </w:r>
          </w:p>
        </w:tc>
        <w:tc>
          <w:tcPr>
            <w:tcW w:w="1800" w:type="dxa"/>
            <w:tcBorders>
              <w:bottom w:val="single" w:sz="4" w:space="0" w:color="auto"/>
            </w:tcBorders>
          </w:tcPr>
          <w:p w14:paraId="0340BA17"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ab/>
              <w:t>(2,427,515)</w:t>
            </w:r>
          </w:p>
        </w:tc>
      </w:tr>
      <w:tr w:rsidR="009339E3" w:rsidRPr="009339E3" w14:paraId="35E14BB6" w14:textId="77777777" w:rsidTr="004F5282">
        <w:tc>
          <w:tcPr>
            <w:tcW w:w="4410" w:type="dxa"/>
          </w:tcPr>
          <w:p w14:paraId="7008B671"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Balance at March 31, 2022</w:t>
            </w:r>
          </w:p>
        </w:tc>
        <w:tc>
          <w:tcPr>
            <w:tcW w:w="1170" w:type="dxa"/>
            <w:tcBorders>
              <w:top w:val="single" w:sz="4" w:space="0" w:color="auto"/>
              <w:bottom w:val="double" w:sz="4" w:space="0" w:color="auto"/>
            </w:tcBorders>
          </w:tcPr>
          <w:p w14:paraId="194C06D0"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Borders>
              <w:top w:val="single" w:sz="4" w:space="0" w:color="auto"/>
              <w:bottom w:val="double" w:sz="4" w:space="0" w:color="auto"/>
            </w:tcBorders>
          </w:tcPr>
          <w:p w14:paraId="14AE137C"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w:t>
            </w:r>
          </w:p>
        </w:tc>
        <w:tc>
          <w:tcPr>
            <w:tcW w:w="1080" w:type="dxa"/>
            <w:tcBorders>
              <w:top w:val="single" w:sz="4" w:space="0" w:color="auto"/>
              <w:bottom w:val="double" w:sz="4" w:space="0" w:color="auto"/>
            </w:tcBorders>
          </w:tcPr>
          <w:p w14:paraId="752E3F2E"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9,449,025</w:t>
            </w:r>
          </w:p>
        </w:tc>
        <w:tc>
          <w:tcPr>
            <w:tcW w:w="1170" w:type="dxa"/>
            <w:tcBorders>
              <w:top w:val="single" w:sz="4" w:space="0" w:color="auto"/>
              <w:bottom w:val="double" w:sz="4" w:space="0" w:color="auto"/>
            </w:tcBorders>
          </w:tcPr>
          <w:p w14:paraId="0A3ABE53"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9,449</w:t>
            </w:r>
          </w:p>
        </w:tc>
        <w:tc>
          <w:tcPr>
            <w:tcW w:w="1440" w:type="dxa"/>
            <w:tcBorders>
              <w:top w:val="single" w:sz="4" w:space="0" w:color="auto"/>
              <w:bottom w:val="double" w:sz="4" w:space="0" w:color="auto"/>
            </w:tcBorders>
          </w:tcPr>
          <w:p w14:paraId="0AA43E50"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78,147,616</w:t>
            </w:r>
          </w:p>
        </w:tc>
        <w:tc>
          <w:tcPr>
            <w:tcW w:w="1350" w:type="dxa"/>
            <w:tcBorders>
              <w:top w:val="single" w:sz="4" w:space="0" w:color="auto"/>
              <w:bottom w:val="double" w:sz="4" w:space="0" w:color="auto"/>
            </w:tcBorders>
          </w:tcPr>
          <w:p w14:paraId="59F73377"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(66,803,413)</w:t>
            </w:r>
          </w:p>
        </w:tc>
        <w:tc>
          <w:tcPr>
            <w:tcW w:w="1800" w:type="dxa"/>
            <w:tcBorders>
              <w:top w:val="single" w:sz="4" w:space="0" w:color="auto"/>
              <w:bottom w:val="double" w:sz="4" w:space="0" w:color="auto"/>
            </w:tcBorders>
          </w:tcPr>
          <w:p w14:paraId="7B7E431B"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11,353,652</w:t>
            </w:r>
          </w:p>
        </w:tc>
      </w:tr>
      <w:tr w:rsidR="009339E3" w:rsidRPr="009339E3" w14:paraId="6471C4BE" w14:textId="77777777" w:rsidTr="004F5282">
        <w:tc>
          <w:tcPr>
            <w:tcW w:w="4410" w:type="dxa"/>
          </w:tcPr>
          <w:p w14:paraId="1F2243FC" w14:textId="77777777" w:rsidR="009339E3" w:rsidRPr="009339E3" w:rsidRDefault="009339E3" w:rsidP="009339E3">
            <w:pPr>
              <w:tabs>
                <w:tab w:val="left" w:pos="144"/>
                <w:tab w:val="left" w:pos="324"/>
                <w:tab w:val="right" w:pos="9180"/>
              </w:tabs>
              <w:rPr>
                <w:snapToGrid w:val="0"/>
                <w:color w:val="000000"/>
                <w:sz w:val="19"/>
                <w:szCs w:val="19"/>
              </w:rPr>
            </w:pPr>
          </w:p>
        </w:tc>
        <w:tc>
          <w:tcPr>
            <w:tcW w:w="1170" w:type="dxa"/>
          </w:tcPr>
          <w:p w14:paraId="0096DD3D" w14:textId="77777777" w:rsidR="009339E3" w:rsidRPr="009339E3" w:rsidRDefault="009339E3" w:rsidP="009339E3">
            <w:pPr>
              <w:tabs>
                <w:tab w:val="decimal" w:pos="917"/>
                <w:tab w:val="left" w:pos="2340"/>
                <w:tab w:val="right" w:pos="9180"/>
              </w:tabs>
              <w:rPr>
                <w:snapToGrid w:val="0"/>
                <w:color w:val="000000"/>
                <w:sz w:val="19"/>
                <w:szCs w:val="19"/>
              </w:rPr>
            </w:pPr>
          </w:p>
        </w:tc>
        <w:tc>
          <w:tcPr>
            <w:tcW w:w="1170" w:type="dxa"/>
          </w:tcPr>
          <w:p w14:paraId="36B21399" w14:textId="77777777" w:rsidR="009339E3" w:rsidRPr="009339E3" w:rsidRDefault="009339E3" w:rsidP="009339E3">
            <w:pPr>
              <w:tabs>
                <w:tab w:val="decimal" w:pos="798"/>
                <w:tab w:val="left" w:pos="2340"/>
                <w:tab w:val="right" w:pos="9180"/>
              </w:tabs>
              <w:rPr>
                <w:snapToGrid w:val="0"/>
                <w:color w:val="000000"/>
                <w:sz w:val="19"/>
                <w:szCs w:val="19"/>
              </w:rPr>
            </w:pPr>
          </w:p>
        </w:tc>
        <w:tc>
          <w:tcPr>
            <w:tcW w:w="1080" w:type="dxa"/>
          </w:tcPr>
          <w:p w14:paraId="68A6B563"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p>
        </w:tc>
        <w:tc>
          <w:tcPr>
            <w:tcW w:w="1170" w:type="dxa"/>
          </w:tcPr>
          <w:p w14:paraId="5E899657"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p>
        </w:tc>
        <w:tc>
          <w:tcPr>
            <w:tcW w:w="1440" w:type="dxa"/>
          </w:tcPr>
          <w:p w14:paraId="5F597FB7"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p>
        </w:tc>
        <w:tc>
          <w:tcPr>
            <w:tcW w:w="1350" w:type="dxa"/>
          </w:tcPr>
          <w:p w14:paraId="07856FD8" w14:textId="77777777" w:rsidR="009339E3" w:rsidRPr="009339E3" w:rsidRDefault="009339E3" w:rsidP="009339E3">
            <w:pPr>
              <w:tabs>
                <w:tab w:val="decimal" w:pos="1150"/>
                <w:tab w:val="left" w:pos="2340"/>
                <w:tab w:val="right" w:pos="9180"/>
              </w:tabs>
              <w:rPr>
                <w:snapToGrid w:val="0"/>
                <w:color w:val="000000"/>
                <w:sz w:val="19"/>
                <w:szCs w:val="19"/>
              </w:rPr>
            </w:pPr>
          </w:p>
        </w:tc>
        <w:tc>
          <w:tcPr>
            <w:tcW w:w="1800" w:type="dxa"/>
          </w:tcPr>
          <w:p w14:paraId="25205536" w14:textId="77777777" w:rsidR="009339E3" w:rsidRPr="009339E3" w:rsidRDefault="009339E3" w:rsidP="009339E3">
            <w:pPr>
              <w:tabs>
                <w:tab w:val="decimal" w:pos="1418"/>
                <w:tab w:val="right" w:pos="9180"/>
              </w:tabs>
              <w:rPr>
                <w:snapToGrid w:val="0"/>
                <w:color w:val="000000"/>
                <w:sz w:val="19"/>
                <w:szCs w:val="19"/>
              </w:rPr>
            </w:pPr>
          </w:p>
        </w:tc>
      </w:tr>
      <w:bookmarkEnd w:id="60"/>
    </w:tbl>
    <w:p w14:paraId="7B959BD7" w14:textId="77777777" w:rsidR="009339E3" w:rsidRPr="009339E3" w:rsidRDefault="009339E3" w:rsidP="009339E3">
      <w:pPr>
        <w:tabs>
          <w:tab w:val="decimal" w:pos="1152"/>
          <w:tab w:val="left" w:pos="2340"/>
          <w:tab w:val="right" w:pos="9180"/>
        </w:tabs>
        <w:rPr>
          <w:snapToGrid w:val="0"/>
          <w:color w:val="000000"/>
          <w:sz w:val="19"/>
          <w:szCs w:val="19"/>
        </w:rPr>
      </w:pPr>
    </w:p>
    <w:p w14:paraId="358879BF" w14:textId="77777777" w:rsidR="009339E3" w:rsidRPr="009339E3" w:rsidRDefault="009339E3" w:rsidP="009339E3">
      <w:pPr>
        <w:tabs>
          <w:tab w:val="decimal" w:pos="1152"/>
          <w:tab w:val="left" w:pos="2340"/>
          <w:tab w:val="right" w:pos="9180"/>
        </w:tabs>
        <w:rPr>
          <w:snapToGrid w:val="0"/>
          <w:color w:val="000000"/>
          <w:sz w:val="19"/>
          <w:szCs w:val="19"/>
        </w:rPr>
      </w:pPr>
    </w:p>
    <w:p w14:paraId="4FB36AEE" w14:textId="77777777" w:rsidR="009339E3" w:rsidRPr="009339E3" w:rsidRDefault="009339E3" w:rsidP="009339E3">
      <w:pPr>
        <w:tabs>
          <w:tab w:val="decimal" w:pos="1152"/>
          <w:tab w:val="left" w:pos="2340"/>
          <w:tab w:val="right" w:pos="9180"/>
        </w:tabs>
        <w:rPr>
          <w:snapToGrid w:val="0"/>
          <w:color w:val="000000"/>
          <w:sz w:val="19"/>
          <w:szCs w:val="19"/>
        </w:rPr>
      </w:pPr>
    </w:p>
    <w:tbl>
      <w:tblPr>
        <w:tblStyle w:val="TableGrid2"/>
        <w:tblW w:w="13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1170"/>
        <w:gridCol w:w="1170"/>
        <w:gridCol w:w="1080"/>
        <w:gridCol w:w="1170"/>
        <w:gridCol w:w="1440"/>
        <w:gridCol w:w="1350"/>
        <w:gridCol w:w="1800"/>
      </w:tblGrid>
      <w:tr w:rsidR="009339E3" w:rsidRPr="009339E3" w14:paraId="137BE9D0" w14:textId="77777777" w:rsidTr="004F5282">
        <w:tc>
          <w:tcPr>
            <w:tcW w:w="4410" w:type="dxa"/>
          </w:tcPr>
          <w:p w14:paraId="3119FE6F" w14:textId="77777777" w:rsidR="009339E3" w:rsidRPr="009339E3" w:rsidRDefault="009339E3" w:rsidP="009339E3">
            <w:pPr>
              <w:tabs>
                <w:tab w:val="left" w:pos="144"/>
                <w:tab w:val="left" w:pos="324"/>
                <w:tab w:val="right" w:pos="9180"/>
              </w:tabs>
              <w:rPr>
                <w:snapToGrid w:val="0"/>
                <w:color w:val="000000"/>
                <w:sz w:val="19"/>
                <w:szCs w:val="19"/>
              </w:rPr>
            </w:pPr>
          </w:p>
        </w:tc>
        <w:tc>
          <w:tcPr>
            <w:tcW w:w="9180" w:type="dxa"/>
            <w:gridSpan w:val="7"/>
            <w:tcBorders>
              <w:bottom w:val="single" w:sz="4" w:space="0" w:color="auto"/>
            </w:tcBorders>
          </w:tcPr>
          <w:p w14:paraId="4D42B739" w14:textId="77777777" w:rsidR="009339E3" w:rsidRPr="009339E3" w:rsidRDefault="009339E3" w:rsidP="009339E3">
            <w:pPr>
              <w:tabs>
                <w:tab w:val="right" w:pos="9180"/>
              </w:tabs>
              <w:jc w:val="center"/>
              <w:rPr>
                <w:snapToGrid w:val="0"/>
                <w:color w:val="000000"/>
                <w:sz w:val="19"/>
                <w:szCs w:val="19"/>
              </w:rPr>
            </w:pPr>
            <w:r w:rsidRPr="009339E3">
              <w:rPr>
                <w:snapToGrid w:val="0"/>
                <w:color w:val="000000"/>
                <w:sz w:val="19"/>
                <w:szCs w:val="19"/>
              </w:rPr>
              <w:t>Three Months Ended March 31, 2021</w:t>
            </w:r>
          </w:p>
        </w:tc>
      </w:tr>
      <w:tr w:rsidR="009339E3" w:rsidRPr="009339E3" w14:paraId="68F375C6" w14:textId="77777777" w:rsidTr="004F5282">
        <w:tc>
          <w:tcPr>
            <w:tcW w:w="4410" w:type="dxa"/>
          </w:tcPr>
          <w:p w14:paraId="13C59DD1" w14:textId="77777777" w:rsidR="009339E3" w:rsidRPr="009339E3" w:rsidRDefault="009339E3" w:rsidP="009339E3">
            <w:pPr>
              <w:tabs>
                <w:tab w:val="left" w:pos="144"/>
                <w:tab w:val="left" w:pos="324"/>
                <w:tab w:val="right" w:pos="9180"/>
              </w:tabs>
              <w:rPr>
                <w:snapToGrid w:val="0"/>
                <w:color w:val="000000"/>
                <w:sz w:val="19"/>
                <w:szCs w:val="19"/>
              </w:rPr>
            </w:pPr>
          </w:p>
        </w:tc>
        <w:tc>
          <w:tcPr>
            <w:tcW w:w="2340" w:type="dxa"/>
            <w:gridSpan w:val="2"/>
          </w:tcPr>
          <w:p w14:paraId="1F4418D2" w14:textId="77777777" w:rsidR="009339E3" w:rsidRPr="009339E3" w:rsidRDefault="009339E3" w:rsidP="009339E3">
            <w:pPr>
              <w:tabs>
                <w:tab w:val="left" w:pos="2340"/>
                <w:tab w:val="right" w:pos="9180"/>
              </w:tabs>
              <w:jc w:val="center"/>
              <w:rPr>
                <w:snapToGrid w:val="0"/>
                <w:color w:val="000000"/>
                <w:sz w:val="19"/>
                <w:szCs w:val="19"/>
              </w:rPr>
            </w:pPr>
          </w:p>
        </w:tc>
        <w:tc>
          <w:tcPr>
            <w:tcW w:w="1080" w:type="dxa"/>
          </w:tcPr>
          <w:p w14:paraId="1278E51E" w14:textId="77777777" w:rsidR="009339E3" w:rsidRPr="009339E3" w:rsidRDefault="009339E3" w:rsidP="009339E3">
            <w:pPr>
              <w:tabs>
                <w:tab w:val="decimal" w:pos="1148"/>
                <w:tab w:val="right" w:pos="9180"/>
              </w:tabs>
              <w:jc w:val="center"/>
              <w:rPr>
                <w:snapToGrid w:val="0"/>
                <w:color w:val="000000"/>
                <w:sz w:val="19"/>
                <w:szCs w:val="19"/>
              </w:rPr>
            </w:pPr>
          </w:p>
        </w:tc>
        <w:tc>
          <w:tcPr>
            <w:tcW w:w="1170" w:type="dxa"/>
          </w:tcPr>
          <w:p w14:paraId="42FA658C" w14:textId="77777777" w:rsidR="009339E3" w:rsidRPr="009339E3" w:rsidRDefault="009339E3" w:rsidP="009339E3">
            <w:pPr>
              <w:tabs>
                <w:tab w:val="decimal" w:pos="1148"/>
                <w:tab w:val="right" w:pos="9180"/>
              </w:tabs>
              <w:jc w:val="center"/>
              <w:rPr>
                <w:snapToGrid w:val="0"/>
                <w:color w:val="000000"/>
                <w:sz w:val="19"/>
                <w:szCs w:val="19"/>
              </w:rPr>
            </w:pPr>
          </w:p>
        </w:tc>
        <w:tc>
          <w:tcPr>
            <w:tcW w:w="1440" w:type="dxa"/>
          </w:tcPr>
          <w:p w14:paraId="1B1687CD" w14:textId="77777777" w:rsidR="009339E3" w:rsidRPr="009339E3" w:rsidRDefault="009339E3" w:rsidP="009339E3">
            <w:pPr>
              <w:tabs>
                <w:tab w:val="decimal" w:pos="1148"/>
                <w:tab w:val="right" w:pos="9180"/>
              </w:tabs>
              <w:jc w:val="center"/>
              <w:rPr>
                <w:snapToGrid w:val="0"/>
                <w:color w:val="000000"/>
                <w:sz w:val="19"/>
                <w:szCs w:val="19"/>
              </w:rPr>
            </w:pPr>
          </w:p>
        </w:tc>
        <w:tc>
          <w:tcPr>
            <w:tcW w:w="1350" w:type="dxa"/>
          </w:tcPr>
          <w:p w14:paraId="4A647214" w14:textId="77777777" w:rsidR="009339E3" w:rsidRPr="009339E3" w:rsidRDefault="009339E3" w:rsidP="009339E3">
            <w:pPr>
              <w:tabs>
                <w:tab w:val="right" w:pos="9180"/>
              </w:tabs>
              <w:jc w:val="center"/>
              <w:rPr>
                <w:snapToGrid w:val="0"/>
                <w:color w:val="000000"/>
                <w:sz w:val="19"/>
                <w:szCs w:val="19"/>
              </w:rPr>
            </w:pPr>
          </w:p>
        </w:tc>
        <w:tc>
          <w:tcPr>
            <w:tcW w:w="1800" w:type="dxa"/>
          </w:tcPr>
          <w:p w14:paraId="0A79425C" w14:textId="77777777" w:rsidR="009339E3" w:rsidRPr="009339E3" w:rsidRDefault="009339E3" w:rsidP="009339E3">
            <w:pPr>
              <w:tabs>
                <w:tab w:val="right" w:pos="9180"/>
              </w:tabs>
              <w:jc w:val="center"/>
              <w:rPr>
                <w:snapToGrid w:val="0"/>
                <w:color w:val="000000"/>
                <w:sz w:val="19"/>
                <w:szCs w:val="19"/>
              </w:rPr>
            </w:pPr>
            <w:r w:rsidRPr="009339E3">
              <w:rPr>
                <w:snapToGrid w:val="0"/>
                <w:color w:val="000000"/>
                <w:sz w:val="19"/>
                <w:szCs w:val="19"/>
              </w:rPr>
              <w:t>Total</w:t>
            </w:r>
          </w:p>
        </w:tc>
      </w:tr>
      <w:tr w:rsidR="009339E3" w:rsidRPr="009339E3" w14:paraId="7AAEC66C" w14:textId="77777777" w:rsidTr="004F5282">
        <w:tc>
          <w:tcPr>
            <w:tcW w:w="4410" w:type="dxa"/>
          </w:tcPr>
          <w:p w14:paraId="5EFA092A" w14:textId="77777777" w:rsidR="009339E3" w:rsidRPr="009339E3" w:rsidRDefault="009339E3" w:rsidP="009339E3">
            <w:pPr>
              <w:tabs>
                <w:tab w:val="left" w:pos="144"/>
                <w:tab w:val="left" w:pos="324"/>
                <w:tab w:val="right" w:pos="9180"/>
              </w:tabs>
              <w:rPr>
                <w:snapToGrid w:val="0"/>
                <w:color w:val="000000"/>
                <w:sz w:val="19"/>
                <w:szCs w:val="19"/>
              </w:rPr>
            </w:pPr>
          </w:p>
        </w:tc>
        <w:tc>
          <w:tcPr>
            <w:tcW w:w="2340" w:type="dxa"/>
            <w:gridSpan w:val="2"/>
            <w:tcBorders>
              <w:bottom w:val="single" w:sz="4" w:space="0" w:color="auto"/>
            </w:tcBorders>
          </w:tcPr>
          <w:p w14:paraId="393E811A"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Preferred Stock</w:t>
            </w:r>
          </w:p>
        </w:tc>
        <w:tc>
          <w:tcPr>
            <w:tcW w:w="2250" w:type="dxa"/>
            <w:gridSpan w:val="2"/>
            <w:tcBorders>
              <w:bottom w:val="single" w:sz="4" w:space="0" w:color="auto"/>
            </w:tcBorders>
          </w:tcPr>
          <w:p w14:paraId="2DEB8B0D"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Common Stock</w:t>
            </w:r>
          </w:p>
        </w:tc>
        <w:tc>
          <w:tcPr>
            <w:tcW w:w="1440" w:type="dxa"/>
          </w:tcPr>
          <w:p w14:paraId="40424BF0"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Additional</w:t>
            </w:r>
          </w:p>
        </w:tc>
        <w:tc>
          <w:tcPr>
            <w:tcW w:w="1350" w:type="dxa"/>
          </w:tcPr>
          <w:p w14:paraId="4A680456" w14:textId="77777777" w:rsidR="009339E3" w:rsidRPr="009339E3" w:rsidRDefault="009339E3" w:rsidP="009339E3">
            <w:pPr>
              <w:tabs>
                <w:tab w:val="right" w:pos="9180"/>
              </w:tabs>
              <w:jc w:val="center"/>
              <w:rPr>
                <w:snapToGrid w:val="0"/>
                <w:color w:val="000000"/>
                <w:sz w:val="19"/>
                <w:szCs w:val="19"/>
              </w:rPr>
            </w:pPr>
            <w:r w:rsidRPr="009339E3">
              <w:rPr>
                <w:snapToGrid w:val="0"/>
                <w:color w:val="000000"/>
                <w:sz w:val="19"/>
                <w:szCs w:val="19"/>
              </w:rPr>
              <w:t>Accumulated</w:t>
            </w:r>
          </w:p>
        </w:tc>
        <w:tc>
          <w:tcPr>
            <w:tcW w:w="1800" w:type="dxa"/>
          </w:tcPr>
          <w:p w14:paraId="137B4265"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Stockholders’</w:t>
            </w:r>
          </w:p>
        </w:tc>
      </w:tr>
      <w:tr w:rsidR="009339E3" w:rsidRPr="009339E3" w14:paraId="3ED515C2" w14:textId="77777777" w:rsidTr="004F5282">
        <w:tc>
          <w:tcPr>
            <w:tcW w:w="4410" w:type="dxa"/>
          </w:tcPr>
          <w:p w14:paraId="1DFF241C" w14:textId="77777777" w:rsidR="009339E3" w:rsidRPr="009339E3" w:rsidRDefault="009339E3" w:rsidP="009339E3">
            <w:pPr>
              <w:tabs>
                <w:tab w:val="left" w:pos="144"/>
                <w:tab w:val="left" w:pos="324"/>
                <w:tab w:val="right" w:pos="9180"/>
              </w:tabs>
              <w:rPr>
                <w:snapToGrid w:val="0"/>
                <w:color w:val="000000"/>
                <w:sz w:val="19"/>
                <w:szCs w:val="19"/>
              </w:rPr>
            </w:pPr>
          </w:p>
        </w:tc>
        <w:tc>
          <w:tcPr>
            <w:tcW w:w="1170" w:type="dxa"/>
            <w:tcBorders>
              <w:top w:val="single" w:sz="4" w:space="0" w:color="auto"/>
              <w:bottom w:val="single" w:sz="4" w:space="0" w:color="auto"/>
            </w:tcBorders>
          </w:tcPr>
          <w:p w14:paraId="6018F7D9"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Shares</w:t>
            </w:r>
          </w:p>
        </w:tc>
        <w:tc>
          <w:tcPr>
            <w:tcW w:w="1170" w:type="dxa"/>
            <w:tcBorders>
              <w:top w:val="single" w:sz="4" w:space="0" w:color="auto"/>
              <w:bottom w:val="single" w:sz="4" w:space="0" w:color="auto"/>
            </w:tcBorders>
          </w:tcPr>
          <w:p w14:paraId="38E92A15"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Amount</w:t>
            </w:r>
          </w:p>
        </w:tc>
        <w:tc>
          <w:tcPr>
            <w:tcW w:w="1080" w:type="dxa"/>
            <w:tcBorders>
              <w:bottom w:val="single" w:sz="4" w:space="0" w:color="auto"/>
            </w:tcBorders>
          </w:tcPr>
          <w:p w14:paraId="640030D5"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Shares</w:t>
            </w:r>
          </w:p>
        </w:tc>
        <w:tc>
          <w:tcPr>
            <w:tcW w:w="1170" w:type="dxa"/>
            <w:tcBorders>
              <w:bottom w:val="single" w:sz="4" w:space="0" w:color="auto"/>
            </w:tcBorders>
          </w:tcPr>
          <w:p w14:paraId="765E46F9"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Amount</w:t>
            </w:r>
          </w:p>
        </w:tc>
        <w:tc>
          <w:tcPr>
            <w:tcW w:w="1440" w:type="dxa"/>
            <w:tcBorders>
              <w:bottom w:val="single" w:sz="4" w:space="0" w:color="auto"/>
            </w:tcBorders>
          </w:tcPr>
          <w:p w14:paraId="19D5B85E" w14:textId="77777777" w:rsidR="009339E3" w:rsidRPr="009339E3" w:rsidRDefault="009339E3" w:rsidP="009339E3">
            <w:pPr>
              <w:tabs>
                <w:tab w:val="decimal" w:pos="1148"/>
                <w:tab w:val="right" w:pos="9180"/>
              </w:tabs>
              <w:jc w:val="center"/>
              <w:rPr>
                <w:snapToGrid w:val="0"/>
                <w:color w:val="000000"/>
                <w:sz w:val="19"/>
                <w:szCs w:val="19"/>
              </w:rPr>
            </w:pPr>
            <w:r w:rsidRPr="009339E3">
              <w:rPr>
                <w:snapToGrid w:val="0"/>
                <w:color w:val="000000"/>
                <w:sz w:val="19"/>
                <w:szCs w:val="19"/>
              </w:rPr>
              <w:t>Paid-in Capital</w:t>
            </w:r>
          </w:p>
        </w:tc>
        <w:tc>
          <w:tcPr>
            <w:tcW w:w="1350" w:type="dxa"/>
            <w:tcBorders>
              <w:bottom w:val="single" w:sz="4" w:space="0" w:color="auto"/>
            </w:tcBorders>
          </w:tcPr>
          <w:p w14:paraId="370EB601" w14:textId="77777777" w:rsidR="009339E3" w:rsidRPr="009339E3" w:rsidRDefault="009339E3" w:rsidP="009339E3">
            <w:pPr>
              <w:tabs>
                <w:tab w:val="right" w:pos="9180"/>
              </w:tabs>
              <w:jc w:val="center"/>
              <w:rPr>
                <w:snapToGrid w:val="0"/>
                <w:color w:val="000000"/>
                <w:sz w:val="19"/>
                <w:szCs w:val="19"/>
              </w:rPr>
            </w:pPr>
            <w:r w:rsidRPr="009339E3">
              <w:rPr>
                <w:snapToGrid w:val="0"/>
                <w:color w:val="000000"/>
                <w:sz w:val="19"/>
                <w:szCs w:val="19"/>
              </w:rPr>
              <w:t>Deficit</w:t>
            </w:r>
          </w:p>
        </w:tc>
        <w:tc>
          <w:tcPr>
            <w:tcW w:w="1800" w:type="dxa"/>
            <w:tcBorders>
              <w:bottom w:val="single" w:sz="4" w:space="0" w:color="auto"/>
            </w:tcBorders>
          </w:tcPr>
          <w:p w14:paraId="4A69259F" w14:textId="77777777" w:rsidR="009339E3" w:rsidRPr="009339E3" w:rsidRDefault="009339E3" w:rsidP="009339E3">
            <w:pPr>
              <w:tabs>
                <w:tab w:val="left" w:pos="2340"/>
                <w:tab w:val="right" w:pos="9180"/>
              </w:tabs>
              <w:jc w:val="center"/>
              <w:rPr>
                <w:snapToGrid w:val="0"/>
                <w:color w:val="000000"/>
                <w:sz w:val="19"/>
                <w:szCs w:val="19"/>
              </w:rPr>
            </w:pPr>
            <w:r w:rsidRPr="009339E3">
              <w:rPr>
                <w:snapToGrid w:val="0"/>
                <w:color w:val="000000"/>
                <w:sz w:val="19"/>
                <w:szCs w:val="19"/>
              </w:rPr>
              <w:t>Equity</w:t>
            </w:r>
          </w:p>
        </w:tc>
      </w:tr>
      <w:tr w:rsidR="009339E3" w:rsidRPr="009339E3" w14:paraId="73C84D24" w14:textId="77777777" w:rsidTr="004F5282">
        <w:tc>
          <w:tcPr>
            <w:tcW w:w="4410" w:type="dxa"/>
          </w:tcPr>
          <w:p w14:paraId="0FB09AE2"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Balance at December 31, 2020</w:t>
            </w:r>
          </w:p>
        </w:tc>
        <w:tc>
          <w:tcPr>
            <w:tcW w:w="1170" w:type="dxa"/>
          </w:tcPr>
          <w:p w14:paraId="053276B2"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100</w:t>
            </w:r>
          </w:p>
        </w:tc>
        <w:tc>
          <w:tcPr>
            <w:tcW w:w="1170" w:type="dxa"/>
          </w:tcPr>
          <w:p w14:paraId="7C002CAE"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76,095</w:t>
            </w:r>
          </w:p>
        </w:tc>
        <w:tc>
          <w:tcPr>
            <w:tcW w:w="1080" w:type="dxa"/>
          </w:tcPr>
          <w:p w14:paraId="2DBEFAE2"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3,834,095</w:t>
            </w:r>
          </w:p>
        </w:tc>
        <w:tc>
          <w:tcPr>
            <w:tcW w:w="1170" w:type="dxa"/>
          </w:tcPr>
          <w:p w14:paraId="12AB8AB1"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3,834</w:t>
            </w:r>
          </w:p>
        </w:tc>
        <w:tc>
          <w:tcPr>
            <w:tcW w:w="1440" w:type="dxa"/>
          </w:tcPr>
          <w:p w14:paraId="59F472EE"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55,294,504</w:t>
            </w:r>
          </w:p>
        </w:tc>
        <w:tc>
          <w:tcPr>
            <w:tcW w:w="1350" w:type="dxa"/>
          </w:tcPr>
          <w:p w14:paraId="11E9EB02"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ab/>
              <w:t>$(45,805,581)</w:t>
            </w:r>
          </w:p>
        </w:tc>
        <w:tc>
          <w:tcPr>
            <w:tcW w:w="1800" w:type="dxa"/>
          </w:tcPr>
          <w:p w14:paraId="55E95755"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9,568,852</w:t>
            </w:r>
          </w:p>
        </w:tc>
      </w:tr>
      <w:tr w:rsidR="009339E3" w:rsidRPr="009339E3" w14:paraId="3D8A3185" w14:textId="77777777" w:rsidTr="004F5282">
        <w:tc>
          <w:tcPr>
            <w:tcW w:w="4410" w:type="dxa"/>
          </w:tcPr>
          <w:p w14:paraId="6644422E"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ab/>
              <w:t>Sale of common stock for cash</w:t>
            </w:r>
          </w:p>
        </w:tc>
        <w:tc>
          <w:tcPr>
            <w:tcW w:w="1170" w:type="dxa"/>
          </w:tcPr>
          <w:p w14:paraId="63ABD253"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51B09E68"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ab/>
              <w:t>-</w:t>
            </w:r>
          </w:p>
        </w:tc>
        <w:tc>
          <w:tcPr>
            <w:tcW w:w="1080" w:type="dxa"/>
          </w:tcPr>
          <w:p w14:paraId="7FB9D6F7"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1,644,000</w:t>
            </w:r>
          </w:p>
        </w:tc>
        <w:tc>
          <w:tcPr>
            <w:tcW w:w="1170" w:type="dxa"/>
          </w:tcPr>
          <w:p w14:paraId="1778C41C"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1,644</w:t>
            </w:r>
          </w:p>
        </w:tc>
        <w:tc>
          <w:tcPr>
            <w:tcW w:w="1440" w:type="dxa"/>
          </w:tcPr>
          <w:p w14:paraId="0F081BC0"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9,407,276</w:t>
            </w:r>
          </w:p>
        </w:tc>
        <w:tc>
          <w:tcPr>
            <w:tcW w:w="1350" w:type="dxa"/>
          </w:tcPr>
          <w:p w14:paraId="451D435B"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ab/>
              <w:t>-</w:t>
            </w:r>
          </w:p>
        </w:tc>
        <w:tc>
          <w:tcPr>
            <w:tcW w:w="1800" w:type="dxa"/>
          </w:tcPr>
          <w:p w14:paraId="0EADD327"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ab/>
              <w:t>9,408,920</w:t>
            </w:r>
          </w:p>
        </w:tc>
      </w:tr>
      <w:tr w:rsidR="009339E3" w:rsidRPr="009339E3" w14:paraId="0ACA8C93" w14:textId="77777777" w:rsidTr="004F5282">
        <w:tc>
          <w:tcPr>
            <w:tcW w:w="4410" w:type="dxa"/>
          </w:tcPr>
          <w:p w14:paraId="799A978D"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ab/>
              <w:t>Issuance of common stock upon warrant exercise</w:t>
            </w:r>
          </w:p>
        </w:tc>
        <w:tc>
          <w:tcPr>
            <w:tcW w:w="1170" w:type="dxa"/>
          </w:tcPr>
          <w:p w14:paraId="3AB4ED11"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49F76DEE"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ab/>
              <w:t>-</w:t>
            </w:r>
          </w:p>
        </w:tc>
        <w:tc>
          <w:tcPr>
            <w:tcW w:w="1080" w:type="dxa"/>
          </w:tcPr>
          <w:p w14:paraId="34412B9D"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835,900</w:t>
            </w:r>
          </w:p>
        </w:tc>
        <w:tc>
          <w:tcPr>
            <w:tcW w:w="1170" w:type="dxa"/>
          </w:tcPr>
          <w:p w14:paraId="4332EBF2"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836</w:t>
            </w:r>
          </w:p>
        </w:tc>
        <w:tc>
          <w:tcPr>
            <w:tcW w:w="1440" w:type="dxa"/>
          </w:tcPr>
          <w:p w14:paraId="13926873"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3,173,320</w:t>
            </w:r>
          </w:p>
        </w:tc>
        <w:tc>
          <w:tcPr>
            <w:tcW w:w="1350" w:type="dxa"/>
          </w:tcPr>
          <w:p w14:paraId="72BDCCD4"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ab/>
              <w:t>-</w:t>
            </w:r>
          </w:p>
        </w:tc>
        <w:tc>
          <w:tcPr>
            <w:tcW w:w="1800" w:type="dxa"/>
          </w:tcPr>
          <w:p w14:paraId="7667E509"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ab/>
              <w:t>3,174,156</w:t>
            </w:r>
          </w:p>
        </w:tc>
      </w:tr>
      <w:tr w:rsidR="009339E3" w:rsidRPr="009339E3" w14:paraId="78960CDD" w14:textId="77777777" w:rsidTr="004F5282">
        <w:tc>
          <w:tcPr>
            <w:tcW w:w="4410" w:type="dxa"/>
          </w:tcPr>
          <w:p w14:paraId="177F9216"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ab/>
              <w:t>Issuance of common stock for services</w:t>
            </w:r>
          </w:p>
        </w:tc>
        <w:tc>
          <w:tcPr>
            <w:tcW w:w="1170" w:type="dxa"/>
          </w:tcPr>
          <w:p w14:paraId="14140FB1"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60AAA788"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ab/>
              <w:t>-</w:t>
            </w:r>
          </w:p>
        </w:tc>
        <w:tc>
          <w:tcPr>
            <w:tcW w:w="1080" w:type="dxa"/>
          </w:tcPr>
          <w:p w14:paraId="0DE9E905"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1,472</w:t>
            </w:r>
          </w:p>
        </w:tc>
        <w:tc>
          <w:tcPr>
            <w:tcW w:w="1170" w:type="dxa"/>
          </w:tcPr>
          <w:p w14:paraId="619D2BC6"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1</w:t>
            </w:r>
          </w:p>
        </w:tc>
        <w:tc>
          <w:tcPr>
            <w:tcW w:w="1440" w:type="dxa"/>
          </w:tcPr>
          <w:p w14:paraId="65A5254B"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5,999</w:t>
            </w:r>
          </w:p>
        </w:tc>
        <w:tc>
          <w:tcPr>
            <w:tcW w:w="1350" w:type="dxa"/>
          </w:tcPr>
          <w:p w14:paraId="0B948A56"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ab/>
              <w:t>-</w:t>
            </w:r>
          </w:p>
        </w:tc>
        <w:tc>
          <w:tcPr>
            <w:tcW w:w="1800" w:type="dxa"/>
          </w:tcPr>
          <w:p w14:paraId="5C8BC1C8"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ab/>
              <w:t>6,000</w:t>
            </w:r>
          </w:p>
        </w:tc>
      </w:tr>
      <w:tr w:rsidR="009339E3" w:rsidRPr="009339E3" w14:paraId="65137ADC" w14:textId="77777777" w:rsidTr="004F5282">
        <w:tc>
          <w:tcPr>
            <w:tcW w:w="4410" w:type="dxa"/>
          </w:tcPr>
          <w:p w14:paraId="2F787A1D"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ab/>
              <w:t>Stock option expense</w:t>
            </w:r>
          </w:p>
        </w:tc>
        <w:tc>
          <w:tcPr>
            <w:tcW w:w="1170" w:type="dxa"/>
          </w:tcPr>
          <w:p w14:paraId="3BF17FE1"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3AC3B04F"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ab/>
              <w:t>-</w:t>
            </w:r>
          </w:p>
        </w:tc>
        <w:tc>
          <w:tcPr>
            <w:tcW w:w="1080" w:type="dxa"/>
          </w:tcPr>
          <w:p w14:paraId="004F8AD0"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170" w:type="dxa"/>
          </w:tcPr>
          <w:p w14:paraId="068D0550"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440" w:type="dxa"/>
          </w:tcPr>
          <w:p w14:paraId="6B1186EF"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56,190</w:t>
            </w:r>
          </w:p>
        </w:tc>
        <w:tc>
          <w:tcPr>
            <w:tcW w:w="1350" w:type="dxa"/>
          </w:tcPr>
          <w:p w14:paraId="1A7261DE" w14:textId="77777777" w:rsidR="009339E3" w:rsidRPr="009339E3" w:rsidRDefault="009339E3" w:rsidP="00C73E0F">
            <w:pPr>
              <w:numPr>
                <w:ilvl w:val="0"/>
                <w:numId w:val="18"/>
              </w:numPr>
              <w:tabs>
                <w:tab w:val="decimal" w:pos="1150"/>
                <w:tab w:val="left" w:pos="2340"/>
                <w:tab w:val="right" w:pos="9180"/>
              </w:tabs>
              <w:contextualSpacing/>
              <w:rPr>
                <w:rFonts w:ascii="CG Times (WN)" w:hAnsi="CG Times (WN)"/>
                <w:snapToGrid w:val="0"/>
                <w:color w:val="000000"/>
                <w:sz w:val="19"/>
                <w:szCs w:val="19"/>
              </w:rPr>
            </w:pPr>
          </w:p>
        </w:tc>
        <w:tc>
          <w:tcPr>
            <w:tcW w:w="1800" w:type="dxa"/>
          </w:tcPr>
          <w:p w14:paraId="312149A8"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ab/>
              <w:t>56,190</w:t>
            </w:r>
          </w:p>
        </w:tc>
      </w:tr>
      <w:tr w:rsidR="009339E3" w:rsidRPr="009339E3" w14:paraId="6BF108D8" w14:textId="77777777" w:rsidTr="004F5282">
        <w:tc>
          <w:tcPr>
            <w:tcW w:w="4410" w:type="dxa"/>
          </w:tcPr>
          <w:p w14:paraId="375D390B"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ab/>
              <w:t>Net loss for the three months ended March 31, 2021</w:t>
            </w:r>
          </w:p>
        </w:tc>
        <w:tc>
          <w:tcPr>
            <w:tcW w:w="1170" w:type="dxa"/>
            <w:tcBorders>
              <w:bottom w:val="single" w:sz="4" w:space="0" w:color="auto"/>
            </w:tcBorders>
          </w:tcPr>
          <w:p w14:paraId="0E621CC9"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w:t>
            </w:r>
          </w:p>
        </w:tc>
        <w:tc>
          <w:tcPr>
            <w:tcW w:w="1170" w:type="dxa"/>
            <w:tcBorders>
              <w:bottom w:val="single" w:sz="4" w:space="0" w:color="auto"/>
            </w:tcBorders>
          </w:tcPr>
          <w:p w14:paraId="64F710ED"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ab/>
              <w:t>-</w:t>
            </w:r>
          </w:p>
        </w:tc>
        <w:tc>
          <w:tcPr>
            <w:tcW w:w="1080" w:type="dxa"/>
            <w:tcBorders>
              <w:bottom w:val="single" w:sz="4" w:space="0" w:color="auto"/>
            </w:tcBorders>
          </w:tcPr>
          <w:p w14:paraId="75513FFE"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170" w:type="dxa"/>
            <w:tcBorders>
              <w:bottom w:val="single" w:sz="4" w:space="0" w:color="auto"/>
            </w:tcBorders>
          </w:tcPr>
          <w:p w14:paraId="4910E2B1"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440" w:type="dxa"/>
            <w:tcBorders>
              <w:bottom w:val="single" w:sz="4" w:space="0" w:color="auto"/>
            </w:tcBorders>
          </w:tcPr>
          <w:p w14:paraId="27D57E0A"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w:t>
            </w:r>
          </w:p>
        </w:tc>
        <w:tc>
          <w:tcPr>
            <w:tcW w:w="1350" w:type="dxa"/>
            <w:tcBorders>
              <w:bottom w:val="single" w:sz="4" w:space="0" w:color="auto"/>
            </w:tcBorders>
          </w:tcPr>
          <w:p w14:paraId="44510206"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ab/>
              <w:t>(1,562,778)</w:t>
            </w:r>
          </w:p>
        </w:tc>
        <w:tc>
          <w:tcPr>
            <w:tcW w:w="1800" w:type="dxa"/>
            <w:tcBorders>
              <w:bottom w:val="single" w:sz="4" w:space="0" w:color="auto"/>
            </w:tcBorders>
          </w:tcPr>
          <w:p w14:paraId="72C78973"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ab/>
              <w:t>(1,562,778)</w:t>
            </w:r>
          </w:p>
        </w:tc>
      </w:tr>
      <w:tr w:rsidR="009339E3" w:rsidRPr="009339E3" w14:paraId="64115E82" w14:textId="77777777" w:rsidTr="004F5282">
        <w:tc>
          <w:tcPr>
            <w:tcW w:w="4410" w:type="dxa"/>
          </w:tcPr>
          <w:p w14:paraId="18ED4147" w14:textId="77777777" w:rsidR="009339E3" w:rsidRPr="009339E3" w:rsidRDefault="009339E3" w:rsidP="009339E3">
            <w:pPr>
              <w:tabs>
                <w:tab w:val="left" w:pos="144"/>
                <w:tab w:val="left" w:pos="324"/>
                <w:tab w:val="right" w:pos="9180"/>
              </w:tabs>
              <w:rPr>
                <w:snapToGrid w:val="0"/>
                <w:color w:val="000000"/>
                <w:sz w:val="19"/>
                <w:szCs w:val="19"/>
              </w:rPr>
            </w:pPr>
            <w:r w:rsidRPr="009339E3">
              <w:rPr>
                <w:snapToGrid w:val="0"/>
                <w:color w:val="000000"/>
                <w:sz w:val="19"/>
                <w:szCs w:val="19"/>
              </w:rPr>
              <w:t>Balance at March 31, 2021</w:t>
            </w:r>
          </w:p>
        </w:tc>
        <w:tc>
          <w:tcPr>
            <w:tcW w:w="1170" w:type="dxa"/>
            <w:tcBorders>
              <w:top w:val="single" w:sz="4" w:space="0" w:color="auto"/>
              <w:bottom w:val="double" w:sz="4" w:space="0" w:color="auto"/>
            </w:tcBorders>
          </w:tcPr>
          <w:p w14:paraId="60EE0F8A" w14:textId="77777777" w:rsidR="009339E3" w:rsidRPr="009339E3" w:rsidRDefault="009339E3" w:rsidP="009339E3">
            <w:pPr>
              <w:tabs>
                <w:tab w:val="decimal" w:pos="917"/>
                <w:tab w:val="left" w:pos="2340"/>
                <w:tab w:val="right" w:pos="9180"/>
              </w:tabs>
              <w:rPr>
                <w:snapToGrid w:val="0"/>
                <w:color w:val="000000"/>
                <w:sz w:val="19"/>
                <w:szCs w:val="19"/>
              </w:rPr>
            </w:pPr>
            <w:r w:rsidRPr="009339E3">
              <w:rPr>
                <w:snapToGrid w:val="0"/>
                <w:color w:val="000000"/>
                <w:sz w:val="19"/>
                <w:szCs w:val="19"/>
              </w:rPr>
              <w:tab/>
              <w:t>100</w:t>
            </w:r>
          </w:p>
        </w:tc>
        <w:tc>
          <w:tcPr>
            <w:tcW w:w="1170" w:type="dxa"/>
            <w:tcBorders>
              <w:top w:val="single" w:sz="4" w:space="0" w:color="auto"/>
              <w:bottom w:val="double" w:sz="4" w:space="0" w:color="auto"/>
            </w:tcBorders>
          </w:tcPr>
          <w:p w14:paraId="27D71DAA" w14:textId="77777777" w:rsidR="009339E3" w:rsidRPr="009339E3" w:rsidRDefault="009339E3" w:rsidP="009339E3">
            <w:pPr>
              <w:tabs>
                <w:tab w:val="decimal" w:pos="798"/>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76,095</w:t>
            </w:r>
          </w:p>
        </w:tc>
        <w:tc>
          <w:tcPr>
            <w:tcW w:w="1080" w:type="dxa"/>
            <w:tcBorders>
              <w:top w:val="single" w:sz="4" w:space="0" w:color="auto"/>
              <w:bottom w:val="double" w:sz="4" w:space="0" w:color="auto"/>
            </w:tcBorders>
          </w:tcPr>
          <w:p w14:paraId="0299D841"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ab/>
              <w:t>6,315,467</w:t>
            </w:r>
          </w:p>
        </w:tc>
        <w:tc>
          <w:tcPr>
            <w:tcW w:w="1170" w:type="dxa"/>
            <w:tcBorders>
              <w:top w:val="single" w:sz="4" w:space="0" w:color="auto"/>
              <w:bottom w:val="double" w:sz="4" w:space="0" w:color="auto"/>
            </w:tcBorders>
          </w:tcPr>
          <w:p w14:paraId="6309F2C1"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6,315</w:t>
            </w:r>
          </w:p>
        </w:tc>
        <w:tc>
          <w:tcPr>
            <w:tcW w:w="1440" w:type="dxa"/>
            <w:tcBorders>
              <w:top w:val="single" w:sz="4" w:space="0" w:color="auto"/>
              <w:bottom w:val="double" w:sz="4" w:space="0" w:color="auto"/>
            </w:tcBorders>
          </w:tcPr>
          <w:p w14:paraId="0FB2B85A"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67,937,289</w:t>
            </w:r>
          </w:p>
        </w:tc>
        <w:tc>
          <w:tcPr>
            <w:tcW w:w="1350" w:type="dxa"/>
            <w:tcBorders>
              <w:top w:val="single" w:sz="4" w:space="0" w:color="auto"/>
              <w:bottom w:val="double" w:sz="4" w:space="0" w:color="auto"/>
            </w:tcBorders>
          </w:tcPr>
          <w:p w14:paraId="5656FDD4" w14:textId="77777777" w:rsidR="009339E3" w:rsidRPr="009339E3" w:rsidRDefault="009339E3" w:rsidP="009339E3">
            <w:pPr>
              <w:tabs>
                <w:tab w:val="decimal" w:pos="1150"/>
                <w:tab w:val="left" w:pos="2340"/>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(47,368,359)</w:t>
            </w:r>
          </w:p>
        </w:tc>
        <w:tc>
          <w:tcPr>
            <w:tcW w:w="1800" w:type="dxa"/>
            <w:tcBorders>
              <w:top w:val="single" w:sz="4" w:space="0" w:color="auto"/>
              <w:bottom w:val="double" w:sz="4" w:space="0" w:color="auto"/>
            </w:tcBorders>
          </w:tcPr>
          <w:p w14:paraId="6254A380" w14:textId="77777777" w:rsidR="009339E3" w:rsidRPr="009339E3" w:rsidRDefault="009339E3" w:rsidP="009339E3">
            <w:pPr>
              <w:tabs>
                <w:tab w:val="decimal" w:pos="1418"/>
                <w:tab w:val="right" w:pos="9180"/>
              </w:tabs>
              <w:rPr>
                <w:snapToGrid w:val="0"/>
                <w:color w:val="000000"/>
                <w:sz w:val="19"/>
                <w:szCs w:val="19"/>
              </w:rPr>
            </w:pPr>
            <w:r w:rsidRPr="009339E3">
              <w:rPr>
                <w:snapToGrid w:val="0"/>
                <w:color w:val="000000"/>
                <w:sz w:val="19"/>
                <w:szCs w:val="19"/>
              </w:rPr>
              <w:t>$</w:t>
            </w:r>
            <w:r w:rsidRPr="009339E3">
              <w:rPr>
                <w:snapToGrid w:val="0"/>
                <w:color w:val="000000"/>
                <w:sz w:val="19"/>
                <w:szCs w:val="19"/>
              </w:rPr>
              <w:tab/>
              <w:t>20,651,340</w:t>
            </w:r>
          </w:p>
        </w:tc>
      </w:tr>
      <w:tr w:rsidR="009339E3" w:rsidRPr="009339E3" w14:paraId="149599D2" w14:textId="77777777" w:rsidTr="004F5282">
        <w:tc>
          <w:tcPr>
            <w:tcW w:w="4410" w:type="dxa"/>
          </w:tcPr>
          <w:p w14:paraId="0963887B" w14:textId="77777777" w:rsidR="009339E3" w:rsidRPr="009339E3" w:rsidRDefault="009339E3" w:rsidP="009339E3">
            <w:pPr>
              <w:tabs>
                <w:tab w:val="left" w:pos="144"/>
                <w:tab w:val="left" w:pos="324"/>
                <w:tab w:val="right" w:pos="9180"/>
              </w:tabs>
              <w:rPr>
                <w:snapToGrid w:val="0"/>
                <w:color w:val="000000"/>
                <w:sz w:val="19"/>
                <w:szCs w:val="19"/>
              </w:rPr>
            </w:pPr>
          </w:p>
        </w:tc>
        <w:tc>
          <w:tcPr>
            <w:tcW w:w="1170" w:type="dxa"/>
          </w:tcPr>
          <w:p w14:paraId="4A7795B3" w14:textId="77777777" w:rsidR="009339E3" w:rsidRPr="009339E3" w:rsidRDefault="009339E3" w:rsidP="009339E3">
            <w:pPr>
              <w:tabs>
                <w:tab w:val="decimal" w:pos="917"/>
                <w:tab w:val="left" w:pos="2340"/>
                <w:tab w:val="right" w:pos="9180"/>
              </w:tabs>
              <w:rPr>
                <w:snapToGrid w:val="0"/>
                <w:color w:val="000000"/>
                <w:sz w:val="19"/>
                <w:szCs w:val="19"/>
              </w:rPr>
            </w:pPr>
          </w:p>
        </w:tc>
        <w:tc>
          <w:tcPr>
            <w:tcW w:w="1170" w:type="dxa"/>
          </w:tcPr>
          <w:p w14:paraId="68B6C4A6" w14:textId="77777777" w:rsidR="009339E3" w:rsidRPr="009339E3" w:rsidRDefault="009339E3" w:rsidP="009339E3">
            <w:pPr>
              <w:tabs>
                <w:tab w:val="decimal" w:pos="798"/>
                <w:tab w:val="left" w:pos="2340"/>
                <w:tab w:val="right" w:pos="9180"/>
              </w:tabs>
              <w:rPr>
                <w:snapToGrid w:val="0"/>
                <w:color w:val="000000"/>
                <w:sz w:val="19"/>
                <w:szCs w:val="19"/>
              </w:rPr>
            </w:pPr>
          </w:p>
        </w:tc>
        <w:tc>
          <w:tcPr>
            <w:tcW w:w="1080" w:type="dxa"/>
          </w:tcPr>
          <w:p w14:paraId="46A2FF3A"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p>
        </w:tc>
        <w:tc>
          <w:tcPr>
            <w:tcW w:w="1170" w:type="dxa"/>
          </w:tcPr>
          <w:p w14:paraId="762635A0"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p>
        </w:tc>
        <w:tc>
          <w:tcPr>
            <w:tcW w:w="1440" w:type="dxa"/>
          </w:tcPr>
          <w:p w14:paraId="32E427FF" w14:textId="77777777" w:rsidR="009339E3" w:rsidRPr="009339E3" w:rsidRDefault="009339E3" w:rsidP="009339E3">
            <w:pPr>
              <w:tabs>
                <w:tab w:val="decimal" w:pos="1148"/>
                <w:tab w:val="decimal" w:pos="1422"/>
                <w:tab w:val="left" w:pos="2340"/>
                <w:tab w:val="right" w:pos="9180"/>
              </w:tabs>
              <w:rPr>
                <w:snapToGrid w:val="0"/>
                <w:color w:val="000000"/>
                <w:sz w:val="19"/>
                <w:szCs w:val="19"/>
              </w:rPr>
            </w:pPr>
          </w:p>
        </w:tc>
        <w:tc>
          <w:tcPr>
            <w:tcW w:w="1350" w:type="dxa"/>
          </w:tcPr>
          <w:p w14:paraId="75DF38A0" w14:textId="77777777" w:rsidR="009339E3" w:rsidRPr="009339E3" w:rsidRDefault="009339E3" w:rsidP="009339E3">
            <w:pPr>
              <w:tabs>
                <w:tab w:val="decimal" w:pos="1150"/>
                <w:tab w:val="left" w:pos="2340"/>
                <w:tab w:val="right" w:pos="9180"/>
              </w:tabs>
              <w:rPr>
                <w:snapToGrid w:val="0"/>
                <w:color w:val="000000"/>
                <w:sz w:val="19"/>
                <w:szCs w:val="19"/>
              </w:rPr>
            </w:pPr>
          </w:p>
        </w:tc>
        <w:tc>
          <w:tcPr>
            <w:tcW w:w="1800" w:type="dxa"/>
          </w:tcPr>
          <w:p w14:paraId="0F8C4DE9" w14:textId="77777777" w:rsidR="009339E3" w:rsidRPr="009339E3" w:rsidRDefault="009339E3" w:rsidP="009339E3">
            <w:pPr>
              <w:tabs>
                <w:tab w:val="decimal" w:pos="1418"/>
                <w:tab w:val="right" w:pos="9180"/>
              </w:tabs>
              <w:rPr>
                <w:snapToGrid w:val="0"/>
                <w:color w:val="000000"/>
                <w:sz w:val="19"/>
                <w:szCs w:val="19"/>
              </w:rPr>
            </w:pPr>
          </w:p>
        </w:tc>
      </w:tr>
    </w:tbl>
    <w:p w14:paraId="4A3ACD47" w14:textId="77777777" w:rsidR="009339E3" w:rsidRPr="009339E3" w:rsidRDefault="009339E3" w:rsidP="009339E3">
      <w:pPr>
        <w:tabs>
          <w:tab w:val="decimal" w:pos="1152"/>
          <w:tab w:val="left" w:pos="2340"/>
          <w:tab w:val="right" w:pos="9180"/>
        </w:tabs>
        <w:rPr>
          <w:snapToGrid w:val="0"/>
          <w:color w:val="000000"/>
          <w:sz w:val="20"/>
          <w:szCs w:val="20"/>
        </w:rPr>
      </w:pPr>
    </w:p>
    <w:p w14:paraId="4CE1FB47" w14:textId="77777777" w:rsidR="009339E3" w:rsidRPr="009339E3" w:rsidRDefault="009339E3" w:rsidP="009339E3">
      <w:pPr>
        <w:tabs>
          <w:tab w:val="decimal" w:pos="1152"/>
          <w:tab w:val="left" w:pos="2340"/>
          <w:tab w:val="right" w:pos="9180"/>
        </w:tabs>
        <w:rPr>
          <w:snapToGrid w:val="0"/>
          <w:color w:val="000000"/>
          <w:sz w:val="20"/>
          <w:szCs w:val="20"/>
        </w:rPr>
      </w:pPr>
    </w:p>
    <w:p w14:paraId="1471AE82" w14:textId="77777777" w:rsidR="009339E3" w:rsidRPr="009339E3" w:rsidRDefault="009339E3" w:rsidP="009339E3">
      <w:pPr>
        <w:tabs>
          <w:tab w:val="decimal" w:pos="1152"/>
          <w:tab w:val="left" w:pos="2340"/>
          <w:tab w:val="right" w:pos="9180"/>
        </w:tabs>
        <w:rPr>
          <w:snapToGrid w:val="0"/>
          <w:color w:val="000000"/>
          <w:sz w:val="20"/>
          <w:szCs w:val="20"/>
        </w:rPr>
      </w:pPr>
    </w:p>
    <w:p w14:paraId="6840714A" w14:textId="77777777" w:rsidR="009339E3" w:rsidRPr="009339E3" w:rsidRDefault="009339E3" w:rsidP="009339E3">
      <w:pPr>
        <w:tabs>
          <w:tab w:val="decimal" w:pos="1152"/>
          <w:tab w:val="left" w:pos="2340"/>
          <w:tab w:val="right" w:pos="9180"/>
        </w:tabs>
        <w:rPr>
          <w:snapToGrid w:val="0"/>
          <w:color w:val="000000"/>
          <w:sz w:val="20"/>
          <w:szCs w:val="20"/>
        </w:rPr>
      </w:pPr>
    </w:p>
    <w:p w14:paraId="0B470957" w14:textId="77777777" w:rsidR="009339E3" w:rsidRPr="009339E3" w:rsidRDefault="009339E3" w:rsidP="009339E3">
      <w:pPr>
        <w:tabs>
          <w:tab w:val="decimal" w:pos="1152"/>
          <w:tab w:val="left" w:pos="2340"/>
          <w:tab w:val="right" w:pos="9180"/>
        </w:tabs>
        <w:rPr>
          <w:snapToGrid w:val="0"/>
          <w:color w:val="000000"/>
          <w:sz w:val="20"/>
          <w:szCs w:val="20"/>
        </w:rPr>
      </w:pPr>
    </w:p>
    <w:p w14:paraId="3F3DFFD5" w14:textId="77777777" w:rsidR="009339E3" w:rsidRPr="009339E3" w:rsidRDefault="009339E3" w:rsidP="009339E3">
      <w:pPr>
        <w:tabs>
          <w:tab w:val="decimal" w:pos="1152"/>
          <w:tab w:val="left" w:pos="2340"/>
          <w:tab w:val="right" w:pos="9180"/>
        </w:tabs>
        <w:rPr>
          <w:snapToGrid w:val="0"/>
          <w:color w:val="000000"/>
          <w:sz w:val="20"/>
          <w:szCs w:val="20"/>
        </w:rPr>
      </w:pPr>
    </w:p>
    <w:p w14:paraId="488C752E" w14:textId="4DF69703" w:rsidR="009339E3" w:rsidRDefault="009339E3" w:rsidP="009339E3">
      <w:pPr>
        <w:tabs>
          <w:tab w:val="left" w:pos="1080"/>
          <w:tab w:val="left" w:pos="1260"/>
          <w:tab w:val="left" w:pos="2340"/>
          <w:tab w:val="right" w:pos="9180"/>
        </w:tabs>
        <w:ind w:right="-360"/>
        <w:jc w:val="center"/>
        <w:rPr>
          <w:snapToGrid w:val="0"/>
          <w:color w:val="000000"/>
          <w:sz w:val="20"/>
          <w:szCs w:val="20"/>
        </w:rPr>
      </w:pPr>
      <w:r w:rsidRPr="009339E3">
        <w:rPr>
          <w:snapToGrid w:val="0"/>
          <w:color w:val="000000"/>
          <w:sz w:val="20"/>
          <w:szCs w:val="20"/>
        </w:rPr>
        <w:t>See accompanying notes to consolidated financial statements.</w:t>
      </w:r>
    </w:p>
    <w:p w14:paraId="57AF0CC0" w14:textId="77777777" w:rsidR="009339E3" w:rsidRDefault="009339E3" w:rsidP="009339E3">
      <w:pPr>
        <w:tabs>
          <w:tab w:val="left" w:pos="1080"/>
          <w:tab w:val="left" w:pos="1260"/>
          <w:tab w:val="left" w:pos="2340"/>
          <w:tab w:val="right" w:pos="9180"/>
        </w:tabs>
        <w:ind w:right="-360"/>
        <w:jc w:val="center"/>
        <w:rPr>
          <w:sz w:val="20"/>
          <w:szCs w:val="20"/>
        </w:rPr>
        <w:sectPr w:rsidR="009339E3" w:rsidSect="009339E3">
          <w:pgSz w:w="15840" w:h="12240" w:orient="landscape"/>
          <w:pgMar w:top="1440" w:right="1440" w:bottom="1440" w:left="1440" w:header="720" w:footer="720" w:gutter="0"/>
          <w:cols w:space="720"/>
          <w:docGrid w:linePitch="326"/>
        </w:sectPr>
      </w:pPr>
    </w:p>
    <w:p w14:paraId="080C3738" w14:textId="77777777" w:rsidR="009339E3" w:rsidRPr="009339E3" w:rsidRDefault="009339E3" w:rsidP="009339E3">
      <w:pPr>
        <w:tabs>
          <w:tab w:val="left" w:pos="1080"/>
          <w:tab w:val="left" w:pos="1260"/>
          <w:tab w:val="left" w:pos="2340"/>
          <w:tab w:val="right" w:pos="9180"/>
        </w:tabs>
        <w:ind w:right="-360"/>
        <w:jc w:val="center"/>
        <w:rPr>
          <w:sz w:val="20"/>
          <w:szCs w:val="20"/>
        </w:rPr>
      </w:pPr>
    </w:p>
    <w:tbl>
      <w:tblPr>
        <w:tblW w:w="10188" w:type="dxa"/>
        <w:tblLayout w:type="fixed"/>
        <w:tblLook w:val="01E0" w:firstRow="1" w:lastRow="1" w:firstColumn="1" w:lastColumn="1" w:noHBand="0" w:noVBand="0"/>
      </w:tblPr>
      <w:tblGrid>
        <w:gridCol w:w="378"/>
        <w:gridCol w:w="425"/>
        <w:gridCol w:w="195"/>
        <w:gridCol w:w="190"/>
        <w:gridCol w:w="404"/>
        <w:gridCol w:w="620"/>
        <w:gridCol w:w="2641"/>
        <w:gridCol w:w="1555"/>
        <w:gridCol w:w="1800"/>
        <w:gridCol w:w="360"/>
        <w:gridCol w:w="1620"/>
      </w:tblGrid>
      <w:tr w:rsidR="009339E3" w:rsidRPr="009339E3" w14:paraId="08636EDE" w14:textId="77777777" w:rsidTr="004F5282">
        <w:tc>
          <w:tcPr>
            <w:tcW w:w="10188" w:type="dxa"/>
            <w:gridSpan w:val="11"/>
          </w:tcPr>
          <w:p w14:paraId="1472C75D" w14:textId="77777777" w:rsidR="009339E3" w:rsidRPr="009339E3" w:rsidRDefault="009339E3" w:rsidP="009339E3">
            <w:pPr>
              <w:ind w:right="-18"/>
              <w:jc w:val="center"/>
              <w:rPr>
                <w:b/>
                <w:sz w:val="20"/>
                <w:szCs w:val="20"/>
              </w:rPr>
            </w:pPr>
            <w:r w:rsidRPr="009339E3">
              <w:rPr>
                <w:b/>
                <w:sz w:val="20"/>
                <w:szCs w:val="20"/>
              </w:rPr>
              <w:t>GEOVAX LABS, INC.</w:t>
            </w:r>
          </w:p>
          <w:p w14:paraId="1256FE73" w14:textId="77777777" w:rsidR="009339E3" w:rsidRPr="009339E3" w:rsidRDefault="009339E3" w:rsidP="009339E3">
            <w:pPr>
              <w:ind w:right="-18"/>
              <w:jc w:val="center"/>
              <w:rPr>
                <w:b/>
                <w:sz w:val="20"/>
                <w:szCs w:val="20"/>
              </w:rPr>
            </w:pPr>
            <w:r w:rsidRPr="009339E3">
              <w:rPr>
                <w:b/>
                <w:sz w:val="20"/>
                <w:szCs w:val="20"/>
              </w:rPr>
              <w:t>CONDENSED CONSOLIDATED STATEMENTS OF CASH FLOWS</w:t>
            </w:r>
          </w:p>
          <w:p w14:paraId="2E6C3614" w14:textId="77777777" w:rsidR="009339E3" w:rsidRPr="009339E3" w:rsidRDefault="009339E3" w:rsidP="009339E3">
            <w:pPr>
              <w:ind w:right="-18"/>
              <w:jc w:val="center"/>
              <w:rPr>
                <w:b/>
                <w:sz w:val="20"/>
                <w:szCs w:val="20"/>
              </w:rPr>
            </w:pPr>
            <w:r w:rsidRPr="009339E3">
              <w:rPr>
                <w:b/>
                <w:sz w:val="20"/>
                <w:szCs w:val="20"/>
              </w:rPr>
              <w:t>(Unaudited)</w:t>
            </w:r>
          </w:p>
        </w:tc>
      </w:tr>
      <w:tr w:rsidR="009339E3" w:rsidRPr="009339E3" w14:paraId="506C08E4" w14:textId="77777777" w:rsidTr="004F5282">
        <w:tc>
          <w:tcPr>
            <w:tcW w:w="4853" w:type="dxa"/>
            <w:gridSpan w:val="7"/>
          </w:tcPr>
          <w:p w14:paraId="69A0E6B4" w14:textId="77777777" w:rsidR="009339E3" w:rsidRPr="009339E3" w:rsidRDefault="009339E3" w:rsidP="009339E3">
            <w:pPr>
              <w:rPr>
                <w:sz w:val="20"/>
                <w:szCs w:val="20"/>
              </w:rPr>
            </w:pPr>
          </w:p>
        </w:tc>
        <w:tc>
          <w:tcPr>
            <w:tcW w:w="1555" w:type="dxa"/>
          </w:tcPr>
          <w:p w14:paraId="5CBF8019" w14:textId="77777777" w:rsidR="009339E3" w:rsidRPr="009339E3" w:rsidRDefault="009339E3" w:rsidP="009339E3">
            <w:pPr>
              <w:tabs>
                <w:tab w:val="right" w:pos="9180"/>
              </w:tabs>
              <w:rPr>
                <w:sz w:val="20"/>
                <w:szCs w:val="20"/>
              </w:rPr>
            </w:pPr>
          </w:p>
        </w:tc>
        <w:tc>
          <w:tcPr>
            <w:tcW w:w="1800" w:type="dxa"/>
          </w:tcPr>
          <w:p w14:paraId="39A230D3" w14:textId="77777777" w:rsidR="009339E3" w:rsidRPr="009339E3" w:rsidRDefault="009339E3" w:rsidP="009339E3">
            <w:pPr>
              <w:tabs>
                <w:tab w:val="decimal" w:pos="1044"/>
                <w:tab w:val="decimal" w:pos="1332"/>
                <w:tab w:val="right" w:pos="9180"/>
              </w:tabs>
              <w:rPr>
                <w:sz w:val="20"/>
                <w:szCs w:val="20"/>
              </w:rPr>
            </w:pPr>
          </w:p>
        </w:tc>
        <w:tc>
          <w:tcPr>
            <w:tcW w:w="360" w:type="dxa"/>
          </w:tcPr>
          <w:p w14:paraId="1E37DE27" w14:textId="77777777" w:rsidR="009339E3" w:rsidRPr="009339E3" w:rsidRDefault="009339E3" w:rsidP="009339E3">
            <w:pPr>
              <w:tabs>
                <w:tab w:val="right" w:pos="9180"/>
              </w:tabs>
              <w:rPr>
                <w:sz w:val="20"/>
                <w:szCs w:val="20"/>
              </w:rPr>
            </w:pPr>
          </w:p>
        </w:tc>
        <w:tc>
          <w:tcPr>
            <w:tcW w:w="1620" w:type="dxa"/>
          </w:tcPr>
          <w:p w14:paraId="60524D4A" w14:textId="77777777" w:rsidR="009339E3" w:rsidRPr="009339E3" w:rsidRDefault="009339E3" w:rsidP="009339E3">
            <w:pPr>
              <w:tabs>
                <w:tab w:val="decimal" w:pos="1044"/>
                <w:tab w:val="right" w:pos="9180"/>
              </w:tabs>
              <w:ind w:right="-18"/>
              <w:rPr>
                <w:sz w:val="20"/>
                <w:szCs w:val="20"/>
              </w:rPr>
            </w:pPr>
          </w:p>
        </w:tc>
      </w:tr>
      <w:tr w:rsidR="009339E3" w:rsidRPr="009339E3" w14:paraId="0F186B92" w14:textId="77777777" w:rsidTr="004F5282">
        <w:tc>
          <w:tcPr>
            <w:tcW w:w="4853" w:type="dxa"/>
            <w:gridSpan w:val="7"/>
          </w:tcPr>
          <w:p w14:paraId="5B9DFA14" w14:textId="77777777" w:rsidR="009339E3" w:rsidRPr="009339E3" w:rsidRDefault="009339E3" w:rsidP="009339E3">
            <w:pPr>
              <w:rPr>
                <w:sz w:val="20"/>
                <w:szCs w:val="20"/>
              </w:rPr>
            </w:pPr>
          </w:p>
        </w:tc>
        <w:tc>
          <w:tcPr>
            <w:tcW w:w="1555" w:type="dxa"/>
          </w:tcPr>
          <w:p w14:paraId="568FB6A4" w14:textId="77777777" w:rsidR="009339E3" w:rsidRPr="009339E3" w:rsidRDefault="009339E3" w:rsidP="009339E3">
            <w:pPr>
              <w:tabs>
                <w:tab w:val="right" w:pos="9180"/>
              </w:tabs>
              <w:rPr>
                <w:sz w:val="20"/>
                <w:szCs w:val="20"/>
              </w:rPr>
            </w:pPr>
          </w:p>
        </w:tc>
        <w:tc>
          <w:tcPr>
            <w:tcW w:w="1800" w:type="dxa"/>
          </w:tcPr>
          <w:p w14:paraId="625EA890" w14:textId="77777777" w:rsidR="009339E3" w:rsidRPr="009339E3" w:rsidRDefault="009339E3" w:rsidP="009339E3">
            <w:pPr>
              <w:tabs>
                <w:tab w:val="decimal" w:pos="1044"/>
                <w:tab w:val="decimal" w:pos="1332"/>
                <w:tab w:val="right" w:pos="9180"/>
              </w:tabs>
              <w:rPr>
                <w:sz w:val="20"/>
                <w:szCs w:val="20"/>
              </w:rPr>
            </w:pPr>
          </w:p>
        </w:tc>
        <w:tc>
          <w:tcPr>
            <w:tcW w:w="360" w:type="dxa"/>
          </w:tcPr>
          <w:p w14:paraId="6475873C" w14:textId="77777777" w:rsidR="009339E3" w:rsidRPr="009339E3" w:rsidRDefault="009339E3" w:rsidP="009339E3">
            <w:pPr>
              <w:tabs>
                <w:tab w:val="right" w:pos="9180"/>
              </w:tabs>
              <w:rPr>
                <w:sz w:val="20"/>
                <w:szCs w:val="20"/>
              </w:rPr>
            </w:pPr>
          </w:p>
        </w:tc>
        <w:tc>
          <w:tcPr>
            <w:tcW w:w="1620" w:type="dxa"/>
          </w:tcPr>
          <w:p w14:paraId="0BD1EA5B" w14:textId="77777777" w:rsidR="009339E3" w:rsidRPr="009339E3" w:rsidRDefault="009339E3" w:rsidP="009339E3">
            <w:pPr>
              <w:tabs>
                <w:tab w:val="decimal" w:pos="1044"/>
                <w:tab w:val="right" w:pos="9180"/>
              </w:tabs>
              <w:ind w:right="-18"/>
              <w:rPr>
                <w:sz w:val="20"/>
                <w:szCs w:val="20"/>
              </w:rPr>
            </w:pPr>
          </w:p>
        </w:tc>
      </w:tr>
      <w:tr w:rsidR="009339E3" w:rsidRPr="009339E3" w14:paraId="00096546" w14:textId="77777777" w:rsidTr="004F5282">
        <w:tc>
          <w:tcPr>
            <w:tcW w:w="4853" w:type="dxa"/>
            <w:gridSpan w:val="7"/>
          </w:tcPr>
          <w:p w14:paraId="36E37098" w14:textId="77777777" w:rsidR="009339E3" w:rsidRPr="009339E3" w:rsidRDefault="009339E3" w:rsidP="009339E3">
            <w:pPr>
              <w:rPr>
                <w:sz w:val="20"/>
                <w:szCs w:val="20"/>
              </w:rPr>
            </w:pPr>
          </w:p>
        </w:tc>
        <w:tc>
          <w:tcPr>
            <w:tcW w:w="1555" w:type="dxa"/>
          </w:tcPr>
          <w:p w14:paraId="4E6345AB" w14:textId="77777777" w:rsidR="009339E3" w:rsidRPr="009339E3" w:rsidRDefault="009339E3" w:rsidP="009339E3">
            <w:pPr>
              <w:tabs>
                <w:tab w:val="right" w:pos="9180"/>
              </w:tabs>
              <w:rPr>
                <w:sz w:val="20"/>
                <w:szCs w:val="20"/>
              </w:rPr>
            </w:pPr>
          </w:p>
        </w:tc>
        <w:tc>
          <w:tcPr>
            <w:tcW w:w="3780" w:type="dxa"/>
            <w:gridSpan w:val="3"/>
            <w:tcBorders>
              <w:bottom w:val="single" w:sz="4" w:space="0" w:color="auto"/>
            </w:tcBorders>
          </w:tcPr>
          <w:p w14:paraId="517491C7" w14:textId="77777777" w:rsidR="009339E3" w:rsidRPr="009339E3" w:rsidRDefault="009339E3" w:rsidP="009339E3">
            <w:pPr>
              <w:tabs>
                <w:tab w:val="decimal" w:pos="1044"/>
                <w:tab w:val="right" w:pos="9180"/>
              </w:tabs>
              <w:ind w:right="-18"/>
              <w:jc w:val="center"/>
              <w:rPr>
                <w:sz w:val="20"/>
                <w:szCs w:val="20"/>
              </w:rPr>
            </w:pPr>
            <w:r w:rsidRPr="009339E3">
              <w:rPr>
                <w:sz w:val="20"/>
                <w:szCs w:val="20"/>
              </w:rPr>
              <w:t>Three Months Ended March 31,</w:t>
            </w:r>
          </w:p>
        </w:tc>
      </w:tr>
      <w:tr w:rsidR="009339E3" w:rsidRPr="009339E3" w14:paraId="6C767411" w14:textId="77777777" w:rsidTr="004F5282">
        <w:tc>
          <w:tcPr>
            <w:tcW w:w="4853" w:type="dxa"/>
            <w:gridSpan w:val="7"/>
          </w:tcPr>
          <w:p w14:paraId="037EEA14" w14:textId="77777777" w:rsidR="009339E3" w:rsidRPr="009339E3" w:rsidRDefault="009339E3" w:rsidP="009339E3">
            <w:pPr>
              <w:rPr>
                <w:sz w:val="20"/>
                <w:szCs w:val="20"/>
              </w:rPr>
            </w:pPr>
          </w:p>
        </w:tc>
        <w:tc>
          <w:tcPr>
            <w:tcW w:w="1555" w:type="dxa"/>
          </w:tcPr>
          <w:p w14:paraId="36E6A4DC" w14:textId="77777777" w:rsidR="009339E3" w:rsidRPr="009339E3" w:rsidRDefault="009339E3" w:rsidP="009339E3">
            <w:pPr>
              <w:tabs>
                <w:tab w:val="right" w:pos="9180"/>
              </w:tabs>
              <w:rPr>
                <w:sz w:val="20"/>
                <w:szCs w:val="20"/>
              </w:rPr>
            </w:pPr>
          </w:p>
        </w:tc>
        <w:tc>
          <w:tcPr>
            <w:tcW w:w="1800" w:type="dxa"/>
            <w:tcBorders>
              <w:top w:val="single" w:sz="4" w:space="0" w:color="auto"/>
              <w:bottom w:val="single" w:sz="4" w:space="0" w:color="auto"/>
            </w:tcBorders>
          </w:tcPr>
          <w:p w14:paraId="494F57C5" w14:textId="77777777" w:rsidR="009339E3" w:rsidRPr="009339E3" w:rsidRDefault="009339E3" w:rsidP="009339E3">
            <w:pPr>
              <w:tabs>
                <w:tab w:val="decimal" w:pos="1044"/>
                <w:tab w:val="decimal" w:pos="1332"/>
                <w:tab w:val="right" w:pos="9180"/>
              </w:tabs>
              <w:jc w:val="center"/>
              <w:rPr>
                <w:sz w:val="20"/>
                <w:szCs w:val="20"/>
              </w:rPr>
            </w:pPr>
            <w:r w:rsidRPr="009339E3">
              <w:rPr>
                <w:sz w:val="20"/>
                <w:szCs w:val="20"/>
              </w:rPr>
              <w:t>2022</w:t>
            </w:r>
          </w:p>
        </w:tc>
        <w:tc>
          <w:tcPr>
            <w:tcW w:w="360" w:type="dxa"/>
            <w:tcBorders>
              <w:top w:val="single" w:sz="4" w:space="0" w:color="auto"/>
            </w:tcBorders>
          </w:tcPr>
          <w:p w14:paraId="03E6EBA6" w14:textId="77777777" w:rsidR="009339E3" w:rsidRPr="009339E3" w:rsidRDefault="009339E3" w:rsidP="009339E3">
            <w:pPr>
              <w:tabs>
                <w:tab w:val="right" w:pos="9180"/>
              </w:tabs>
              <w:jc w:val="center"/>
              <w:rPr>
                <w:sz w:val="20"/>
                <w:szCs w:val="20"/>
              </w:rPr>
            </w:pPr>
          </w:p>
        </w:tc>
        <w:tc>
          <w:tcPr>
            <w:tcW w:w="1620" w:type="dxa"/>
            <w:tcBorders>
              <w:top w:val="single" w:sz="4" w:space="0" w:color="auto"/>
              <w:bottom w:val="single" w:sz="4" w:space="0" w:color="auto"/>
            </w:tcBorders>
          </w:tcPr>
          <w:p w14:paraId="4CEAF2EE" w14:textId="77777777" w:rsidR="009339E3" w:rsidRPr="009339E3" w:rsidRDefault="009339E3" w:rsidP="009339E3">
            <w:pPr>
              <w:tabs>
                <w:tab w:val="decimal" w:pos="1044"/>
                <w:tab w:val="right" w:pos="9180"/>
              </w:tabs>
              <w:ind w:right="-18"/>
              <w:jc w:val="center"/>
              <w:rPr>
                <w:sz w:val="20"/>
                <w:szCs w:val="20"/>
              </w:rPr>
            </w:pPr>
            <w:r w:rsidRPr="009339E3">
              <w:rPr>
                <w:sz w:val="20"/>
                <w:szCs w:val="20"/>
              </w:rPr>
              <w:t>2021</w:t>
            </w:r>
          </w:p>
        </w:tc>
      </w:tr>
      <w:tr w:rsidR="009339E3" w:rsidRPr="009339E3" w14:paraId="32E4E0E6" w14:textId="77777777" w:rsidTr="004F5282">
        <w:tc>
          <w:tcPr>
            <w:tcW w:w="4853" w:type="dxa"/>
            <w:gridSpan w:val="7"/>
          </w:tcPr>
          <w:p w14:paraId="174FA7B0" w14:textId="77777777" w:rsidR="009339E3" w:rsidRPr="009339E3" w:rsidRDefault="009339E3" w:rsidP="009339E3">
            <w:pPr>
              <w:rPr>
                <w:sz w:val="20"/>
                <w:szCs w:val="20"/>
              </w:rPr>
            </w:pPr>
            <w:r w:rsidRPr="009339E3">
              <w:rPr>
                <w:sz w:val="20"/>
                <w:szCs w:val="20"/>
              </w:rPr>
              <w:t>Cash flows from operating activities:</w:t>
            </w:r>
          </w:p>
        </w:tc>
        <w:tc>
          <w:tcPr>
            <w:tcW w:w="1555" w:type="dxa"/>
          </w:tcPr>
          <w:p w14:paraId="65E0D9FC" w14:textId="77777777" w:rsidR="009339E3" w:rsidRPr="009339E3" w:rsidRDefault="009339E3" w:rsidP="009339E3">
            <w:pPr>
              <w:tabs>
                <w:tab w:val="right" w:pos="9180"/>
              </w:tabs>
              <w:rPr>
                <w:sz w:val="20"/>
                <w:szCs w:val="20"/>
              </w:rPr>
            </w:pPr>
          </w:p>
        </w:tc>
        <w:tc>
          <w:tcPr>
            <w:tcW w:w="1800" w:type="dxa"/>
            <w:tcBorders>
              <w:top w:val="single" w:sz="4" w:space="0" w:color="auto"/>
            </w:tcBorders>
          </w:tcPr>
          <w:p w14:paraId="7E178A96" w14:textId="77777777" w:rsidR="009339E3" w:rsidRPr="009339E3" w:rsidRDefault="009339E3" w:rsidP="009339E3">
            <w:pPr>
              <w:tabs>
                <w:tab w:val="decimal" w:pos="1044"/>
                <w:tab w:val="decimal" w:pos="1332"/>
                <w:tab w:val="right" w:pos="9180"/>
              </w:tabs>
              <w:rPr>
                <w:sz w:val="20"/>
                <w:szCs w:val="20"/>
              </w:rPr>
            </w:pPr>
          </w:p>
        </w:tc>
        <w:tc>
          <w:tcPr>
            <w:tcW w:w="360" w:type="dxa"/>
          </w:tcPr>
          <w:p w14:paraId="682C87DD" w14:textId="77777777" w:rsidR="009339E3" w:rsidRPr="009339E3" w:rsidRDefault="009339E3" w:rsidP="009339E3">
            <w:pPr>
              <w:tabs>
                <w:tab w:val="right" w:pos="9180"/>
              </w:tabs>
              <w:rPr>
                <w:sz w:val="20"/>
                <w:szCs w:val="20"/>
              </w:rPr>
            </w:pPr>
          </w:p>
        </w:tc>
        <w:tc>
          <w:tcPr>
            <w:tcW w:w="1620" w:type="dxa"/>
          </w:tcPr>
          <w:p w14:paraId="0F650E5E" w14:textId="77777777" w:rsidR="009339E3" w:rsidRPr="009339E3" w:rsidRDefault="009339E3" w:rsidP="009339E3">
            <w:pPr>
              <w:tabs>
                <w:tab w:val="decimal" w:pos="1044"/>
                <w:tab w:val="right" w:pos="9180"/>
              </w:tabs>
              <w:ind w:right="-18"/>
              <w:rPr>
                <w:sz w:val="20"/>
                <w:szCs w:val="20"/>
              </w:rPr>
            </w:pPr>
          </w:p>
        </w:tc>
      </w:tr>
      <w:tr w:rsidR="009339E3" w:rsidRPr="009339E3" w14:paraId="13C6412C" w14:textId="77777777" w:rsidTr="004F5282">
        <w:tc>
          <w:tcPr>
            <w:tcW w:w="378" w:type="dxa"/>
          </w:tcPr>
          <w:p w14:paraId="1194AC9A" w14:textId="77777777" w:rsidR="009339E3" w:rsidRPr="009339E3" w:rsidRDefault="009339E3" w:rsidP="009339E3">
            <w:pPr>
              <w:rPr>
                <w:sz w:val="20"/>
                <w:szCs w:val="20"/>
              </w:rPr>
            </w:pPr>
          </w:p>
        </w:tc>
        <w:tc>
          <w:tcPr>
            <w:tcW w:w="4475" w:type="dxa"/>
            <w:gridSpan w:val="6"/>
          </w:tcPr>
          <w:p w14:paraId="0FAE49A5" w14:textId="77777777" w:rsidR="009339E3" w:rsidRPr="009339E3" w:rsidRDefault="009339E3" w:rsidP="009339E3">
            <w:pPr>
              <w:rPr>
                <w:sz w:val="20"/>
                <w:szCs w:val="20"/>
              </w:rPr>
            </w:pPr>
            <w:r w:rsidRPr="009339E3">
              <w:rPr>
                <w:sz w:val="20"/>
                <w:szCs w:val="20"/>
              </w:rPr>
              <w:t>Net loss</w:t>
            </w:r>
          </w:p>
        </w:tc>
        <w:tc>
          <w:tcPr>
            <w:tcW w:w="1555" w:type="dxa"/>
          </w:tcPr>
          <w:p w14:paraId="2C4BED2C" w14:textId="77777777" w:rsidR="009339E3" w:rsidRPr="009339E3" w:rsidRDefault="009339E3" w:rsidP="009339E3">
            <w:pPr>
              <w:tabs>
                <w:tab w:val="right" w:pos="9180"/>
              </w:tabs>
              <w:rPr>
                <w:sz w:val="20"/>
                <w:szCs w:val="20"/>
              </w:rPr>
            </w:pPr>
          </w:p>
        </w:tc>
        <w:tc>
          <w:tcPr>
            <w:tcW w:w="1800" w:type="dxa"/>
          </w:tcPr>
          <w:p w14:paraId="77D68D98" w14:textId="77777777" w:rsidR="009339E3" w:rsidRPr="009339E3" w:rsidRDefault="009339E3" w:rsidP="009339E3">
            <w:pPr>
              <w:tabs>
                <w:tab w:val="decimal" w:pos="1332"/>
                <w:tab w:val="right" w:pos="9180"/>
              </w:tabs>
              <w:rPr>
                <w:sz w:val="20"/>
                <w:szCs w:val="20"/>
              </w:rPr>
            </w:pPr>
            <w:r w:rsidRPr="009339E3">
              <w:rPr>
                <w:sz w:val="20"/>
                <w:szCs w:val="20"/>
              </w:rPr>
              <w:t>$</w:t>
            </w:r>
            <w:r w:rsidRPr="009339E3">
              <w:rPr>
                <w:sz w:val="20"/>
                <w:szCs w:val="20"/>
              </w:rPr>
              <w:tab/>
              <w:t>(2,427,515)</w:t>
            </w:r>
          </w:p>
        </w:tc>
        <w:tc>
          <w:tcPr>
            <w:tcW w:w="360" w:type="dxa"/>
          </w:tcPr>
          <w:p w14:paraId="7D02ED89" w14:textId="77777777" w:rsidR="009339E3" w:rsidRPr="009339E3" w:rsidRDefault="009339E3" w:rsidP="009339E3">
            <w:pPr>
              <w:tabs>
                <w:tab w:val="right" w:pos="9180"/>
              </w:tabs>
              <w:rPr>
                <w:sz w:val="20"/>
                <w:szCs w:val="20"/>
              </w:rPr>
            </w:pPr>
          </w:p>
        </w:tc>
        <w:tc>
          <w:tcPr>
            <w:tcW w:w="1620" w:type="dxa"/>
          </w:tcPr>
          <w:p w14:paraId="745FA192" w14:textId="77777777" w:rsidR="009339E3" w:rsidRPr="009339E3" w:rsidRDefault="009339E3" w:rsidP="009339E3">
            <w:pPr>
              <w:tabs>
                <w:tab w:val="decimal" w:pos="1152"/>
                <w:tab w:val="right" w:pos="9180"/>
              </w:tabs>
              <w:rPr>
                <w:sz w:val="20"/>
                <w:szCs w:val="20"/>
              </w:rPr>
            </w:pPr>
            <w:r w:rsidRPr="009339E3">
              <w:rPr>
                <w:sz w:val="20"/>
                <w:szCs w:val="20"/>
              </w:rPr>
              <w:t>$</w:t>
            </w:r>
            <w:r w:rsidRPr="009339E3">
              <w:rPr>
                <w:sz w:val="20"/>
                <w:szCs w:val="20"/>
              </w:rPr>
              <w:tab/>
              <w:t>(1,562,778)</w:t>
            </w:r>
          </w:p>
        </w:tc>
      </w:tr>
      <w:tr w:rsidR="009339E3" w:rsidRPr="009339E3" w14:paraId="749DB4A1" w14:textId="77777777" w:rsidTr="004F5282">
        <w:tc>
          <w:tcPr>
            <w:tcW w:w="378" w:type="dxa"/>
          </w:tcPr>
          <w:p w14:paraId="37BEF473" w14:textId="77777777" w:rsidR="009339E3" w:rsidRPr="009339E3" w:rsidRDefault="009339E3" w:rsidP="009339E3">
            <w:pPr>
              <w:rPr>
                <w:sz w:val="20"/>
                <w:szCs w:val="20"/>
              </w:rPr>
            </w:pPr>
          </w:p>
        </w:tc>
        <w:tc>
          <w:tcPr>
            <w:tcW w:w="4475" w:type="dxa"/>
            <w:gridSpan w:val="6"/>
          </w:tcPr>
          <w:p w14:paraId="33B4B3D9" w14:textId="77777777" w:rsidR="009339E3" w:rsidRPr="009339E3" w:rsidRDefault="009339E3" w:rsidP="009339E3">
            <w:pPr>
              <w:rPr>
                <w:sz w:val="20"/>
                <w:szCs w:val="20"/>
              </w:rPr>
            </w:pPr>
            <w:r w:rsidRPr="009339E3">
              <w:rPr>
                <w:sz w:val="20"/>
                <w:szCs w:val="20"/>
              </w:rPr>
              <w:t>Adjustments to reconcile net loss to net cash</w:t>
            </w:r>
          </w:p>
        </w:tc>
        <w:tc>
          <w:tcPr>
            <w:tcW w:w="1555" w:type="dxa"/>
          </w:tcPr>
          <w:p w14:paraId="36645E07" w14:textId="77777777" w:rsidR="009339E3" w:rsidRPr="009339E3" w:rsidRDefault="009339E3" w:rsidP="009339E3">
            <w:pPr>
              <w:tabs>
                <w:tab w:val="right" w:pos="9180"/>
              </w:tabs>
              <w:rPr>
                <w:sz w:val="20"/>
                <w:szCs w:val="20"/>
              </w:rPr>
            </w:pPr>
          </w:p>
        </w:tc>
        <w:tc>
          <w:tcPr>
            <w:tcW w:w="1800" w:type="dxa"/>
          </w:tcPr>
          <w:p w14:paraId="43781659" w14:textId="77777777" w:rsidR="009339E3" w:rsidRPr="009339E3" w:rsidRDefault="009339E3" w:rsidP="009339E3">
            <w:pPr>
              <w:tabs>
                <w:tab w:val="decimal" w:pos="1044"/>
                <w:tab w:val="right" w:pos="9180"/>
              </w:tabs>
              <w:rPr>
                <w:sz w:val="20"/>
                <w:szCs w:val="20"/>
              </w:rPr>
            </w:pPr>
          </w:p>
        </w:tc>
        <w:tc>
          <w:tcPr>
            <w:tcW w:w="360" w:type="dxa"/>
          </w:tcPr>
          <w:p w14:paraId="70FE2C12" w14:textId="77777777" w:rsidR="009339E3" w:rsidRPr="009339E3" w:rsidRDefault="009339E3" w:rsidP="009339E3">
            <w:pPr>
              <w:tabs>
                <w:tab w:val="right" w:pos="9180"/>
              </w:tabs>
              <w:rPr>
                <w:sz w:val="20"/>
                <w:szCs w:val="20"/>
              </w:rPr>
            </w:pPr>
          </w:p>
        </w:tc>
        <w:tc>
          <w:tcPr>
            <w:tcW w:w="1620" w:type="dxa"/>
          </w:tcPr>
          <w:p w14:paraId="61EDA347" w14:textId="77777777" w:rsidR="009339E3" w:rsidRPr="009339E3" w:rsidRDefault="009339E3" w:rsidP="009339E3">
            <w:pPr>
              <w:tabs>
                <w:tab w:val="decimal" w:pos="1044"/>
                <w:tab w:val="right" w:pos="9180"/>
              </w:tabs>
              <w:rPr>
                <w:sz w:val="20"/>
                <w:szCs w:val="20"/>
              </w:rPr>
            </w:pPr>
          </w:p>
        </w:tc>
      </w:tr>
      <w:tr w:rsidR="009339E3" w:rsidRPr="009339E3" w14:paraId="696A8281" w14:textId="77777777" w:rsidTr="004F5282">
        <w:tc>
          <w:tcPr>
            <w:tcW w:w="378" w:type="dxa"/>
          </w:tcPr>
          <w:p w14:paraId="61277C86" w14:textId="77777777" w:rsidR="009339E3" w:rsidRPr="009339E3" w:rsidRDefault="009339E3" w:rsidP="009339E3">
            <w:pPr>
              <w:rPr>
                <w:sz w:val="20"/>
                <w:szCs w:val="20"/>
              </w:rPr>
            </w:pPr>
          </w:p>
        </w:tc>
        <w:tc>
          <w:tcPr>
            <w:tcW w:w="4475" w:type="dxa"/>
            <w:gridSpan w:val="6"/>
          </w:tcPr>
          <w:p w14:paraId="42E0FA38" w14:textId="77777777" w:rsidR="009339E3" w:rsidRPr="009339E3" w:rsidRDefault="009339E3" w:rsidP="009339E3">
            <w:pPr>
              <w:rPr>
                <w:sz w:val="20"/>
                <w:szCs w:val="20"/>
              </w:rPr>
            </w:pPr>
            <w:r w:rsidRPr="009339E3">
              <w:rPr>
                <w:sz w:val="20"/>
                <w:szCs w:val="20"/>
              </w:rPr>
              <w:t xml:space="preserve">  used in operating activities:</w:t>
            </w:r>
          </w:p>
        </w:tc>
        <w:tc>
          <w:tcPr>
            <w:tcW w:w="1555" w:type="dxa"/>
          </w:tcPr>
          <w:p w14:paraId="4BEC1281" w14:textId="77777777" w:rsidR="009339E3" w:rsidRPr="009339E3" w:rsidRDefault="009339E3" w:rsidP="009339E3">
            <w:pPr>
              <w:tabs>
                <w:tab w:val="right" w:pos="9180"/>
              </w:tabs>
              <w:rPr>
                <w:sz w:val="20"/>
                <w:szCs w:val="20"/>
              </w:rPr>
            </w:pPr>
          </w:p>
        </w:tc>
        <w:tc>
          <w:tcPr>
            <w:tcW w:w="1800" w:type="dxa"/>
          </w:tcPr>
          <w:p w14:paraId="3A8EC8BD" w14:textId="77777777" w:rsidR="009339E3" w:rsidRPr="009339E3" w:rsidRDefault="009339E3" w:rsidP="009339E3">
            <w:pPr>
              <w:tabs>
                <w:tab w:val="decimal" w:pos="1044"/>
                <w:tab w:val="right" w:pos="9180"/>
              </w:tabs>
              <w:rPr>
                <w:sz w:val="20"/>
                <w:szCs w:val="20"/>
              </w:rPr>
            </w:pPr>
          </w:p>
        </w:tc>
        <w:tc>
          <w:tcPr>
            <w:tcW w:w="360" w:type="dxa"/>
          </w:tcPr>
          <w:p w14:paraId="12B7C764" w14:textId="77777777" w:rsidR="009339E3" w:rsidRPr="009339E3" w:rsidRDefault="009339E3" w:rsidP="009339E3">
            <w:pPr>
              <w:tabs>
                <w:tab w:val="right" w:pos="9180"/>
              </w:tabs>
              <w:rPr>
                <w:sz w:val="20"/>
                <w:szCs w:val="20"/>
              </w:rPr>
            </w:pPr>
          </w:p>
        </w:tc>
        <w:tc>
          <w:tcPr>
            <w:tcW w:w="1620" w:type="dxa"/>
          </w:tcPr>
          <w:p w14:paraId="2F68FACE" w14:textId="77777777" w:rsidR="009339E3" w:rsidRPr="009339E3" w:rsidRDefault="009339E3" w:rsidP="009339E3">
            <w:pPr>
              <w:tabs>
                <w:tab w:val="decimal" w:pos="1044"/>
                <w:tab w:val="right" w:pos="9180"/>
              </w:tabs>
              <w:rPr>
                <w:sz w:val="20"/>
                <w:szCs w:val="20"/>
              </w:rPr>
            </w:pPr>
          </w:p>
        </w:tc>
      </w:tr>
      <w:tr w:rsidR="009339E3" w:rsidRPr="009339E3" w14:paraId="68A51B42" w14:textId="77777777" w:rsidTr="004F5282">
        <w:tc>
          <w:tcPr>
            <w:tcW w:w="378" w:type="dxa"/>
          </w:tcPr>
          <w:p w14:paraId="361D8E9E" w14:textId="77777777" w:rsidR="009339E3" w:rsidRPr="009339E3" w:rsidRDefault="009339E3" w:rsidP="009339E3">
            <w:pPr>
              <w:rPr>
                <w:sz w:val="20"/>
                <w:szCs w:val="20"/>
              </w:rPr>
            </w:pPr>
          </w:p>
        </w:tc>
        <w:tc>
          <w:tcPr>
            <w:tcW w:w="425" w:type="dxa"/>
          </w:tcPr>
          <w:p w14:paraId="26F511A0" w14:textId="77777777" w:rsidR="009339E3" w:rsidRPr="009339E3" w:rsidRDefault="009339E3" w:rsidP="009339E3">
            <w:pPr>
              <w:rPr>
                <w:sz w:val="20"/>
                <w:szCs w:val="20"/>
              </w:rPr>
            </w:pPr>
          </w:p>
        </w:tc>
        <w:tc>
          <w:tcPr>
            <w:tcW w:w="4050" w:type="dxa"/>
            <w:gridSpan w:val="5"/>
          </w:tcPr>
          <w:p w14:paraId="22B1F2E1" w14:textId="77777777" w:rsidR="009339E3" w:rsidRPr="009339E3" w:rsidRDefault="009339E3" w:rsidP="009339E3">
            <w:pPr>
              <w:rPr>
                <w:sz w:val="20"/>
                <w:szCs w:val="20"/>
              </w:rPr>
            </w:pPr>
            <w:r w:rsidRPr="009339E3">
              <w:rPr>
                <w:sz w:val="20"/>
                <w:szCs w:val="20"/>
              </w:rPr>
              <w:t>Depreciation expense</w:t>
            </w:r>
          </w:p>
        </w:tc>
        <w:tc>
          <w:tcPr>
            <w:tcW w:w="1555" w:type="dxa"/>
          </w:tcPr>
          <w:p w14:paraId="1FBF6DB8" w14:textId="77777777" w:rsidR="009339E3" w:rsidRPr="009339E3" w:rsidRDefault="009339E3" w:rsidP="009339E3">
            <w:pPr>
              <w:tabs>
                <w:tab w:val="right" w:pos="9180"/>
              </w:tabs>
              <w:rPr>
                <w:sz w:val="20"/>
                <w:szCs w:val="20"/>
              </w:rPr>
            </w:pPr>
          </w:p>
        </w:tc>
        <w:tc>
          <w:tcPr>
            <w:tcW w:w="1800" w:type="dxa"/>
          </w:tcPr>
          <w:p w14:paraId="0DE0E65E" w14:textId="77777777" w:rsidR="009339E3" w:rsidRPr="009339E3" w:rsidRDefault="009339E3" w:rsidP="009339E3">
            <w:pPr>
              <w:tabs>
                <w:tab w:val="decimal" w:pos="1332"/>
                <w:tab w:val="right" w:pos="9180"/>
              </w:tabs>
              <w:rPr>
                <w:sz w:val="20"/>
                <w:szCs w:val="20"/>
              </w:rPr>
            </w:pPr>
            <w:r w:rsidRPr="009339E3">
              <w:rPr>
                <w:sz w:val="20"/>
                <w:szCs w:val="20"/>
              </w:rPr>
              <w:tab/>
              <w:t>12,269</w:t>
            </w:r>
          </w:p>
        </w:tc>
        <w:tc>
          <w:tcPr>
            <w:tcW w:w="360" w:type="dxa"/>
          </w:tcPr>
          <w:p w14:paraId="07F2524F" w14:textId="77777777" w:rsidR="009339E3" w:rsidRPr="009339E3" w:rsidRDefault="009339E3" w:rsidP="009339E3">
            <w:pPr>
              <w:tabs>
                <w:tab w:val="right" w:pos="9180"/>
              </w:tabs>
              <w:rPr>
                <w:sz w:val="20"/>
                <w:szCs w:val="20"/>
              </w:rPr>
            </w:pPr>
          </w:p>
        </w:tc>
        <w:tc>
          <w:tcPr>
            <w:tcW w:w="1620" w:type="dxa"/>
          </w:tcPr>
          <w:p w14:paraId="764C4FFA" w14:textId="77777777" w:rsidR="009339E3" w:rsidRPr="009339E3" w:rsidRDefault="009339E3" w:rsidP="009339E3">
            <w:pPr>
              <w:tabs>
                <w:tab w:val="decimal" w:pos="1152"/>
                <w:tab w:val="right" w:pos="9180"/>
              </w:tabs>
              <w:rPr>
                <w:sz w:val="20"/>
                <w:szCs w:val="20"/>
              </w:rPr>
            </w:pPr>
            <w:r w:rsidRPr="009339E3">
              <w:rPr>
                <w:sz w:val="20"/>
                <w:szCs w:val="20"/>
              </w:rPr>
              <w:tab/>
              <w:t>4,517</w:t>
            </w:r>
          </w:p>
        </w:tc>
      </w:tr>
      <w:tr w:rsidR="009339E3" w:rsidRPr="009339E3" w14:paraId="138DE882" w14:textId="77777777" w:rsidTr="004F5282">
        <w:tc>
          <w:tcPr>
            <w:tcW w:w="378" w:type="dxa"/>
          </w:tcPr>
          <w:p w14:paraId="2113B37B" w14:textId="77777777" w:rsidR="009339E3" w:rsidRPr="009339E3" w:rsidRDefault="009339E3" w:rsidP="009339E3">
            <w:pPr>
              <w:rPr>
                <w:sz w:val="20"/>
                <w:szCs w:val="20"/>
              </w:rPr>
            </w:pPr>
          </w:p>
        </w:tc>
        <w:tc>
          <w:tcPr>
            <w:tcW w:w="425" w:type="dxa"/>
          </w:tcPr>
          <w:p w14:paraId="0BD93CDE" w14:textId="77777777" w:rsidR="009339E3" w:rsidRPr="009339E3" w:rsidRDefault="009339E3" w:rsidP="009339E3">
            <w:pPr>
              <w:rPr>
                <w:sz w:val="20"/>
                <w:szCs w:val="20"/>
              </w:rPr>
            </w:pPr>
          </w:p>
        </w:tc>
        <w:tc>
          <w:tcPr>
            <w:tcW w:w="5605" w:type="dxa"/>
            <w:gridSpan w:val="6"/>
          </w:tcPr>
          <w:p w14:paraId="2800D98E" w14:textId="77777777" w:rsidR="009339E3" w:rsidRPr="009339E3" w:rsidRDefault="009339E3" w:rsidP="009339E3">
            <w:pPr>
              <w:rPr>
                <w:sz w:val="20"/>
                <w:szCs w:val="20"/>
              </w:rPr>
            </w:pPr>
            <w:r w:rsidRPr="009339E3">
              <w:rPr>
                <w:sz w:val="20"/>
                <w:szCs w:val="20"/>
              </w:rPr>
              <w:t>Stock-based compensation expense</w:t>
            </w:r>
          </w:p>
        </w:tc>
        <w:tc>
          <w:tcPr>
            <w:tcW w:w="1800" w:type="dxa"/>
          </w:tcPr>
          <w:p w14:paraId="43A6EC4F" w14:textId="77777777" w:rsidR="009339E3" w:rsidRPr="009339E3" w:rsidRDefault="009339E3" w:rsidP="009339E3">
            <w:pPr>
              <w:tabs>
                <w:tab w:val="decimal" w:pos="1332"/>
                <w:tab w:val="right" w:pos="9180"/>
              </w:tabs>
              <w:rPr>
                <w:sz w:val="20"/>
                <w:szCs w:val="20"/>
              </w:rPr>
            </w:pPr>
            <w:r w:rsidRPr="009339E3">
              <w:rPr>
                <w:sz w:val="20"/>
                <w:szCs w:val="20"/>
              </w:rPr>
              <w:tab/>
              <w:t>205,151</w:t>
            </w:r>
          </w:p>
        </w:tc>
        <w:tc>
          <w:tcPr>
            <w:tcW w:w="360" w:type="dxa"/>
          </w:tcPr>
          <w:p w14:paraId="75C476BA" w14:textId="77777777" w:rsidR="009339E3" w:rsidRPr="009339E3" w:rsidRDefault="009339E3" w:rsidP="009339E3">
            <w:pPr>
              <w:tabs>
                <w:tab w:val="right" w:pos="9180"/>
              </w:tabs>
              <w:rPr>
                <w:sz w:val="20"/>
                <w:szCs w:val="20"/>
              </w:rPr>
            </w:pPr>
          </w:p>
        </w:tc>
        <w:tc>
          <w:tcPr>
            <w:tcW w:w="1620" w:type="dxa"/>
          </w:tcPr>
          <w:p w14:paraId="0D0BAA38" w14:textId="77777777" w:rsidR="009339E3" w:rsidRPr="009339E3" w:rsidRDefault="009339E3" w:rsidP="009339E3">
            <w:pPr>
              <w:tabs>
                <w:tab w:val="decimal" w:pos="1152"/>
                <w:tab w:val="right" w:pos="9180"/>
              </w:tabs>
              <w:rPr>
                <w:sz w:val="20"/>
                <w:szCs w:val="20"/>
              </w:rPr>
            </w:pPr>
            <w:r w:rsidRPr="009339E3">
              <w:rPr>
                <w:sz w:val="20"/>
                <w:szCs w:val="20"/>
              </w:rPr>
              <w:tab/>
              <w:t>76,790</w:t>
            </w:r>
          </w:p>
        </w:tc>
      </w:tr>
      <w:tr w:rsidR="009339E3" w:rsidRPr="009339E3" w14:paraId="3C7DF1D0" w14:textId="77777777" w:rsidTr="004F5282">
        <w:tc>
          <w:tcPr>
            <w:tcW w:w="378" w:type="dxa"/>
          </w:tcPr>
          <w:p w14:paraId="461D859D" w14:textId="77777777" w:rsidR="009339E3" w:rsidRPr="009339E3" w:rsidRDefault="009339E3" w:rsidP="009339E3">
            <w:pPr>
              <w:rPr>
                <w:sz w:val="20"/>
                <w:szCs w:val="20"/>
              </w:rPr>
            </w:pPr>
          </w:p>
        </w:tc>
        <w:tc>
          <w:tcPr>
            <w:tcW w:w="425" w:type="dxa"/>
          </w:tcPr>
          <w:p w14:paraId="759BAF53" w14:textId="77777777" w:rsidR="009339E3" w:rsidRPr="009339E3" w:rsidRDefault="009339E3" w:rsidP="009339E3">
            <w:pPr>
              <w:rPr>
                <w:sz w:val="20"/>
                <w:szCs w:val="20"/>
              </w:rPr>
            </w:pPr>
          </w:p>
        </w:tc>
        <w:tc>
          <w:tcPr>
            <w:tcW w:w="4050" w:type="dxa"/>
            <w:gridSpan w:val="5"/>
          </w:tcPr>
          <w:p w14:paraId="70A1F471" w14:textId="77777777" w:rsidR="009339E3" w:rsidRPr="009339E3" w:rsidRDefault="009339E3" w:rsidP="009339E3">
            <w:pPr>
              <w:rPr>
                <w:sz w:val="20"/>
                <w:szCs w:val="20"/>
              </w:rPr>
            </w:pPr>
            <w:r w:rsidRPr="009339E3">
              <w:rPr>
                <w:sz w:val="20"/>
                <w:szCs w:val="20"/>
              </w:rPr>
              <w:t>Changes in assets and liabilities:</w:t>
            </w:r>
          </w:p>
        </w:tc>
        <w:tc>
          <w:tcPr>
            <w:tcW w:w="1555" w:type="dxa"/>
          </w:tcPr>
          <w:p w14:paraId="102B8578" w14:textId="77777777" w:rsidR="009339E3" w:rsidRPr="009339E3" w:rsidRDefault="009339E3" w:rsidP="009339E3">
            <w:pPr>
              <w:tabs>
                <w:tab w:val="right" w:pos="9180"/>
              </w:tabs>
              <w:rPr>
                <w:sz w:val="20"/>
                <w:szCs w:val="20"/>
              </w:rPr>
            </w:pPr>
          </w:p>
        </w:tc>
        <w:tc>
          <w:tcPr>
            <w:tcW w:w="1800" w:type="dxa"/>
          </w:tcPr>
          <w:p w14:paraId="70AC0E27" w14:textId="77777777" w:rsidR="009339E3" w:rsidRPr="009339E3" w:rsidRDefault="009339E3" w:rsidP="009339E3">
            <w:pPr>
              <w:tabs>
                <w:tab w:val="decimal" w:pos="1332"/>
                <w:tab w:val="right" w:pos="9180"/>
              </w:tabs>
              <w:rPr>
                <w:sz w:val="20"/>
                <w:szCs w:val="20"/>
              </w:rPr>
            </w:pPr>
          </w:p>
        </w:tc>
        <w:tc>
          <w:tcPr>
            <w:tcW w:w="360" w:type="dxa"/>
          </w:tcPr>
          <w:p w14:paraId="13A7EBE7" w14:textId="77777777" w:rsidR="009339E3" w:rsidRPr="009339E3" w:rsidRDefault="009339E3" w:rsidP="009339E3">
            <w:pPr>
              <w:tabs>
                <w:tab w:val="right" w:pos="9180"/>
              </w:tabs>
              <w:rPr>
                <w:sz w:val="20"/>
                <w:szCs w:val="20"/>
              </w:rPr>
            </w:pPr>
          </w:p>
        </w:tc>
        <w:tc>
          <w:tcPr>
            <w:tcW w:w="1620" w:type="dxa"/>
          </w:tcPr>
          <w:p w14:paraId="2C11A89A" w14:textId="77777777" w:rsidR="009339E3" w:rsidRPr="009339E3" w:rsidRDefault="009339E3" w:rsidP="009339E3">
            <w:pPr>
              <w:tabs>
                <w:tab w:val="decimal" w:pos="1152"/>
                <w:tab w:val="right" w:pos="9180"/>
              </w:tabs>
              <w:rPr>
                <w:sz w:val="20"/>
                <w:szCs w:val="20"/>
              </w:rPr>
            </w:pPr>
          </w:p>
        </w:tc>
      </w:tr>
      <w:tr w:rsidR="009339E3" w:rsidRPr="009339E3" w14:paraId="7F495C8C" w14:textId="77777777" w:rsidTr="004F5282">
        <w:tc>
          <w:tcPr>
            <w:tcW w:w="378" w:type="dxa"/>
          </w:tcPr>
          <w:p w14:paraId="46B2988C" w14:textId="77777777" w:rsidR="009339E3" w:rsidRPr="009339E3" w:rsidRDefault="009339E3" w:rsidP="009339E3">
            <w:pPr>
              <w:rPr>
                <w:sz w:val="20"/>
                <w:szCs w:val="20"/>
              </w:rPr>
            </w:pPr>
          </w:p>
        </w:tc>
        <w:tc>
          <w:tcPr>
            <w:tcW w:w="425" w:type="dxa"/>
          </w:tcPr>
          <w:p w14:paraId="4C93007C" w14:textId="77777777" w:rsidR="009339E3" w:rsidRPr="009339E3" w:rsidRDefault="009339E3" w:rsidP="009339E3">
            <w:pPr>
              <w:rPr>
                <w:sz w:val="20"/>
                <w:szCs w:val="20"/>
              </w:rPr>
            </w:pPr>
          </w:p>
        </w:tc>
        <w:tc>
          <w:tcPr>
            <w:tcW w:w="385" w:type="dxa"/>
            <w:gridSpan w:val="2"/>
          </w:tcPr>
          <w:p w14:paraId="3E8675C8" w14:textId="77777777" w:rsidR="009339E3" w:rsidRPr="009339E3" w:rsidRDefault="009339E3" w:rsidP="009339E3">
            <w:pPr>
              <w:rPr>
                <w:sz w:val="20"/>
                <w:szCs w:val="20"/>
              </w:rPr>
            </w:pPr>
          </w:p>
        </w:tc>
        <w:tc>
          <w:tcPr>
            <w:tcW w:w="5220" w:type="dxa"/>
            <w:gridSpan w:val="4"/>
          </w:tcPr>
          <w:p w14:paraId="4761403D" w14:textId="77777777" w:rsidR="009339E3" w:rsidRPr="009339E3" w:rsidRDefault="009339E3" w:rsidP="009339E3">
            <w:pPr>
              <w:tabs>
                <w:tab w:val="right" w:pos="9180"/>
              </w:tabs>
              <w:rPr>
                <w:sz w:val="20"/>
                <w:szCs w:val="20"/>
              </w:rPr>
            </w:pPr>
            <w:r w:rsidRPr="009339E3">
              <w:rPr>
                <w:sz w:val="20"/>
                <w:szCs w:val="20"/>
              </w:rPr>
              <w:t>Grant funds and other receivables</w:t>
            </w:r>
          </w:p>
        </w:tc>
        <w:tc>
          <w:tcPr>
            <w:tcW w:w="1800" w:type="dxa"/>
          </w:tcPr>
          <w:p w14:paraId="78EA420B" w14:textId="77777777" w:rsidR="009339E3" w:rsidRPr="009339E3" w:rsidRDefault="009339E3" w:rsidP="009339E3">
            <w:pPr>
              <w:tabs>
                <w:tab w:val="decimal" w:pos="1332"/>
                <w:tab w:val="right" w:pos="9180"/>
              </w:tabs>
              <w:rPr>
                <w:sz w:val="20"/>
                <w:szCs w:val="20"/>
              </w:rPr>
            </w:pPr>
            <w:r w:rsidRPr="009339E3">
              <w:rPr>
                <w:sz w:val="20"/>
                <w:szCs w:val="20"/>
              </w:rPr>
              <w:tab/>
              <w:t>(50,520)</w:t>
            </w:r>
          </w:p>
        </w:tc>
        <w:tc>
          <w:tcPr>
            <w:tcW w:w="360" w:type="dxa"/>
          </w:tcPr>
          <w:p w14:paraId="4DF490B0" w14:textId="77777777" w:rsidR="009339E3" w:rsidRPr="009339E3" w:rsidRDefault="009339E3" w:rsidP="009339E3">
            <w:pPr>
              <w:tabs>
                <w:tab w:val="right" w:pos="9180"/>
              </w:tabs>
              <w:rPr>
                <w:sz w:val="20"/>
                <w:szCs w:val="20"/>
              </w:rPr>
            </w:pPr>
          </w:p>
        </w:tc>
        <w:tc>
          <w:tcPr>
            <w:tcW w:w="1620" w:type="dxa"/>
          </w:tcPr>
          <w:p w14:paraId="3A5F90F8" w14:textId="77777777" w:rsidR="009339E3" w:rsidRPr="009339E3" w:rsidRDefault="009339E3" w:rsidP="009339E3">
            <w:pPr>
              <w:tabs>
                <w:tab w:val="decimal" w:pos="1152"/>
                <w:tab w:val="right" w:pos="9180"/>
              </w:tabs>
              <w:rPr>
                <w:sz w:val="20"/>
                <w:szCs w:val="20"/>
              </w:rPr>
            </w:pPr>
            <w:r w:rsidRPr="009339E3">
              <w:rPr>
                <w:sz w:val="20"/>
                <w:szCs w:val="20"/>
              </w:rPr>
              <w:tab/>
              <w:t>182,663</w:t>
            </w:r>
          </w:p>
        </w:tc>
      </w:tr>
      <w:tr w:rsidR="009339E3" w:rsidRPr="009339E3" w14:paraId="692D80D7" w14:textId="77777777" w:rsidTr="004F5282">
        <w:tc>
          <w:tcPr>
            <w:tcW w:w="378" w:type="dxa"/>
          </w:tcPr>
          <w:p w14:paraId="3C705AA0" w14:textId="77777777" w:rsidR="009339E3" w:rsidRPr="009339E3" w:rsidRDefault="009339E3" w:rsidP="009339E3">
            <w:pPr>
              <w:rPr>
                <w:sz w:val="20"/>
                <w:szCs w:val="20"/>
              </w:rPr>
            </w:pPr>
          </w:p>
        </w:tc>
        <w:tc>
          <w:tcPr>
            <w:tcW w:w="425" w:type="dxa"/>
          </w:tcPr>
          <w:p w14:paraId="3D517807" w14:textId="77777777" w:rsidR="009339E3" w:rsidRPr="009339E3" w:rsidRDefault="009339E3" w:rsidP="009339E3">
            <w:pPr>
              <w:rPr>
                <w:sz w:val="20"/>
                <w:szCs w:val="20"/>
              </w:rPr>
            </w:pPr>
          </w:p>
        </w:tc>
        <w:tc>
          <w:tcPr>
            <w:tcW w:w="385" w:type="dxa"/>
            <w:gridSpan w:val="2"/>
          </w:tcPr>
          <w:p w14:paraId="79767E74" w14:textId="77777777" w:rsidR="009339E3" w:rsidRPr="009339E3" w:rsidRDefault="009339E3" w:rsidP="009339E3">
            <w:pPr>
              <w:rPr>
                <w:sz w:val="20"/>
                <w:szCs w:val="20"/>
              </w:rPr>
            </w:pPr>
          </w:p>
        </w:tc>
        <w:tc>
          <w:tcPr>
            <w:tcW w:w="5220" w:type="dxa"/>
            <w:gridSpan w:val="4"/>
          </w:tcPr>
          <w:p w14:paraId="51DE2725" w14:textId="77777777" w:rsidR="009339E3" w:rsidRPr="009339E3" w:rsidRDefault="009339E3" w:rsidP="009339E3">
            <w:pPr>
              <w:tabs>
                <w:tab w:val="right" w:pos="9180"/>
              </w:tabs>
              <w:rPr>
                <w:sz w:val="20"/>
                <w:szCs w:val="20"/>
              </w:rPr>
            </w:pPr>
            <w:r w:rsidRPr="009339E3">
              <w:rPr>
                <w:sz w:val="20"/>
                <w:szCs w:val="20"/>
              </w:rPr>
              <w:t>Prepaid expenses and other current assets</w:t>
            </w:r>
          </w:p>
        </w:tc>
        <w:tc>
          <w:tcPr>
            <w:tcW w:w="1800" w:type="dxa"/>
          </w:tcPr>
          <w:p w14:paraId="52908BC9" w14:textId="77777777" w:rsidR="009339E3" w:rsidRPr="009339E3" w:rsidRDefault="009339E3" w:rsidP="009339E3">
            <w:pPr>
              <w:tabs>
                <w:tab w:val="decimal" w:pos="1332"/>
                <w:tab w:val="right" w:pos="9180"/>
              </w:tabs>
              <w:rPr>
                <w:sz w:val="20"/>
                <w:szCs w:val="20"/>
              </w:rPr>
            </w:pPr>
            <w:r w:rsidRPr="009339E3">
              <w:rPr>
                <w:sz w:val="20"/>
                <w:szCs w:val="20"/>
              </w:rPr>
              <w:tab/>
              <w:t>(138,368)</w:t>
            </w:r>
          </w:p>
        </w:tc>
        <w:tc>
          <w:tcPr>
            <w:tcW w:w="360" w:type="dxa"/>
          </w:tcPr>
          <w:p w14:paraId="0E4F7397" w14:textId="77777777" w:rsidR="009339E3" w:rsidRPr="009339E3" w:rsidRDefault="009339E3" w:rsidP="009339E3">
            <w:pPr>
              <w:tabs>
                <w:tab w:val="right" w:pos="9180"/>
              </w:tabs>
              <w:rPr>
                <w:sz w:val="20"/>
                <w:szCs w:val="20"/>
              </w:rPr>
            </w:pPr>
          </w:p>
        </w:tc>
        <w:tc>
          <w:tcPr>
            <w:tcW w:w="1620" w:type="dxa"/>
          </w:tcPr>
          <w:p w14:paraId="19122BF8" w14:textId="77777777" w:rsidR="009339E3" w:rsidRPr="009339E3" w:rsidRDefault="009339E3" w:rsidP="009339E3">
            <w:pPr>
              <w:tabs>
                <w:tab w:val="decimal" w:pos="1152"/>
                <w:tab w:val="right" w:pos="9180"/>
              </w:tabs>
              <w:rPr>
                <w:sz w:val="20"/>
                <w:szCs w:val="20"/>
              </w:rPr>
            </w:pPr>
            <w:r w:rsidRPr="009339E3">
              <w:rPr>
                <w:sz w:val="20"/>
                <w:szCs w:val="20"/>
              </w:rPr>
              <w:tab/>
              <w:t>35,659</w:t>
            </w:r>
          </w:p>
        </w:tc>
      </w:tr>
      <w:tr w:rsidR="009339E3" w:rsidRPr="009339E3" w14:paraId="5E383676" w14:textId="77777777" w:rsidTr="004F5282">
        <w:tc>
          <w:tcPr>
            <w:tcW w:w="378" w:type="dxa"/>
          </w:tcPr>
          <w:p w14:paraId="11B49758" w14:textId="77777777" w:rsidR="009339E3" w:rsidRPr="009339E3" w:rsidRDefault="009339E3" w:rsidP="009339E3">
            <w:pPr>
              <w:rPr>
                <w:sz w:val="20"/>
                <w:szCs w:val="20"/>
              </w:rPr>
            </w:pPr>
          </w:p>
        </w:tc>
        <w:tc>
          <w:tcPr>
            <w:tcW w:w="425" w:type="dxa"/>
          </w:tcPr>
          <w:p w14:paraId="581EB946" w14:textId="77777777" w:rsidR="009339E3" w:rsidRPr="009339E3" w:rsidRDefault="009339E3" w:rsidP="009339E3">
            <w:pPr>
              <w:rPr>
                <w:sz w:val="20"/>
                <w:szCs w:val="20"/>
              </w:rPr>
            </w:pPr>
          </w:p>
        </w:tc>
        <w:tc>
          <w:tcPr>
            <w:tcW w:w="385" w:type="dxa"/>
            <w:gridSpan w:val="2"/>
          </w:tcPr>
          <w:p w14:paraId="2DB69603" w14:textId="77777777" w:rsidR="009339E3" w:rsidRPr="009339E3" w:rsidRDefault="009339E3" w:rsidP="009339E3">
            <w:pPr>
              <w:rPr>
                <w:sz w:val="20"/>
                <w:szCs w:val="20"/>
              </w:rPr>
            </w:pPr>
          </w:p>
        </w:tc>
        <w:tc>
          <w:tcPr>
            <w:tcW w:w="5220" w:type="dxa"/>
            <w:gridSpan w:val="4"/>
          </w:tcPr>
          <w:p w14:paraId="50A5B3ED" w14:textId="77777777" w:rsidR="009339E3" w:rsidRPr="009339E3" w:rsidRDefault="009339E3" w:rsidP="009339E3">
            <w:pPr>
              <w:tabs>
                <w:tab w:val="right" w:pos="9180"/>
              </w:tabs>
              <w:rPr>
                <w:sz w:val="20"/>
                <w:szCs w:val="20"/>
              </w:rPr>
            </w:pPr>
            <w:r w:rsidRPr="009339E3">
              <w:rPr>
                <w:sz w:val="20"/>
                <w:szCs w:val="20"/>
              </w:rPr>
              <w:t>Accounts payable and accrued expenses</w:t>
            </w:r>
          </w:p>
        </w:tc>
        <w:tc>
          <w:tcPr>
            <w:tcW w:w="1800" w:type="dxa"/>
          </w:tcPr>
          <w:p w14:paraId="7FF465D5" w14:textId="77777777" w:rsidR="009339E3" w:rsidRPr="009339E3" w:rsidRDefault="009339E3" w:rsidP="009339E3">
            <w:pPr>
              <w:tabs>
                <w:tab w:val="decimal" w:pos="1332"/>
                <w:tab w:val="right" w:pos="9180"/>
              </w:tabs>
              <w:rPr>
                <w:sz w:val="20"/>
                <w:szCs w:val="20"/>
              </w:rPr>
            </w:pPr>
            <w:r w:rsidRPr="009339E3">
              <w:rPr>
                <w:sz w:val="20"/>
                <w:szCs w:val="20"/>
              </w:rPr>
              <w:tab/>
              <w:t>(1,934,257)</w:t>
            </w:r>
          </w:p>
        </w:tc>
        <w:tc>
          <w:tcPr>
            <w:tcW w:w="360" w:type="dxa"/>
          </w:tcPr>
          <w:p w14:paraId="5DF39B4E" w14:textId="77777777" w:rsidR="009339E3" w:rsidRPr="009339E3" w:rsidRDefault="009339E3" w:rsidP="009339E3">
            <w:pPr>
              <w:tabs>
                <w:tab w:val="right" w:pos="9180"/>
              </w:tabs>
              <w:rPr>
                <w:sz w:val="20"/>
                <w:szCs w:val="20"/>
              </w:rPr>
            </w:pPr>
          </w:p>
        </w:tc>
        <w:tc>
          <w:tcPr>
            <w:tcW w:w="1620" w:type="dxa"/>
          </w:tcPr>
          <w:p w14:paraId="6599F426" w14:textId="77777777" w:rsidR="009339E3" w:rsidRPr="009339E3" w:rsidRDefault="009339E3" w:rsidP="009339E3">
            <w:pPr>
              <w:tabs>
                <w:tab w:val="decimal" w:pos="1152"/>
                <w:tab w:val="right" w:pos="9180"/>
              </w:tabs>
              <w:rPr>
                <w:sz w:val="20"/>
                <w:szCs w:val="20"/>
              </w:rPr>
            </w:pPr>
            <w:r w:rsidRPr="009339E3">
              <w:rPr>
                <w:sz w:val="20"/>
                <w:szCs w:val="20"/>
              </w:rPr>
              <w:tab/>
              <w:t>(357,878)</w:t>
            </w:r>
          </w:p>
        </w:tc>
      </w:tr>
      <w:tr w:rsidR="009339E3" w:rsidRPr="009339E3" w14:paraId="4FD05682" w14:textId="77777777" w:rsidTr="004F5282">
        <w:tc>
          <w:tcPr>
            <w:tcW w:w="378" w:type="dxa"/>
          </w:tcPr>
          <w:p w14:paraId="2D8E32D9" w14:textId="77777777" w:rsidR="009339E3" w:rsidRPr="009339E3" w:rsidRDefault="009339E3" w:rsidP="009339E3">
            <w:pPr>
              <w:rPr>
                <w:sz w:val="20"/>
                <w:szCs w:val="20"/>
              </w:rPr>
            </w:pPr>
          </w:p>
        </w:tc>
        <w:tc>
          <w:tcPr>
            <w:tcW w:w="425" w:type="dxa"/>
          </w:tcPr>
          <w:p w14:paraId="43416A7A" w14:textId="77777777" w:rsidR="009339E3" w:rsidRPr="009339E3" w:rsidRDefault="009339E3" w:rsidP="009339E3">
            <w:pPr>
              <w:rPr>
                <w:sz w:val="20"/>
                <w:szCs w:val="20"/>
              </w:rPr>
            </w:pPr>
          </w:p>
        </w:tc>
        <w:tc>
          <w:tcPr>
            <w:tcW w:w="385" w:type="dxa"/>
            <w:gridSpan w:val="2"/>
          </w:tcPr>
          <w:p w14:paraId="3F9E9446" w14:textId="77777777" w:rsidR="009339E3" w:rsidRPr="009339E3" w:rsidRDefault="009339E3" w:rsidP="009339E3">
            <w:pPr>
              <w:rPr>
                <w:sz w:val="20"/>
                <w:szCs w:val="20"/>
              </w:rPr>
            </w:pPr>
          </w:p>
        </w:tc>
        <w:tc>
          <w:tcPr>
            <w:tcW w:w="3665" w:type="dxa"/>
            <w:gridSpan w:val="3"/>
          </w:tcPr>
          <w:p w14:paraId="41AB25FC" w14:textId="77777777" w:rsidR="009339E3" w:rsidRPr="009339E3" w:rsidRDefault="009339E3" w:rsidP="009339E3">
            <w:pPr>
              <w:rPr>
                <w:sz w:val="20"/>
                <w:szCs w:val="20"/>
              </w:rPr>
            </w:pPr>
            <w:r w:rsidRPr="009339E3">
              <w:rPr>
                <w:sz w:val="20"/>
                <w:szCs w:val="20"/>
              </w:rPr>
              <w:t>Total adjustments</w:t>
            </w:r>
          </w:p>
        </w:tc>
        <w:tc>
          <w:tcPr>
            <w:tcW w:w="1555" w:type="dxa"/>
          </w:tcPr>
          <w:p w14:paraId="5DDD053E" w14:textId="77777777" w:rsidR="009339E3" w:rsidRPr="009339E3" w:rsidRDefault="009339E3" w:rsidP="009339E3">
            <w:pPr>
              <w:tabs>
                <w:tab w:val="right" w:pos="9180"/>
              </w:tabs>
              <w:rPr>
                <w:sz w:val="20"/>
                <w:szCs w:val="20"/>
              </w:rPr>
            </w:pPr>
          </w:p>
        </w:tc>
        <w:tc>
          <w:tcPr>
            <w:tcW w:w="1800" w:type="dxa"/>
            <w:tcBorders>
              <w:top w:val="single" w:sz="4" w:space="0" w:color="auto"/>
              <w:bottom w:val="single" w:sz="4" w:space="0" w:color="auto"/>
            </w:tcBorders>
          </w:tcPr>
          <w:p w14:paraId="031F0D6B" w14:textId="77777777" w:rsidR="009339E3" w:rsidRPr="009339E3" w:rsidRDefault="009339E3" w:rsidP="009339E3">
            <w:pPr>
              <w:tabs>
                <w:tab w:val="decimal" w:pos="1332"/>
                <w:tab w:val="right" w:pos="9180"/>
              </w:tabs>
              <w:rPr>
                <w:sz w:val="20"/>
                <w:szCs w:val="20"/>
              </w:rPr>
            </w:pPr>
            <w:r w:rsidRPr="009339E3">
              <w:rPr>
                <w:sz w:val="20"/>
                <w:szCs w:val="20"/>
              </w:rPr>
              <w:tab/>
              <w:t>(1,905,725)</w:t>
            </w:r>
          </w:p>
        </w:tc>
        <w:tc>
          <w:tcPr>
            <w:tcW w:w="360" w:type="dxa"/>
          </w:tcPr>
          <w:p w14:paraId="595278F1" w14:textId="77777777" w:rsidR="009339E3" w:rsidRPr="009339E3" w:rsidRDefault="009339E3" w:rsidP="009339E3">
            <w:pPr>
              <w:tabs>
                <w:tab w:val="right" w:pos="9180"/>
              </w:tabs>
              <w:rPr>
                <w:sz w:val="20"/>
                <w:szCs w:val="20"/>
              </w:rPr>
            </w:pPr>
          </w:p>
        </w:tc>
        <w:tc>
          <w:tcPr>
            <w:tcW w:w="1620" w:type="dxa"/>
            <w:tcBorders>
              <w:top w:val="single" w:sz="4" w:space="0" w:color="auto"/>
              <w:bottom w:val="single" w:sz="4" w:space="0" w:color="auto"/>
            </w:tcBorders>
          </w:tcPr>
          <w:p w14:paraId="4BF6A2CC" w14:textId="77777777" w:rsidR="009339E3" w:rsidRPr="009339E3" w:rsidRDefault="009339E3" w:rsidP="009339E3">
            <w:pPr>
              <w:tabs>
                <w:tab w:val="decimal" w:pos="1152"/>
                <w:tab w:val="right" w:pos="9180"/>
              </w:tabs>
              <w:rPr>
                <w:sz w:val="20"/>
                <w:szCs w:val="20"/>
              </w:rPr>
            </w:pPr>
            <w:r w:rsidRPr="009339E3">
              <w:rPr>
                <w:sz w:val="20"/>
                <w:szCs w:val="20"/>
              </w:rPr>
              <w:tab/>
              <w:t>(58,249)</w:t>
            </w:r>
          </w:p>
        </w:tc>
      </w:tr>
      <w:tr w:rsidR="009339E3" w:rsidRPr="009339E3" w14:paraId="5EAF57CE" w14:textId="77777777" w:rsidTr="004F5282">
        <w:tc>
          <w:tcPr>
            <w:tcW w:w="378" w:type="dxa"/>
          </w:tcPr>
          <w:p w14:paraId="0693905F" w14:textId="77777777" w:rsidR="009339E3" w:rsidRPr="009339E3" w:rsidRDefault="009339E3" w:rsidP="009339E3">
            <w:pPr>
              <w:rPr>
                <w:sz w:val="20"/>
                <w:szCs w:val="20"/>
              </w:rPr>
            </w:pPr>
          </w:p>
        </w:tc>
        <w:tc>
          <w:tcPr>
            <w:tcW w:w="4475" w:type="dxa"/>
            <w:gridSpan w:val="6"/>
          </w:tcPr>
          <w:p w14:paraId="66164980" w14:textId="77777777" w:rsidR="009339E3" w:rsidRPr="009339E3" w:rsidRDefault="009339E3" w:rsidP="009339E3">
            <w:pPr>
              <w:rPr>
                <w:sz w:val="20"/>
                <w:szCs w:val="20"/>
              </w:rPr>
            </w:pPr>
            <w:r w:rsidRPr="009339E3">
              <w:rPr>
                <w:sz w:val="20"/>
                <w:szCs w:val="20"/>
              </w:rPr>
              <w:t>Net cash used in operating activities</w:t>
            </w:r>
          </w:p>
        </w:tc>
        <w:tc>
          <w:tcPr>
            <w:tcW w:w="1555" w:type="dxa"/>
          </w:tcPr>
          <w:p w14:paraId="000EAE29" w14:textId="77777777" w:rsidR="009339E3" w:rsidRPr="009339E3" w:rsidRDefault="009339E3" w:rsidP="009339E3">
            <w:pPr>
              <w:tabs>
                <w:tab w:val="right" w:pos="9180"/>
              </w:tabs>
              <w:rPr>
                <w:sz w:val="20"/>
                <w:szCs w:val="20"/>
              </w:rPr>
            </w:pPr>
          </w:p>
        </w:tc>
        <w:tc>
          <w:tcPr>
            <w:tcW w:w="1800" w:type="dxa"/>
            <w:tcBorders>
              <w:top w:val="single" w:sz="4" w:space="0" w:color="auto"/>
            </w:tcBorders>
          </w:tcPr>
          <w:p w14:paraId="4E3C1BA2" w14:textId="77777777" w:rsidR="009339E3" w:rsidRPr="009339E3" w:rsidRDefault="009339E3" w:rsidP="009339E3">
            <w:pPr>
              <w:tabs>
                <w:tab w:val="decimal" w:pos="1332"/>
                <w:tab w:val="right" w:pos="9180"/>
              </w:tabs>
              <w:rPr>
                <w:sz w:val="20"/>
                <w:szCs w:val="20"/>
              </w:rPr>
            </w:pPr>
            <w:r w:rsidRPr="009339E3">
              <w:rPr>
                <w:sz w:val="20"/>
                <w:szCs w:val="20"/>
              </w:rPr>
              <w:tab/>
              <w:t>(4,333,240)</w:t>
            </w:r>
          </w:p>
        </w:tc>
        <w:tc>
          <w:tcPr>
            <w:tcW w:w="360" w:type="dxa"/>
          </w:tcPr>
          <w:p w14:paraId="72FCED4B" w14:textId="77777777" w:rsidR="009339E3" w:rsidRPr="009339E3" w:rsidRDefault="009339E3" w:rsidP="009339E3">
            <w:pPr>
              <w:tabs>
                <w:tab w:val="right" w:pos="9180"/>
              </w:tabs>
              <w:rPr>
                <w:sz w:val="20"/>
                <w:szCs w:val="20"/>
              </w:rPr>
            </w:pPr>
          </w:p>
        </w:tc>
        <w:tc>
          <w:tcPr>
            <w:tcW w:w="1620" w:type="dxa"/>
            <w:tcBorders>
              <w:top w:val="single" w:sz="4" w:space="0" w:color="auto"/>
            </w:tcBorders>
          </w:tcPr>
          <w:p w14:paraId="6C283CBF" w14:textId="77777777" w:rsidR="009339E3" w:rsidRPr="009339E3" w:rsidRDefault="009339E3" w:rsidP="009339E3">
            <w:pPr>
              <w:tabs>
                <w:tab w:val="decimal" w:pos="1152"/>
                <w:tab w:val="right" w:pos="9180"/>
              </w:tabs>
              <w:rPr>
                <w:sz w:val="20"/>
                <w:szCs w:val="20"/>
              </w:rPr>
            </w:pPr>
            <w:r w:rsidRPr="009339E3">
              <w:rPr>
                <w:sz w:val="20"/>
                <w:szCs w:val="20"/>
              </w:rPr>
              <w:tab/>
              <w:t>(1,621,027)</w:t>
            </w:r>
          </w:p>
        </w:tc>
      </w:tr>
      <w:tr w:rsidR="009339E3" w:rsidRPr="009339E3" w14:paraId="3F46C3A0" w14:textId="77777777" w:rsidTr="004F5282">
        <w:tc>
          <w:tcPr>
            <w:tcW w:w="378" w:type="dxa"/>
          </w:tcPr>
          <w:p w14:paraId="07C873BF" w14:textId="77777777" w:rsidR="009339E3" w:rsidRPr="009339E3" w:rsidRDefault="009339E3" w:rsidP="009339E3">
            <w:pPr>
              <w:rPr>
                <w:sz w:val="20"/>
                <w:szCs w:val="20"/>
              </w:rPr>
            </w:pPr>
          </w:p>
        </w:tc>
        <w:tc>
          <w:tcPr>
            <w:tcW w:w="425" w:type="dxa"/>
          </w:tcPr>
          <w:p w14:paraId="300D2E2B" w14:textId="77777777" w:rsidR="009339E3" w:rsidRPr="009339E3" w:rsidRDefault="009339E3" w:rsidP="009339E3">
            <w:pPr>
              <w:rPr>
                <w:sz w:val="20"/>
                <w:szCs w:val="20"/>
              </w:rPr>
            </w:pPr>
          </w:p>
        </w:tc>
        <w:tc>
          <w:tcPr>
            <w:tcW w:w="789" w:type="dxa"/>
            <w:gridSpan w:val="3"/>
          </w:tcPr>
          <w:p w14:paraId="04B101EA" w14:textId="77777777" w:rsidR="009339E3" w:rsidRPr="009339E3" w:rsidRDefault="009339E3" w:rsidP="009339E3">
            <w:pPr>
              <w:rPr>
                <w:sz w:val="20"/>
                <w:szCs w:val="20"/>
              </w:rPr>
            </w:pPr>
          </w:p>
        </w:tc>
        <w:tc>
          <w:tcPr>
            <w:tcW w:w="620" w:type="dxa"/>
          </w:tcPr>
          <w:p w14:paraId="15A31CC4" w14:textId="77777777" w:rsidR="009339E3" w:rsidRPr="009339E3" w:rsidRDefault="009339E3" w:rsidP="009339E3">
            <w:pPr>
              <w:rPr>
                <w:sz w:val="20"/>
                <w:szCs w:val="20"/>
              </w:rPr>
            </w:pPr>
          </w:p>
        </w:tc>
        <w:tc>
          <w:tcPr>
            <w:tcW w:w="2641" w:type="dxa"/>
          </w:tcPr>
          <w:p w14:paraId="2D934BDE" w14:textId="77777777" w:rsidR="009339E3" w:rsidRPr="009339E3" w:rsidRDefault="009339E3" w:rsidP="009339E3">
            <w:pPr>
              <w:rPr>
                <w:sz w:val="20"/>
                <w:szCs w:val="20"/>
              </w:rPr>
            </w:pPr>
          </w:p>
        </w:tc>
        <w:tc>
          <w:tcPr>
            <w:tcW w:w="1555" w:type="dxa"/>
          </w:tcPr>
          <w:p w14:paraId="06D25420" w14:textId="77777777" w:rsidR="009339E3" w:rsidRPr="009339E3" w:rsidRDefault="009339E3" w:rsidP="009339E3">
            <w:pPr>
              <w:tabs>
                <w:tab w:val="right" w:pos="9180"/>
              </w:tabs>
              <w:rPr>
                <w:sz w:val="20"/>
                <w:szCs w:val="20"/>
              </w:rPr>
            </w:pPr>
          </w:p>
        </w:tc>
        <w:tc>
          <w:tcPr>
            <w:tcW w:w="1800" w:type="dxa"/>
          </w:tcPr>
          <w:p w14:paraId="4DF2063F" w14:textId="77777777" w:rsidR="009339E3" w:rsidRPr="009339E3" w:rsidRDefault="009339E3" w:rsidP="009339E3">
            <w:pPr>
              <w:tabs>
                <w:tab w:val="decimal" w:pos="1044"/>
                <w:tab w:val="decimal" w:pos="1332"/>
                <w:tab w:val="right" w:pos="9180"/>
              </w:tabs>
              <w:rPr>
                <w:sz w:val="20"/>
                <w:szCs w:val="20"/>
              </w:rPr>
            </w:pPr>
          </w:p>
        </w:tc>
        <w:tc>
          <w:tcPr>
            <w:tcW w:w="360" w:type="dxa"/>
          </w:tcPr>
          <w:p w14:paraId="58E688AF" w14:textId="77777777" w:rsidR="009339E3" w:rsidRPr="009339E3" w:rsidRDefault="009339E3" w:rsidP="009339E3">
            <w:pPr>
              <w:tabs>
                <w:tab w:val="right" w:pos="9180"/>
              </w:tabs>
              <w:rPr>
                <w:sz w:val="20"/>
                <w:szCs w:val="20"/>
              </w:rPr>
            </w:pPr>
          </w:p>
        </w:tc>
        <w:tc>
          <w:tcPr>
            <w:tcW w:w="1620" w:type="dxa"/>
          </w:tcPr>
          <w:p w14:paraId="1F168DB3" w14:textId="77777777" w:rsidR="009339E3" w:rsidRPr="009339E3" w:rsidRDefault="009339E3" w:rsidP="009339E3">
            <w:pPr>
              <w:tabs>
                <w:tab w:val="decimal" w:pos="1044"/>
                <w:tab w:val="right" w:pos="9180"/>
              </w:tabs>
              <w:rPr>
                <w:sz w:val="20"/>
                <w:szCs w:val="20"/>
              </w:rPr>
            </w:pPr>
          </w:p>
        </w:tc>
      </w:tr>
      <w:tr w:rsidR="009339E3" w:rsidRPr="009339E3" w14:paraId="10D49428" w14:textId="77777777" w:rsidTr="004F5282">
        <w:tc>
          <w:tcPr>
            <w:tcW w:w="4853" w:type="dxa"/>
            <w:gridSpan w:val="7"/>
          </w:tcPr>
          <w:p w14:paraId="18CBA26D" w14:textId="77777777" w:rsidR="009339E3" w:rsidRPr="009339E3" w:rsidRDefault="009339E3" w:rsidP="009339E3">
            <w:pPr>
              <w:rPr>
                <w:sz w:val="20"/>
                <w:szCs w:val="20"/>
              </w:rPr>
            </w:pPr>
            <w:r w:rsidRPr="009339E3">
              <w:rPr>
                <w:sz w:val="20"/>
                <w:szCs w:val="20"/>
              </w:rPr>
              <w:t>Cash flows from investing activities:</w:t>
            </w:r>
          </w:p>
        </w:tc>
        <w:tc>
          <w:tcPr>
            <w:tcW w:w="1555" w:type="dxa"/>
          </w:tcPr>
          <w:p w14:paraId="5722E625" w14:textId="77777777" w:rsidR="009339E3" w:rsidRPr="009339E3" w:rsidRDefault="009339E3" w:rsidP="009339E3">
            <w:pPr>
              <w:tabs>
                <w:tab w:val="right" w:pos="9180"/>
              </w:tabs>
              <w:rPr>
                <w:sz w:val="20"/>
                <w:szCs w:val="20"/>
              </w:rPr>
            </w:pPr>
          </w:p>
        </w:tc>
        <w:tc>
          <w:tcPr>
            <w:tcW w:w="1800" w:type="dxa"/>
          </w:tcPr>
          <w:p w14:paraId="70E3FC45" w14:textId="77777777" w:rsidR="009339E3" w:rsidRPr="009339E3" w:rsidRDefault="009339E3" w:rsidP="009339E3">
            <w:pPr>
              <w:tabs>
                <w:tab w:val="decimal" w:pos="1332"/>
                <w:tab w:val="right" w:pos="9180"/>
              </w:tabs>
              <w:rPr>
                <w:sz w:val="20"/>
                <w:szCs w:val="20"/>
              </w:rPr>
            </w:pPr>
            <w:r w:rsidRPr="009339E3">
              <w:rPr>
                <w:sz w:val="20"/>
                <w:szCs w:val="20"/>
              </w:rPr>
              <w:tab/>
              <w:t>-</w:t>
            </w:r>
          </w:p>
        </w:tc>
        <w:tc>
          <w:tcPr>
            <w:tcW w:w="360" w:type="dxa"/>
          </w:tcPr>
          <w:p w14:paraId="7551D34E" w14:textId="77777777" w:rsidR="009339E3" w:rsidRPr="009339E3" w:rsidRDefault="009339E3" w:rsidP="009339E3">
            <w:pPr>
              <w:tabs>
                <w:tab w:val="right" w:pos="9180"/>
              </w:tabs>
              <w:rPr>
                <w:sz w:val="20"/>
                <w:szCs w:val="20"/>
              </w:rPr>
            </w:pPr>
          </w:p>
        </w:tc>
        <w:tc>
          <w:tcPr>
            <w:tcW w:w="1620" w:type="dxa"/>
          </w:tcPr>
          <w:p w14:paraId="5F245B6F" w14:textId="77777777" w:rsidR="009339E3" w:rsidRPr="009339E3" w:rsidRDefault="009339E3" w:rsidP="009339E3">
            <w:pPr>
              <w:tabs>
                <w:tab w:val="decimal" w:pos="1152"/>
                <w:tab w:val="right" w:pos="9180"/>
              </w:tabs>
              <w:rPr>
                <w:sz w:val="20"/>
                <w:szCs w:val="20"/>
              </w:rPr>
            </w:pPr>
            <w:r w:rsidRPr="009339E3">
              <w:rPr>
                <w:sz w:val="20"/>
                <w:szCs w:val="20"/>
              </w:rPr>
              <w:tab/>
              <w:t>-</w:t>
            </w:r>
          </w:p>
        </w:tc>
      </w:tr>
      <w:tr w:rsidR="009339E3" w:rsidRPr="009339E3" w14:paraId="7835B1C0" w14:textId="77777777" w:rsidTr="004F5282">
        <w:tc>
          <w:tcPr>
            <w:tcW w:w="378" w:type="dxa"/>
          </w:tcPr>
          <w:p w14:paraId="46448C69" w14:textId="77777777" w:rsidR="009339E3" w:rsidRPr="009339E3" w:rsidRDefault="009339E3" w:rsidP="009339E3">
            <w:pPr>
              <w:rPr>
                <w:sz w:val="20"/>
                <w:szCs w:val="20"/>
              </w:rPr>
            </w:pPr>
          </w:p>
        </w:tc>
        <w:tc>
          <w:tcPr>
            <w:tcW w:w="6030" w:type="dxa"/>
            <w:gridSpan w:val="7"/>
          </w:tcPr>
          <w:p w14:paraId="4ECB75BB" w14:textId="77777777" w:rsidR="009339E3" w:rsidRPr="009339E3" w:rsidRDefault="009339E3" w:rsidP="009339E3">
            <w:pPr>
              <w:tabs>
                <w:tab w:val="right" w:pos="9180"/>
              </w:tabs>
              <w:rPr>
                <w:sz w:val="20"/>
                <w:szCs w:val="20"/>
              </w:rPr>
            </w:pPr>
            <w:r w:rsidRPr="009339E3">
              <w:rPr>
                <w:sz w:val="20"/>
                <w:szCs w:val="20"/>
              </w:rPr>
              <w:t>Purchase of equipment</w:t>
            </w:r>
          </w:p>
        </w:tc>
        <w:tc>
          <w:tcPr>
            <w:tcW w:w="1800" w:type="dxa"/>
          </w:tcPr>
          <w:p w14:paraId="6E705BC0" w14:textId="77777777" w:rsidR="009339E3" w:rsidRPr="009339E3" w:rsidRDefault="009339E3" w:rsidP="009339E3">
            <w:pPr>
              <w:tabs>
                <w:tab w:val="decimal" w:pos="1332"/>
                <w:tab w:val="right" w:pos="9180"/>
              </w:tabs>
              <w:rPr>
                <w:sz w:val="20"/>
                <w:szCs w:val="20"/>
              </w:rPr>
            </w:pPr>
            <w:r w:rsidRPr="009339E3">
              <w:rPr>
                <w:sz w:val="20"/>
                <w:szCs w:val="20"/>
              </w:rPr>
              <w:tab/>
              <w:t>(62,186)</w:t>
            </w:r>
          </w:p>
        </w:tc>
        <w:tc>
          <w:tcPr>
            <w:tcW w:w="360" w:type="dxa"/>
          </w:tcPr>
          <w:p w14:paraId="677CC644" w14:textId="77777777" w:rsidR="009339E3" w:rsidRPr="009339E3" w:rsidRDefault="009339E3" w:rsidP="00C73E0F">
            <w:pPr>
              <w:numPr>
                <w:ilvl w:val="0"/>
                <w:numId w:val="19"/>
              </w:numPr>
              <w:tabs>
                <w:tab w:val="right" w:pos="9180"/>
              </w:tabs>
              <w:contextualSpacing/>
              <w:rPr>
                <w:rFonts w:ascii="CG Times (WN)" w:hAnsi="CG Times (WN)"/>
                <w:sz w:val="20"/>
                <w:szCs w:val="20"/>
              </w:rPr>
            </w:pPr>
          </w:p>
        </w:tc>
        <w:tc>
          <w:tcPr>
            <w:tcW w:w="1620" w:type="dxa"/>
          </w:tcPr>
          <w:p w14:paraId="38CEFFBC" w14:textId="77777777" w:rsidR="009339E3" w:rsidRPr="009339E3" w:rsidRDefault="009339E3" w:rsidP="009339E3">
            <w:pPr>
              <w:tabs>
                <w:tab w:val="decimal" w:pos="1152"/>
                <w:tab w:val="right" w:pos="9180"/>
              </w:tabs>
              <w:rPr>
                <w:sz w:val="20"/>
                <w:szCs w:val="20"/>
              </w:rPr>
            </w:pPr>
            <w:r w:rsidRPr="009339E3">
              <w:rPr>
                <w:sz w:val="20"/>
                <w:szCs w:val="20"/>
              </w:rPr>
              <w:tab/>
              <w:t>-</w:t>
            </w:r>
          </w:p>
        </w:tc>
      </w:tr>
      <w:tr w:rsidR="009339E3" w:rsidRPr="009339E3" w14:paraId="7279CB6A" w14:textId="77777777" w:rsidTr="004F5282">
        <w:tc>
          <w:tcPr>
            <w:tcW w:w="378" w:type="dxa"/>
          </w:tcPr>
          <w:p w14:paraId="3EF10684" w14:textId="77777777" w:rsidR="009339E3" w:rsidRPr="009339E3" w:rsidRDefault="009339E3" w:rsidP="009339E3">
            <w:pPr>
              <w:rPr>
                <w:sz w:val="20"/>
                <w:szCs w:val="20"/>
              </w:rPr>
            </w:pPr>
          </w:p>
        </w:tc>
        <w:tc>
          <w:tcPr>
            <w:tcW w:w="4475" w:type="dxa"/>
            <w:gridSpan w:val="6"/>
          </w:tcPr>
          <w:p w14:paraId="3F93C1DB" w14:textId="77777777" w:rsidR="009339E3" w:rsidRPr="009339E3" w:rsidRDefault="009339E3" w:rsidP="009339E3">
            <w:pPr>
              <w:rPr>
                <w:sz w:val="20"/>
                <w:szCs w:val="20"/>
              </w:rPr>
            </w:pPr>
            <w:r w:rsidRPr="009339E3">
              <w:rPr>
                <w:sz w:val="20"/>
                <w:szCs w:val="20"/>
              </w:rPr>
              <w:t>Net cash used in investing activities</w:t>
            </w:r>
          </w:p>
        </w:tc>
        <w:tc>
          <w:tcPr>
            <w:tcW w:w="1555" w:type="dxa"/>
          </w:tcPr>
          <w:p w14:paraId="2280C87A" w14:textId="77777777" w:rsidR="009339E3" w:rsidRPr="009339E3" w:rsidRDefault="009339E3" w:rsidP="009339E3">
            <w:pPr>
              <w:tabs>
                <w:tab w:val="right" w:pos="9180"/>
              </w:tabs>
              <w:rPr>
                <w:sz w:val="20"/>
                <w:szCs w:val="20"/>
              </w:rPr>
            </w:pPr>
          </w:p>
        </w:tc>
        <w:tc>
          <w:tcPr>
            <w:tcW w:w="1800" w:type="dxa"/>
            <w:tcBorders>
              <w:top w:val="single" w:sz="4" w:space="0" w:color="auto"/>
            </w:tcBorders>
          </w:tcPr>
          <w:p w14:paraId="4197A299" w14:textId="77777777" w:rsidR="009339E3" w:rsidRPr="009339E3" w:rsidRDefault="009339E3" w:rsidP="009339E3">
            <w:pPr>
              <w:tabs>
                <w:tab w:val="decimal" w:pos="1332"/>
                <w:tab w:val="right" w:pos="9180"/>
              </w:tabs>
              <w:rPr>
                <w:sz w:val="20"/>
                <w:szCs w:val="20"/>
              </w:rPr>
            </w:pPr>
            <w:r w:rsidRPr="009339E3">
              <w:rPr>
                <w:sz w:val="20"/>
                <w:szCs w:val="20"/>
              </w:rPr>
              <w:tab/>
              <w:t>(62,186)</w:t>
            </w:r>
          </w:p>
        </w:tc>
        <w:tc>
          <w:tcPr>
            <w:tcW w:w="360" w:type="dxa"/>
          </w:tcPr>
          <w:p w14:paraId="71459CD9" w14:textId="77777777" w:rsidR="009339E3" w:rsidRPr="009339E3" w:rsidRDefault="009339E3" w:rsidP="00C73E0F">
            <w:pPr>
              <w:numPr>
                <w:ilvl w:val="0"/>
                <w:numId w:val="19"/>
              </w:numPr>
              <w:tabs>
                <w:tab w:val="right" w:pos="9180"/>
              </w:tabs>
              <w:contextualSpacing/>
              <w:rPr>
                <w:rFonts w:ascii="CG Times (WN)" w:hAnsi="CG Times (WN)"/>
                <w:sz w:val="20"/>
                <w:szCs w:val="20"/>
              </w:rPr>
            </w:pPr>
          </w:p>
        </w:tc>
        <w:tc>
          <w:tcPr>
            <w:tcW w:w="1620" w:type="dxa"/>
            <w:tcBorders>
              <w:top w:val="single" w:sz="4" w:space="0" w:color="auto"/>
            </w:tcBorders>
          </w:tcPr>
          <w:p w14:paraId="169F25CC" w14:textId="77777777" w:rsidR="009339E3" w:rsidRPr="009339E3" w:rsidRDefault="009339E3" w:rsidP="009339E3">
            <w:pPr>
              <w:tabs>
                <w:tab w:val="decimal" w:pos="1152"/>
                <w:tab w:val="right" w:pos="9180"/>
              </w:tabs>
              <w:rPr>
                <w:sz w:val="20"/>
                <w:szCs w:val="20"/>
              </w:rPr>
            </w:pPr>
            <w:r w:rsidRPr="009339E3">
              <w:rPr>
                <w:sz w:val="20"/>
                <w:szCs w:val="20"/>
              </w:rPr>
              <w:tab/>
              <w:t>-</w:t>
            </w:r>
          </w:p>
        </w:tc>
      </w:tr>
      <w:tr w:rsidR="009339E3" w:rsidRPr="009339E3" w14:paraId="111D671E" w14:textId="77777777" w:rsidTr="004F5282">
        <w:tc>
          <w:tcPr>
            <w:tcW w:w="378" w:type="dxa"/>
          </w:tcPr>
          <w:p w14:paraId="457D8636" w14:textId="77777777" w:rsidR="009339E3" w:rsidRPr="009339E3" w:rsidRDefault="009339E3" w:rsidP="009339E3">
            <w:pPr>
              <w:rPr>
                <w:sz w:val="20"/>
                <w:szCs w:val="20"/>
              </w:rPr>
            </w:pPr>
          </w:p>
        </w:tc>
        <w:tc>
          <w:tcPr>
            <w:tcW w:w="425" w:type="dxa"/>
          </w:tcPr>
          <w:p w14:paraId="7B92A440" w14:textId="77777777" w:rsidR="009339E3" w:rsidRPr="009339E3" w:rsidRDefault="009339E3" w:rsidP="009339E3">
            <w:pPr>
              <w:rPr>
                <w:sz w:val="20"/>
                <w:szCs w:val="20"/>
              </w:rPr>
            </w:pPr>
          </w:p>
        </w:tc>
        <w:tc>
          <w:tcPr>
            <w:tcW w:w="789" w:type="dxa"/>
            <w:gridSpan w:val="3"/>
          </w:tcPr>
          <w:p w14:paraId="43B414E6" w14:textId="77777777" w:rsidR="009339E3" w:rsidRPr="009339E3" w:rsidRDefault="009339E3" w:rsidP="009339E3">
            <w:pPr>
              <w:rPr>
                <w:sz w:val="20"/>
                <w:szCs w:val="20"/>
              </w:rPr>
            </w:pPr>
          </w:p>
        </w:tc>
        <w:tc>
          <w:tcPr>
            <w:tcW w:w="620" w:type="dxa"/>
          </w:tcPr>
          <w:p w14:paraId="6E9299E3" w14:textId="77777777" w:rsidR="009339E3" w:rsidRPr="009339E3" w:rsidRDefault="009339E3" w:rsidP="009339E3">
            <w:pPr>
              <w:rPr>
                <w:sz w:val="20"/>
                <w:szCs w:val="20"/>
              </w:rPr>
            </w:pPr>
          </w:p>
        </w:tc>
        <w:tc>
          <w:tcPr>
            <w:tcW w:w="2641" w:type="dxa"/>
          </w:tcPr>
          <w:p w14:paraId="09268D9B" w14:textId="77777777" w:rsidR="009339E3" w:rsidRPr="009339E3" w:rsidRDefault="009339E3" w:rsidP="009339E3">
            <w:pPr>
              <w:rPr>
                <w:sz w:val="20"/>
                <w:szCs w:val="20"/>
              </w:rPr>
            </w:pPr>
          </w:p>
        </w:tc>
        <w:tc>
          <w:tcPr>
            <w:tcW w:w="1555" w:type="dxa"/>
          </w:tcPr>
          <w:p w14:paraId="27133BC4" w14:textId="77777777" w:rsidR="009339E3" w:rsidRPr="009339E3" w:rsidRDefault="009339E3" w:rsidP="009339E3">
            <w:pPr>
              <w:tabs>
                <w:tab w:val="right" w:pos="9180"/>
              </w:tabs>
              <w:rPr>
                <w:sz w:val="20"/>
                <w:szCs w:val="20"/>
              </w:rPr>
            </w:pPr>
          </w:p>
        </w:tc>
        <w:tc>
          <w:tcPr>
            <w:tcW w:w="1800" w:type="dxa"/>
          </w:tcPr>
          <w:p w14:paraId="27E89A7B" w14:textId="77777777" w:rsidR="009339E3" w:rsidRPr="009339E3" w:rsidRDefault="009339E3" w:rsidP="009339E3">
            <w:pPr>
              <w:tabs>
                <w:tab w:val="decimal" w:pos="1044"/>
                <w:tab w:val="decimal" w:pos="1332"/>
                <w:tab w:val="right" w:pos="9180"/>
              </w:tabs>
              <w:rPr>
                <w:sz w:val="20"/>
                <w:szCs w:val="20"/>
              </w:rPr>
            </w:pPr>
          </w:p>
        </w:tc>
        <w:tc>
          <w:tcPr>
            <w:tcW w:w="360" w:type="dxa"/>
          </w:tcPr>
          <w:p w14:paraId="217B3714" w14:textId="77777777" w:rsidR="009339E3" w:rsidRPr="009339E3" w:rsidRDefault="009339E3" w:rsidP="009339E3">
            <w:pPr>
              <w:tabs>
                <w:tab w:val="right" w:pos="9180"/>
              </w:tabs>
              <w:rPr>
                <w:sz w:val="20"/>
                <w:szCs w:val="20"/>
              </w:rPr>
            </w:pPr>
          </w:p>
        </w:tc>
        <w:tc>
          <w:tcPr>
            <w:tcW w:w="1620" w:type="dxa"/>
          </w:tcPr>
          <w:p w14:paraId="0EFCBE4E" w14:textId="77777777" w:rsidR="009339E3" w:rsidRPr="009339E3" w:rsidRDefault="009339E3" w:rsidP="009339E3">
            <w:pPr>
              <w:tabs>
                <w:tab w:val="decimal" w:pos="1044"/>
                <w:tab w:val="right" w:pos="9180"/>
              </w:tabs>
              <w:rPr>
                <w:sz w:val="20"/>
                <w:szCs w:val="20"/>
              </w:rPr>
            </w:pPr>
          </w:p>
        </w:tc>
      </w:tr>
      <w:tr w:rsidR="009339E3" w:rsidRPr="009339E3" w14:paraId="27D05800" w14:textId="77777777" w:rsidTr="004F5282">
        <w:tc>
          <w:tcPr>
            <w:tcW w:w="4853" w:type="dxa"/>
            <w:gridSpan w:val="7"/>
          </w:tcPr>
          <w:p w14:paraId="3009A6E4" w14:textId="77777777" w:rsidR="009339E3" w:rsidRPr="009339E3" w:rsidRDefault="009339E3" w:rsidP="009339E3">
            <w:pPr>
              <w:rPr>
                <w:sz w:val="20"/>
                <w:szCs w:val="20"/>
              </w:rPr>
            </w:pPr>
            <w:r w:rsidRPr="009339E3">
              <w:rPr>
                <w:sz w:val="20"/>
                <w:szCs w:val="20"/>
              </w:rPr>
              <w:t>Cash flows from financing activities:</w:t>
            </w:r>
          </w:p>
        </w:tc>
        <w:tc>
          <w:tcPr>
            <w:tcW w:w="1555" w:type="dxa"/>
          </w:tcPr>
          <w:p w14:paraId="7D544D1E" w14:textId="77777777" w:rsidR="009339E3" w:rsidRPr="009339E3" w:rsidRDefault="009339E3" w:rsidP="009339E3">
            <w:pPr>
              <w:tabs>
                <w:tab w:val="right" w:pos="9180"/>
              </w:tabs>
              <w:rPr>
                <w:sz w:val="20"/>
                <w:szCs w:val="20"/>
              </w:rPr>
            </w:pPr>
          </w:p>
        </w:tc>
        <w:tc>
          <w:tcPr>
            <w:tcW w:w="1800" w:type="dxa"/>
          </w:tcPr>
          <w:p w14:paraId="261F855D" w14:textId="77777777" w:rsidR="009339E3" w:rsidRPr="009339E3" w:rsidRDefault="009339E3" w:rsidP="009339E3">
            <w:pPr>
              <w:tabs>
                <w:tab w:val="decimal" w:pos="1044"/>
                <w:tab w:val="decimal" w:pos="1332"/>
                <w:tab w:val="right" w:pos="9180"/>
              </w:tabs>
              <w:rPr>
                <w:sz w:val="20"/>
                <w:szCs w:val="20"/>
              </w:rPr>
            </w:pPr>
          </w:p>
        </w:tc>
        <w:tc>
          <w:tcPr>
            <w:tcW w:w="360" w:type="dxa"/>
          </w:tcPr>
          <w:p w14:paraId="224C183B" w14:textId="77777777" w:rsidR="009339E3" w:rsidRPr="009339E3" w:rsidRDefault="009339E3" w:rsidP="009339E3">
            <w:pPr>
              <w:tabs>
                <w:tab w:val="right" w:pos="9180"/>
              </w:tabs>
              <w:rPr>
                <w:sz w:val="20"/>
                <w:szCs w:val="20"/>
              </w:rPr>
            </w:pPr>
          </w:p>
        </w:tc>
        <w:tc>
          <w:tcPr>
            <w:tcW w:w="1620" w:type="dxa"/>
          </w:tcPr>
          <w:p w14:paraId="5C4A41EF" w14:textId="77777777" w:rsidR="009339E3" w:rsidRPr="009339E3" w:rsidRDefault="009339E3" w:rsidP="009339E3">
            <w:pPr>
              <w:tabs>
                <w:tab w:val="decimal" w:pos="1044"/>
                <w:tab w:val="right" w:pos="9180"/>
              </w:tabs>
              <w:rPr>
                <w:sz w:val="20"/>
                <w:szCs w:val="20"/>
              </w:rPr>
            </w:pPr>
          </w:p>
        </w:tc>
      </w:tr>
      <w:tr w:rsidR="009339E3" w:rsidRPr="009339E3" w14:paraId="4FAE19B9" w14:textId="77777777" w:rsidTr="004F5282">
        <w:tc>
          <w:tcPr>
            <w:tcW w:w="378" w:type="dxa"/>
          </w:tcPr>
          <w:p w14:paraId="7ECCBA3C" w14:textId="77777777" w:rsidR="009339E3" w:rsidRPr="009339E3" w:rsidRDefault="009339E3" w:rsidP="009339E3">
            <w:pPr>
              <w:rPr>
                <w:sz w:val="20"/>
                <w:szCs w:val="20"/>
              </w:rPr>
            </w:pPr>
            <w:bookmarkStart w:id="61" w:name="_Hlk100327127"/>
            <w:bookmarkStart w:id="62" w:name="_Hlk511051769"/>
          </w:p>
        </w:tc>
        <w:tc>
          <w:tcPr>
            <w:tcW w:w="6030" w:type="dxa"/>
            <w:gridSpan w:val="7"/>
          </w:tcPr>
          <w:p w14:paraId="0F117F85" w14:textId="77777777" w:rsidR="009339E3" w:rsidRPr="009339E3" w:rsidRDefault="009339E3" w:rsidP="009339E3">
            <w:pPr>
              <w:tabs>
                <w:tab w:val="right" w:pos="9180"/>
              </w:tabs>
              <w:rPr>
                <w:sz w:val="20"/>
                <w:szCs w:val="20"/>
              </w:rPr>
            </w:pPr>
            <w:r w:rsidRPr="009339E3">
              <w:rPr>
                <w:sz w:val="20"/>
                <w:szCs w:val="20"/>
              </w:rPr>
              <w:t>Net proceeds from sale of common stock and warrants</w:t>
            </w:r>
          </w:p>
        </w:tc>
        <w:tc>
          <w:tcPr>
            <w:tcW w:w="1800" w:type="dxa"/>
          </w:tcPr>
          <w:p w14:paraId="2D55BE33" w14:textId="77777777" w:rsidR="009339E3" w:rsidRPr="009339E3" w:rsidRDefault="009339E3" w:rsidP="009339E3">
            <w:pPr>
              <w:tabs>
                <w:tab w:val="decimal" w:pos="1332"/>
                <w:tab w:val="right" w:pos="9180"/>
              </w:tabs>
              <w:rPr>
                <w:sz w:val="20"/>
                <w:szCs w:val="20"/>
              </w:rPr>
            </w:pPr>
            <w:r w:rsidRPr="009339E3">
              <w:rPr>
                <w:sz w:val="20"/>
                <w:szCs w:val="20"/>
              </w:rPr>
              <w:tab/>
              <w:t>9,229,248</w:t>
            </w:r>
          </w:p>
        </w:tc>
        <w:tc>
          <w:tcPr>
            <w:tcW w:w="360" w:type="dxa"/>
          </w:tcPr>
          <w:p w14:paraId="4D6E7CCC" w14:textId="77777777" w:rsidR="009339E3" w:rsidRPr="009339E3" w:rsidRDefault="009339E3" w:rsidP="00C73E0F">
            <w:pPr>
              <w:numPr>
                <w:ilvl w:val="0"/>
                <w:numId w:val="19"/>
              </w:numPr>
              <w:tabs>
                <w:tab w:val="right" w:pos="9180"/>
              </w:tabs>
              <w:contextualSpacing/>
              <w:rPr>
                <w:rFonts w:ascii="CG Times (WN)" w:hAnsi="CG Times (WN)"/>
                <w:sz w:val="20"/>
                <w:szCs w:val="20"/>
              </w:rPr>
            </w:pPr>
          </w:p>
        </w:tc>
        <w:tc>
          <w:tcPr>
            <w:tcW w:w="1620" w:type="dxa"/>
          </w:tcPr>
          <w:p w14:paraId="22B688E2" w14:textId="77777777" w:rsidR="009339E3" w:rsidRPr="009339E3" w:rsidRDefault="009339E3" w:rsidP="009339E3">
            <w:pPr>
              <w:tabs>
                <w:tab w:val="decimal" w:pos="1152"/>
                <w:tab w:val="right" w:pos="9180"/>
              </w:tabs>
              <w:rPr>
                <w:sz w:val="20"/>
                <w:szCs w:val="20"/>
              </w:rPr>
            </w:pPr>
            <w:r w:rsidRPr="009339E3">
              <w:rPr>
                <w:sz w:val="20"/>
                <w:szCs w:val="20"/>
              </w:rPr>
              <w:tab/>
              <w:t>9,408,920</w:t>
            </w:r>
          </w:p>
        </w:tc>
      </w:tr>
      <w:bookmarkEnd w:id="61"/>
      <w:tr w:rsidR="009339E3" w:rsidRPr="009339E3" w14:paraId="5A7F1AB5" w14:textId="77777777" w:rsidTr="004F5282">
        <w:tc>
          <w:tcPr>
            <w:tcW w:w="378" w:type="dxa"/>
          </w:tcPr>
          <w:p w14:paraId="651D9CF4" w14:textId="77777777" w:rsidR="009339E3" w:rsidRPr="009339E3" w:rsidRDefault="009339E3" w:rsidP="009339E3">
            <w:pPr>
              <w:rPr>
                <w:sz w:val="20"/>
                <w:szCs w:val="20"/>
              </w:rPr>
            </w:pPr>
          </w:p>
        </w:tc>
        <w:tc>
          <w:tcPr>
            <w:tcW w:w="4475" w:type="dxa"/>
            <w:gridSpan w:val="6"/>
          </w:tcPr>
          <w:p w14:paraId="3C1B392C" w14:textId="77777777" w:rsidR="009339E3" w:rsidRPr="009339E3" w:rsidRDefault="009339E3" w:rsidP="009339E3">
            <w:pPr>
              <w:rPr>
                <w:sz w:val="20"/>
                <w:szCs w:val="20"/>
              </w:rPr>
            </w:pPr>
            <w:r w:rsidRPr="009339E3">
              <w:rPr>
                <w:sz w:val="20"/>
                <w:szCs w:val="20"/>
              </w:rPr>
              <w:t>Net proceeds from warrant exercise</w:t>
            </w:r>
          </w:p>
        </w:tc>
        <w:tc>
          <w:tcPr>
            <w:tcW w:w="1555" w:type="dxa"/>
          </w:tcPr>
          <w:p w14:paraId="7B6D2279" w14:textId="77777777" w:rsidR="009339E3" w:rsidRPr="009339E3" w:rsidRDefault="009339E3" w:rsidP="009339E3">
            <w:pPr>
              <w:tabs>
                <w:tab w:val="right" w:pos="9180"/>
              </w:tabs>
              <w:rPr>
                <w:sz w:val="20"/>
                <w:szCs w:val="20"/>
              </w:rPr>
            </w:pPr>
          </w:p>
        </w:tc>
        <w:tc>
          <w:tcPr>
            <w:tcW w:w="1800" w:type="dxa"/>
          </w:tcPr>
          <w:p w14:paraId="24D085D4" w14:textId="77777777" w:rsidR="009339E3" w:rsidRPr="009339E3" w:rsidRDefault="009339E3" w:rsidP="009339E3">
            <w:pPr>
              <w:tabs>
                <w:tab w:val="decimal" w:pos="1332"/>
                <w:tab w:val="right" w:pos="9180"/>
              </w:tabs>
              <w:rPr>
                <w:sz w:val="20"/>
                <w:szCs w:val="20"/>
              </w:rPr>
            </w:pPr>
            <w:r w:rsidRPr="009339E3">
              <w:rPr>
                <w:sz w:val="20"/>
                <w:szCs w:val="20"/>
              </w:rPr>
              <w:tab/>
              <w:t>24</w:t>
            </w:r>
          </w:p>
        </w:tc>
        <w:tc>
          <w:tcPr>
            <w:tcW w:w="360" w:type="dxa"/>
          </w:tcPr>
          <w:p w14:paraId="6EAAD1E1" w14:textId="77777777" w:rsidR="009339E3" w:rsidRPr="009339E3" w:rsidRDefault="009339E3" w:rsidP="00C73E0F">
            <w:pPr>
              <w:numPr>
                <w:ilvl w:val="0"/>
                <w:numId w:val="19"/>
              </w:numPr>
              <w:tabs>
                <w:tab w:val="right" w:pos="9180"/>
              </w:tabs>
              <w:contextualSpacing/>
              <w:rPr>
                <w:rFonts w:ascii="CG Times (WN)" w:hAnsi="CG Times (WN)"/>
                <w:sz w:val="20"/>
                <w:szCs w:val="20"/>
              </w:rPr>
            </w:pPr>
          </w:p>
        </w:tc>
        <w:tc>
          <w:tcPr>
            <w:tcW w:w="1620" w:type="dxa"/>
          </w:tcPr>
          <w:p w14:paraId="2A42A9F6" w14:textId="77777777" w:rsidR="009339E3" w:rsidRPr="009339E3" w:rsidRDefault="009339E3" w:rsidP="009339E3">
            <w:pPr>
              <w:tabs>
                <w:tab w:val="decimal" w:pos="1152"/>
                <w:tab w:val="right" w:pos="9180"/>
              </w:tabs>
              <w:rPr>
                <w:sz w:val="20"/>
                <w:szCs w:val="20"/>
              </w:rPr>
            </w:pPr>
            <w:r w:rsidRPr="009339E3">
              <w:rPr>
                <w:sz w:val="20"/>
                <w:szCs w:val="20"/>
              </w:rPr>
              <w:tab/>
              <w:t>3,174,156</w:t>
            </w:r>
          </w:p>
        </w:tc>
      </w:tr>
      <w:bookmarkEnd w:id="62"/>
      <w:tr w:rsidR="009339E3" w:rsidRPr="009339E3" w14:paraId="3A58565E" w14:textId="77777777" w:rsidTr="004F5282">
        <w:tc>
          <w:tcPr>
            <w:tcW w:w="378" w:type="dxa"/>
          </w:tcPr>
          <w:p w14:paraId="59307183" w14:textId="77777777" w:rsidR="009339E3" w:rsidRPr="009339E3" w:rsidRDefault="009339E3" w:rsidP="009339E3">
            <w:pPr>
              <w:rPr>
                <w:sz w:val="20"/>
                <w:szCs w:val="20"/>
              </w:rPr>
            </w:pPr>
          </w:p>
        </w:tc>
        <w:tc>
          <w:tcPr>
            <w:tcW w:w="4475" w:type="dxa"/>
            <w:gridSpan w:val="6"/>
          </w:tcPr>
          <w:p w14:paraId="327F8DAD" w14:textId="77777777" w:rsidR="009339E3" w:rsidRPr="009339E3" w:rsidRDefault="009339E3" w:rsidP="009339E3">
            <w:pPr>
              <w:rPr>
                <w:sz w:val="20"/>
                <w:szCs w:val="20"/>
              </w:rPr>
            </w:pPr>
            <w:r w:rsidRPr="009339E3">
              <w:rPr>
                <w:sz w:val="20"/>
                <w:szCs w:val="20"/>
              </w:rPr>
              <w:t>Principal repayment of note payable</w:t>
            </w:r>
          </w:p>
        </w:tc>
        <w:tc>
          <w:tcPr>
            <w:tcW w:w="1555" w:type="dxa"/>
          </w:tcPr>
          <w:p w14:paraId="626AEC94" w14:textId="77777777" w:rsidR="009339E3" w:rsidRPr="009339E3" w:rsidRDefault="009339E3" w:rsidP="009339E3">
            <w:pPr>
              <w:tabs>
                <w:tab w:val="right" w:pos="9180"/>
              </w:tabs>
              <w:rPr>
                <w:sz w:val="20"/>
                <w:szCs w:val="20"/>
              </w:rPr>
            </w:pPr>
          </w:p>
        </w:tc>
        <w:tc>
          <w:tcPr>
            <w:tcW w:w="1800" w:type="dxa"/>
            <w:tcBorders>
              <w:bottom w:val="single" w:sz="4" w:space="0" w:color="auto"/>
            </w:tcBorders>
          </w:tcPr>
          <w:p w14:paraId="3B02D597" w14:textId="77777777" w:rsidR="009339E3" w:rsidRPr="009339E3" w:rsidRDefault="009339E3" w:rsidP="009339E3">
            <w:pPr>
              <w:tabs>
                <w:tab w:val="decimal" w:pos="1332"/>
                <w:tab w:val="right" w:pos="9180"/>
              </w:tabs>
              <w:rPr>
                <w:sz w:val="20"/>
                <w:szCs w:val="20"/>
              </w:rPr>
            </w:pPr>
            <w:r w:rsidRPr="009339E3">
              <w:rPr>
                <w:sz w:val="20"/>
                <w:szCs w:val="20"/>
              </w:rPr>
              <w:tab/>
              <w:t>-</w:t>
            </w:r>
          </w:p>
        </w:tc>
        <w:tc>
          <w:tcPr>
            <w:tcW w:w="360" w:type="dxa"/>
          </w:tcPr>
          <w:p w14:paraId="76C8C3F0" w14:textId="77777777" w:rsidR="009339E3" w:rsidRPr="009339E3" w:rsidRDefault="009339E3" w:rsidP="00C73E0F">
            <w:pPr>
              <w:numPr>
                <w:ilvl w:val="0"/>
                <w:numId w:val="19"/>
              </w:numPr>
              <w:tabs>
                <w:tab w:val="right" w:pos="9180"/>
              </w:tabs>
              <w:contextualSpacing/>
              <w:rPr>
                <w:rFonts w:ascii="CG Times (WN)" w:hAnsi="CG Times (WN)"/>
                <w:sz w:val="20"/>
                <w:szCs w:val="20"/>
              </w:rPr>
            </w:pPr>
          </w:p>
        </w:tc>
        <w:tc>
          <w:tcPr>
            <w:tcW w:w="1620" w:type="dxa"/>
            <w:tcBorders>
              <w:bottom w:val="single" w:sz="4" w:space="0" w:color="auto"/>
            </w:tcBorders>
          </w:tcPr>
          <w:p w14:paraId="0F11D656" w14:textId="77777777" w:rsidR="009339E3" w:rsidRPr="009339E3" w:rsidRDefault="009339E3" w:rsidP="009339E3">
            <w:pPr>
              <w:tabs>
                <w:tab w:val="decimal" w:pos="1152"/>
                <w:tab w:val="right" w:pos="9180"/>
              </w:tabs>
              <w:rPr>
                <w:sz w:val="20"/>
                <w:szCs w:val="20"/>
              </w:rPr>
            </w:pPr>
            <w:r w:rsidRPr="009339E3">
              <w:rPr>
                <w:sz w:val="20"/>
                <w:szCs w:val="20"/>
              </w:rPr>
              <w:tab/>
              <w:t>(3,063)</w:t>
            </w:r>
          </w:p>
        </w:tc>
      </w:tr>
      <w:tr w:rsidR="009339E3" w:rsidRPr="009339E3" w14:paraId="2CACC4CF" w14:textId="77777777" w:rsidTr="004F5282">
        <w:tc>
          <w:tcPr>
            <w:tcW w:w="378" w:type="dxa"/>
          </w:tcPr>
          <w:p w14:paraId="69F625AB" w14:textId="77777777" w:rsidR="009339E3" w:rsidRPr="009339E3" w:rsidRDefault="009339E3" w:rsidP="009339E3">
            <w:pPr>
              <w:rPr>
                <w:sz w:val="20"/>
                <w:szCs w:val="20"/>
              </w:rPr>
            </w:pPr>
            <w:bookmarkStart w:id="63" w:name="_Hlk100327141"/>
          </w:p>
        </w:tc>
        <w:tc>
          <w:tcPr>
            <w:tcW w:w="4475" w:type="dxa"/>
            <w:gridSpan w:val="6"/>
          </w:tcPr>
          <w:p w14:paraId="231002F0" w14:textId="77777777" w:rsidR="009339E3" w:rsidRPr="009339E3" w:rsidRDefault="009339E3" w:rsidP="009339E3">
            <w:pPr>
              <w:rPr>
                <w:sz w:val="20"/>
                <w:szCs w:val="20"/>
              </w:rPr>
            </w:pPr>
            <w:r w:rsidRPr="009339E3">
              <w:rPr>
                <w:sz w:val="20"/>
                <w:szCs w:val="20"/>
              </w:rPr>
              <w:t>Net cash provided by financing activities</w:t>
            </w:r>
          </w:p>
        </w:tc>
        <w:tc>
          <w:tcPr>
            <w:tcW w:w="1555" w:type="dxa"/>
          </w:tcPr>
          <w:p w14:paraId="384D87A8" w14:textId="77777777" w:rsidR="009339E3" w:rsidRPr="009339E3" w:rsidRDefault="009339E3" w:rsidP="009339E3">
            <w:pPr>
              <w:tabs>
                <w:tab w:val="right" w:pos="9180"/>
              </w:tabs>
              <w:rPr>
                <w:sz w:val="20"/>
                <w:szCs w:val="20"/>
              </w:rPr>
            </w:pPr>
          </w:p>
        </w:tc>
        <w:tc>
          <w:tcPr>
            <w:tcW w:w="1800" w:type="dxa"/>
            <w:tcBorders>
              <w:top w:val="single" w:sz="4" w:space="0" w:color="auto"/>
            </w:tcBorders>
          </w:tcPr>
          <w:p w14:paraId="115A030A" w14:textId="77777777" w:rsidR="009339E3" w:rsidRPr="009339E3" w:rsidRDefault="009339E3" w:rsidP="009339E3">
            <w:pPr>
              <w:tabs>
                <w:tab w:val="decimal" w:pos="1332"/>
                <w:tab w:val="right" w:pos="9180"/>
              </w:tabs>
              <w:rPr>
                <w:sz w:val="20"/>
                <w:szCs w:val="20"/>
              </w:rPr>
            </w:pPr>
            <w:r w:rsidRPr="009339E3">
              <w:rPr>
                <w:sz w:val="20"/>
                <w:szCs w:val="20"/>
              </w:rPr>
              <w:tab/>
              <w:t>9,229,272</w:t>
            </w:r>
          </w:p>
        </w:tc>
        <w:tc>
          <w:tcPr>
            <w:tcW w:w="360" w:type="dxa"/>
          </w:tcPr>
          <w:p w14:paraId="4533434A" w14:textId="77777777" w:rsidR="009339E3" w:rsidRPr="009339E3" w:rsidRDefault="009339E3" w:rsidP="00C73E0F">
            <w:pPr>
              <w:numPr>
                <w:ilvl w:val="0"/>
                <w:numId w:val="19"/>
              </w:numPr>
              <w:tabs>
                <w:tab w:val="right" w:pos="9180"/>
              </w:tabs>
              <w:contextualSpacing/>
              <w:rPr>
                <w:rFonts w:ascii="CG Times (WN)" w:hAnsi="CG Times (WN)"/>
                <w:sz w:val="20"/>
                <w:szCs w:val="20"/>
              </w:rPr>
            </w:pPr>
          </w:p>
        </w:tc>
        <w:tc>
          <w:tcPr>
            <w:tcW w:w="1620" w:type="dxa"/>
            <w:tcBorders>
              <w:top w:val="single" w:sz="4" w:space="0" w:color="auto"/>
            </w:tcBorders>
          </w:tcPr>
          <w:p w14:paraId="5AA9519C" w14:textId="77777777" w:rsidR="009339E3" w:rsidRPr="009339E3" w:rsidRDefault="009339E3" w:rsidP="009339E3">
            <w:pPr>
              <w:tabs>
                <w:tab w:val="decimal" w:pos="1152"/>
                <w:tab w:val="right" w:pos="9180"/>
              </w:tabs>
              <w:rPr>
                <w:sz w:val="20"/>
                <w:szCs w:val="20"/>
              </w:rPr>
            </w:pPr>
            <w:r w:rsidRPr="009339E3">
              <w:rPr>
                <w:sz w:val="20"/>
                <w:szCs w:val="20"/>
              </w:rPr>
              <w:tab/>
              <w:t>12,580,013</w:t>
            </w:r>
          </w:p>
        </w:tc>
      </w:tr>
      <w:bookmarkEnd w:id="63"/>
      <w:tr w:rsidR="009339E3" w:rsidRPr="009339E3" w14:paraId="0CAA49F9" w14:textId="77777777" w:rsidTr="004F5282">
        <w:tc>
          <w:tcPr>
            <w:tcW w:w="378" w:type="dxa"/>
          </w:tcPr>
          <w:p w14:paraId="7B070BB1" w14:textId="77777777" w:rsidR="009339E3" w:rsidRPr="009339E3" w:rsidRDefault="009339E3" w:rsidP="009339E3">
            <w:pPr>
              <w:rPr>
                <w:sz w:val="20"/>
                <w:szCs w:val="20"/>
              </w:rPr>
            </w:pPr>
          </w:p>
        </w:tc>
        <w:tc>
          <w:tcPr>
            <w:tcW w:w="425" w:type="dxa"/>
          </w:tcPr>
          <w:p w14:paraId="585884FA" w14:textId="77777777" w:rsidR="009339E3" w:rsidRPr="009339E3" w:rsidRDefault="009339E3" w:rsidP="009339E3">
            <w:pPr>
              <w:rPr>
                <w:sz w:val="20"/>
                <w:szCs w:val="20"/>
              </w:rPr>
            </w:pPr>
          </w:p>
        </w:tc>
        <w:tc>
          <w:tcPr>
            <w:tcW w:w="789" w:type="dxa"/>
            <w:gridSpan w:val="3"/>
          </w:tcPr>
          <w:p w14:paraId="56F25870" w14:textId="77777777" w:rsidR="009339E3" w:rsidRPr="009339E3" w:rsidRDefault="009339E3" w:rsidP="009339E3">
            <w:pPr>
              <w:rPr>
                <w:sz w:val="20"/>
                <w:szCs w:val="20"/>
              </w:rPr>
            </w:pPr>
          </w:p>
        </w:tc>
        <w:tc>
          <w:tcPr>
            <w:tcW w:w="620" w:type="dxa"/>
          </w:tcPr>
          <w:p w14:paraId="2A37B6ED" w14:textId="77777777" w:rsidR="009339E3" w:rsidRPr="009339E3" w:rsidRDefault="009339E3" w:rsidP="009339E3">
            <w:pPr>
              <w:rPr>
                <w:sz w:val="20"/>
                <w:szCs w:val="20"/>
              </w:rPr>
            </w:pPr>
          </w:p>
        </w:tc>
        <w:tc>
          <w:tcPr>
            <w:tcW w:w="2641" w:type="dxa"/>
          </w:tcPr>
          <w:p w14:paraId="36716DB4" w14:textId="77777777" w:rsidR="009339E3" w:rsidRPr="009339E3" w:rsidRDefault="009339E3" w:rsidP="009339E3">
            <w:pPr>
              <w:rPr>
                <w:sz w:val="20"/>
                <w:szCs w:val="20"/>
              </w:rPr>
            </w:pPr>
          </w:p>
        </w:tc>
        <w:tc>
          <w:tcPr>
            <w:tcW w:w="1555" w:type="dxa"/>
          </w:tcPr>
          <w:p w14:paraId="388A506F" w14:textId="77777777" w:rsidR="009339E3" w:rsidRPr="009339E3" w:rsidRDefault="009339E3" w:rsidP="009339E3">
            <w:pPr>
              <w:tabs>
                <w:tab w:val="right" w:pos="9180"/>
              </w:tabs>
              <w:rPr>
                <w:sz w:val="20"/>
                <w:szCs w:val="20"/>
              </w:rPr>
            </w:pPr>
          </w:p>
        </w:tc>
        <w:tc>
          <w:tcPr>
            <w:tcW w:w="1800" w:type="dxa"/>
            <w:tcBorders>
              <w:top w:val="single" w:sz="4" w:space="0" w:color="auto"/>
            </w:tcBorders>
          </w:tcPr>
          <w:p w14:paraId="2D3C7516" w14:textId="77777777" w:rsidR="009339E3" w:rsidRPr="009339E3" w:rsidRDefault="009339E3" w:rsidP="009339E3">
            <w:pPr>
              <w:tabs>
                <w:tab w:val="decimal" w:pos="1332"/>
                <w:tab w:val="right" w:pos="9180"/>
              </w:tabs>
              <w:rPr>
                <w:sz w:val="20"/>
                <w:szCs w:val="20"/>
              </w:rPr>
            </w:pPr>
          </w:p>
        </w:tc>
        <w:tc>
          <w:tcPr>
            <w:tcW w:w="360" w:type="dxa"/>
          </w:tcPr>
          <w:p w14:paraId="0364A0C4" w14:textId="77777777" w:rsidR="009339E3" w:rsidRPr="009339E3" w:rsidRDefault="009339E3" w:rsidP="009339E3">
            <w:pPr>
              <w:tabs>
                <w:tab w:val="right" w:pos="9180"/>
              </w:tabs>
              <w:rPr>
                <w:sz w:val="20"/>
                <w:szCs w:val="20"/>
              </w:rPr>
            </w:pPr>
          </w:p>
        </w:tc>
        <w:tc>
          <w:tcPr>
            <w:tcW w:w="1620" w:type="dxa"/>
            <w:tcBorders>
              <w:top w:val="single" w:sz="4" w:space="0" w:color="auto"/>
            </w:tcBorders>
          </w:tcPr>
          <w:p w14:paraId="46783587" w14:textId="77777777" w:rsidR="009339E3" w:rsidRPr="009339E3" w:rsidRDefault="009339E3" w:rsidP="009339E3">
            <w:pPr>
              <w:tabs>
                <w:tab w:val="decimal" w:pos="1044"/>
                <w:tab w:val="right" w:pos="9180"/>
              </w:tabs>
              <w:rPr>
                <w:sz w:val="20"/>
                <w:szCs w:val="20"/>
              </w:rPr>
            </w:pPr>
          </w:p>
        </w:tc>
      </w:tr>
      <w:tr w:rsidR="009339E3" w:rsidRPr="009339E3" w14:paraId="54C4B50A" w14:textId="77777777" w:rsidTr="004F5282">
        <w:tc>
          <w:tcPr>
            <w:tcW w:w="6408" w:type="dxa"/>
            <w:gridSpan w:val="8"/>
          </w:tcPr>
          <w:p w14:paraId="7BE48555" w14:textId="77777777" w:rsidR="009339E3" w:rsidRPr="009339E3" w:rsidRDefault="009339E3" w:rsidP="009339E3">
            <w:pPr>
              <w:tabs>
                <w:tab w:val="right" w:pos="9180"/>
              </w:tabs>
              <w:rPr>
                <w:sz w:val="20"/>
                <w:szCs w:val="20"/>
              </w:rPr>
            </w:pPr>
            <w:r w:rsidRPr="009339E3">
              <w:rPr>
                <w:sz w:val="20"/>
                <w:szCs w:val="20"/>
              </w:rPr>
              <w:t>Net increase in cash and cash equivalents</w:t>
            </w:r>
          </w:p>
        </w:tc>
        <w:tc>
          <w:tcPr>
            <w:tcW w:w="1800" w:type="dxa"/>
          </w:tcPr>
          <w:p w14:paraId="08DC10B5" w14:textId="77777777" w:rsidR="009339E3" w:rsidRPr="009339E3" w:rsidRDefault="009339E3" w:rsidP="009339E3">
            <w:pPr>
              <w:tabs>
                <w:tab w:val="decimal" w:pos="1332"/>
                <w:tab w:val="right" w:pos="9180"/>
              </w:tabs>
              <w:rPr>
                <w:sz w:val="20"/>
                <w:szCs w:val="20"/>
              </w:rPr>
            </w:pPr>
            <w:r w:rsidRPr="009339E3">
              <w:rPr>
                <w:sz w:val="20"/>
                <w:szCs w:val="20"/>
              </w:rPr>
              <w:tab/>
              <w:t>4,833,846</w:t>
            </w:r>
          </w:p>
        </w:tc>
        <w:tc>
          <w:tcPr>
            <w:tcW w:w="360" w:type="dxa"/>
          </w:tcPr>
          <w:p w14:paraId="7D79A8EC" w14:textId="77777777" w:rsidR="009339E3" w:rsidRPr="009339E3" w:rsidRDefault="009339E3" w:rsidP="009339E3">
            <w:pPr>
              <w:tabs>
                <w:tab w:val="right" w:pos="9180"/>
              </w:tabs>
              <w:rPr>
                <w:sz w:val="20"/>
                <w:szCs w:val="20"/>
              </w:rPr>
            </w:pPr>
          </w:p>
        </w:tc>
        <w:tc>
          <w:tcPr>
            <w:tcW w:w="1620" w:type="dxa"/>
          </w:tcPr>
          <w:p w14:paraId="3F525647" w14:textId="77777777" w:rsidR="009339E3" w:rsidRPr="009339E3" w:rsidRDefault="009339E3" w:rsidP="009339E3">
            <w:pPr>
              <w:tabs>
                <w:tab w:val="decimal" w:pos="1152"/>
                <w:tab w:val="right" w:pos="9180"/>
              </w:tabs>
              <w:rPr>
                <w:sz w:val="20"/>
                <w:szCs w:val="20"/>
              </w:rPr>
            </w:pPr>
            <w:r w:rsidRPr="009339E3">
              <w:rPr>
                <w:sz w:val="20"/>
                <w:szCs w:val="20"/>
              </w:rPr>
              <w:tab/>
              <w:t>10,958,986</w:t>
            </w:r>
          </w:p>
        </w:tc>
      </w:tr>
      <w:tr w:rsidR="009339E3" w:rsidRPr="009339E3" w14:paraId="183DA238" w14:textId="77777777" w:rsidTr="004F5282">
        <w:tc>
          <w:tcPr>
            <w:tcW w:w="6408" w:type="dxa"/>
            <w:gridSpan w:val="8"/>
          </w:tcPr>
          <w:p w14:paraId="196212E8" w14:textId="77777777" w:rsidR="009339E3" w:rsidRPr="009339E3" w:rsidRDefault="009339E3" w:rsidP="009339E3">
            <w:pPr>
              <w:tabs>
                <w:tab w:val="right" w:pos="9180"/>
              </w:tabs>
              <w:rPr>
                <w:sz w:val="20"/>
                <w:szCs w:val="20"/>
              </w:rPr>
            </w:pPr>
            <w:r w:rsidRPr="009339E3">
              <w:rPr>
                <w:sz w:val="20"/>
                <w:szCs w:val="20"/>
              </w:rPr>
              <w:t>Cash and cash equivalents at beginning of period</w:t>
            </w:r>
          </w:p>
        </w:tc>
        <w:tc>
          <w:tcPr>
            <w:tcW w:w="1800" w:type="dxa"/>
            <w:tcBorders>
              <w:bottom w:val="single" w:sz="4" w:space="0" w:color="auto"/>
            </w:tcBorders>
          </w:tcPr>
          <w:p w14:paraId="627C12B0" w14:textId="77777777" w:rsidR="009339E3" w:rsidRPr="009339E3" w:rsidRDefault="009339E3" w:rsidP="009339E3">
            <w:pPr>
              <w:tabs>
                <w:tab w:val="decimal" w:pos="1332"/>
                <w:tab w:val="right" w:pos="9180"/>
              </w:tabs>
              <w:rPr>
                <w:sz w:val="20"/>
                <w:szCs w:val="20"/>
              </w:rPr>
            </w:pPr>
            <w:r w:rsidRPr="009339E3">
              <w:rPr>
                <w:sz w:val="20"/>
                <w:szCs w:val="20"/>
              </w:rPr>
              <w:tab/>
              <w:t>11,423,870</w:t>
            </w:r>
          </w:p>
        </w:tc>
        <w:tc>
          <w:tcPr>
            <w:tcW w:w="360" w:type="dxa"/>
          </w:tcPr>
          <w:p w14:paraId="4CE5E3EC" w14:textId="77777777" w:rsidR="009339E3" w:rsidRPr="009339E3" w:rsidRDefault="009339E3" w:rsidP="009339E3">
            <w:pPr>
              <w:tabs>
                <w:tab w:val="right" w:pos="9180"/>
              </w:tabs>
              <w:rPr>
                <w:sz w:val="20"/>
                <w:szCs w:val="20"/>
              </w:rPr>
            </w:pPr>
          </w:p>
        </w:tc>
        <w:tc>
          <w:tcPr>
            <w:tcW w:w="1620" w:type="dxa"/>
            <w:tcBorders>
              <w:bottom w:val="single" w:sz="4" w:space="0" w:color="auto"/>
            </w:tcBorders>
          </w:tcPr>
          <w:p w14:paraId="2A65A37C" w14:textId="77777777" w:rsidR="009339E3" w:rsidRPr="009339E3" w:rsidRDefault="009339E3" w:rsidP="009339E3">
            <w:pPr>
              <w:tabs>
                <w:tab w:val="decimal" w:pos="1152"/>
                <w:tab w:val="right" w:pos="9180"/>
              </w:tabs>
              <w:rPr>
                <w:sz w:val="20"/>
                <w:szCs w:val="20"/>
              </w:rPr>
            </w:pPr>
            <w:r w:rsidRPr="009339E3">
              <w:rPr>
                <w:sz w:val="20"/>
                <w:szCs w:val="20"/>
              </w:rPr>
              <w:tab/>
              <w:t>9,883,796</w:t>
            </w:r>
          </w:p>
        </w:tc>
      </w:tr>
      <w:tr w:rsidR="009339E3" w:rsidRPr="009339E3" w14:paraId="106B84CC" w14:textId="77777777" w:rsidTr="004F5282">
        <w:tc>
          <w:tcPr>
            <w:tcW w:w="378" w:type="dxa"/>
          </w:tcPr>
          <w:p w14:paraId="0F84ED7A" w14:textId="77777777" w:rsidR="009339E3" w:rsidRPr="009339E3" w:rsidRDefault="009339E3" w:rsidP="009339E3">
            <w:pPr>
              <w:rPr>
                <w:sz w:val="20"/>
                <w:szCs w:val="20"/>
              </w:rPr>
            </w:pPr>
          </w:p>
        </w:tc>
        <w:tc>
          <w:tcPr>
            <w:tcW w:w="620" w:type="dxa"/>
            <w:gridSpan w:val="2"/>
          </w:tcPr>
          <w:p w14:paraId="79971E75" w14:textId="77777777" w:rsidR="009339E3" w:rsidRPr="009339E3" w:rsidRDefault="009339E3" w:rsidP="009339E3">
            <w:pPr>
              <w:rPr>
                <w:sz w:val="20"/>
                <w:szCs w:val="20"/>
              </w:rPr>
            </w:pPr>
          </w:p>
        </w:tc>
        <w:tc>
          <w:tcPr>
            <w:tcW w:w="594" w:type="dxa"/>
            <w:gridSpan w:val="2"/>
          </w:tcPr>
          <w:p w14:paraId="35787719" w14:textId="77777777" w:rsidR="009339E3" w:rsidRPr="009339E3" w:rsidRDefault="009339E3" w:rsidP="009339E3">
            <w:pPr>
              <w:rPr>
                <w:sz w:val="20"/>
                <w:szCs w:val="20"/>
              </w:rPr>
            </w:pPr>
          </w:p>
        </w:tc>
        <w:tc>
          <w:tcPr>
            <w:tcW w:w="620" w:type="dxa"/>
          </w:tcPr>
          <w:p w14:paraId="697DD904" w14:textId="77777777" w:rsidR="009339E3" w:rsidRPr="009339E3" w:rsidRDefault="009339E3" w:rsidP="009339E3">
            <w:pPr>
              <w:rPr>
                <w:sz w:val="20"/>
                <w:szCs w:val="20"/>
              </w:rPr>
            </w:pPr>
          </w:p>
        </w:tc>
        <w:tc>
          <w:tcPr>
            <w:tcW w:w="2641" w:type="dxa"/>
          </w:tcPr>
          <w:p w14:paraId="1BFB4D9D" w14:textId="77777777" w:rsidR="009339E3" w:rsidRPr="009339E3" w:rsidRDefault="009339E3" w:rsidP="009339E3">
            <w:pPr>
              <w:rPr>
                <w:sz w:val="20"/>
                <w:szCs w:val="20"/>
              </w:rPr>
            </w:pPr>
          </w:p>
        </w:tc>
        <w:tc>
          <w:tcPr>
            <w:tcW w:w="1555" w:type="dxa"/>
          </w:tcPr>
          <w:p w14:paraId="12DD4DBD" w14:textId="77777777" w:rsidR="009339E3" w:rsidRPr="009339E3" w:rsidRDefault="009339E3" w:rsidP="009339E3">
            <w:pPr>
              <w:tabs>
                <w:tab w:val="right" w:pos="9180"/>
              </w:tabs>
              <w:rPr>
                <w:sz w:val="20"/>
                <w:szCs w:val="20"/>
              </w:rPr>
            </w:pPr>
          </w:p>
        </w:tc>
        <w:tc>
          <w:tcPr>
            <w:tcW w:w="1800" w:type="dxa"/>
            <w:tcBorders>
              <w:top w:val="single" w:sz="4" w:space="0" w:color="auto"/>
            </w:tcBorders>
          </w:tcPr>
          <w:p w14:paraId="4EFC0CFF" w14:textId="77777777" w:rsidR="009339E3" w:rsidRPr="009339E3" w:rsidRDefault="009339E3" w:rsidP="009339E3">
            <w:pPr>
              <w:tabs>
                <w:tab w:val="decimal" w:pos="1044"/>
                <w:tab w:val="right" w:pos="9180"/>
              </w:tabs>
              <w:rPr>
                <w:sz w:val="20"/>
                <w:szCs w:val="20"/>
              </w:rPr>
            </w:pPr>
          </w:p>
        </w:tc>
        <w:tc>
          <w:tcPr>
            <w:tcW w:w="360" w:type="dxa"/>
          </w:tcPr>
          <w:p w14:paraId="368B7B76" w14:textId="77777777" w:rsidR="009339E3" w:rsidRPr="009339E3" w:rsidRDefault="009339E3" w:rsidP="009339E3">
            <w:pPr>
              <w:tabs>
                <w:tab w:val="right" w:pos="9180"/>
              </w:tabs>
              <w:rPr>
                <w:sz w:val="20"/>
                <w:szCs w:val="20"/>
              </w:rPr>
            </w:pPr>
          </w:p>
        </w:tc>
        <w:tc>
          <w:tcPr>
            <w:tcW w:w="1620" w:type="dxa"/>
            <w:tcBorders>
              <w:top w:val="single" w:sz="4" w:space="0" w:color="auto"/>
            </w:tcBorders>
          </w:tcPr>
          <w:p w14:paraId="200C3C21" w14:textId="77777777" w:rsidR="009339E3" w:rsidRPr="009339E3" w:rsidRDefault="009339E3" w:rsidP="009339E3">
            <w:pPr>
              <w:tabs>
                <w:tab w:val="decimal" w:pos="1044"/>
                <w:tab w:val="right" w:pos="9180"/>
              </w:tabs>
              <w:rPr>
                <w:sz w:val="20"/>
                <w:szCs w:val="20"/>
              </w:rPr>
            </w:pPr>
          </w:p>
        </w:tc>
      </w:tr>
      <w:tr w:rsidR="009339E3" w:rsidRPr="009339E3" w14:paraId="4518D209" w14:textId="77777777" w:rsidTr="004F5282">
        <w:tc>
          <w:tcPr>
            <w:tcW w:w="6408" w:type="dxa"/>
            <w:gridSpan w:val="8"/>
          </w:tcPr>
          <w:p w14:paraId="07D2528A" w14:textId="77777777" w:rsidR="009339E3" w:rsidRPr="009339E3" w:rsidRDefault="009339E3" w:rsidP="009339E3">
            <w:pPr>
              <w:tabs>
                <w:tab w:val="right" w:pos="9180"/>
              </w:tabs>
              <w:rPr>
                <w:sz w:val="20"/>
                <w:szCs w:val="20"/>
              </w:rPr>
            </w:pPr>
            <w:r w:rsidRPr="009339E3">
              <w:rPr>
                <w:sz w:val="20"/>
                <w:szCs w:val="20"/>
              </w:rPr>
              <w:t>Cash and cash equivalents at end of period</w:t>
            </w:r>
          </w:p>
        </w:tc>
        <w:tc>
          <w:tcPr>
            <w:tcW w:w="1800" w:type="dxa"/>
            <w:tcBorders>
              <w:bottom w:val="double" w:sz="4" w:space="0" w:color="auto"/>
            </w:tcBorders>
          </w:tcPr>
          <w:p w14:paraId="2AB5361A" w14:textId="77777777" w:rsidR="009339E3" w:rsidRPr="009339E3" w:rsidRDefault="009339E3" w:rsidP="009339E3">
            <w:pPr>
              <w:tabs>
                <w:tab w:val="decimal" w:pos="1332"/>
                <w:tab w:val="right" w:pos="9180"/>
              </w:tabs>
              <w:rPr>
                <w:sz w:val="20"/>
                <w:szCs w:val="20"/>
              </w:rPr>
            </w:pPr>
            <w:r w:rsidRPr="009339E3">
              <w:rPr>
                <w:sz w:val="20"/>
                <w:szCs w:val="20"/>
              </w:rPr>
              <w:t>$</w:t>
            </w:r>
            <w:r w:rsidRPr="009339E3">
              <w:rPr>
                <w:sz w:val="20"/>
                <w:szCs w:val="20"/>
              </w:rPr>
              <w:tab/>
              <w:t>16,257,716</w:t>
            </w:r>
          </w:p>
        </w:tc>
        <w:tc>
          <w:tcPr>
            <w:tcW w:w="360" w:type="dxa"/>
          </w:tcPr>
          <w:p w14:paraId="04E93F3E" w14:textId="77777777" w:rsidR="009339E3" w:rsidRPr="009339E3" w:rsidRDefault="009339E3" w:rsidP="009339E3">
            <w:pPr>
              <w:tabs>
                <w:tab w:val="right" w:pos="9180"/>
              </w:tabs>
              <w:rPr>
                <w:sz w:val="20"/>
                <w:szCs w:val="20"/>
              </w:rPr>
            </w:pPr>
          </w:p>
        </w:tc>
        <w:tc>
          <w:tcPr>
            <w:tcW w:w="1620" w:type="dxa"/>
            <w:tcBorders>
              <w:bottom w:val="double" w:sz="4" w:space="0" w:color="auto"/>
            </w:tcBorders>
          </w:tcPr>
          <w:p w14:paraId="032BDF0E" w14:textId="77777777" w:rsidR="009339E3" w:rsidRPr="009339E3" w:rsidRDefault="009339E3" w:rsidP="009339E3">
            <w:pPr>
              <w:tabs>
                <w:tab w:val="decimal" w:pos="1152"/>
                <w:tab w:val="right" w:pos="9180"/>
              </w:tabs>
              <w:rPr>
                <w:sz w:val="20"/>
                <w:szCs w:val="20"/>
              </w:rPr>
            </w:pPr>
            <w:r w:rsidRPr="009339E3">
              <w:rPr>
                <w:sz w:val="20"/>
                <w:szCs w:val="20"/>
              </w:rPr>
              <w:t>$</w:t>
            </w:r>
            <w:r w:rsidRPr="009339E3">
              <w:rPr>
                <w:sz w:val="20"/>
                <w:szCs w:val="20"/>
              </w:rPr>
              <w:tab/>
              <w:t>20,842,782</w:t>
            </w:r>
          </w:p>
        </w:tc>
      </w:tr>
      <w:tr w:rsidR="009339E3" w:rsidRPr="009339E3" w14:paraId="24EEE421" w14:textId="77777777" w:rsidTr="004F5282">
        <w:tc>
          <w:tcPr>
            <w:tcW w:w="378" w:type="dxa"/>
          </w:tcPr>
          <w:p w14:paraId="643E74B8" w14:textId="77777777" w:rsidR="009339E3" w:rsidRPr="009339E3" w:rsidRDefault="009339E3" w:rsidP="009339E3">
            <w:pPr>
              <w:rPr>
                <w:sz w:val="20"/>
                <w:szCs w:val="20"/>
              </w:rPr>
            </w:pPr>
          </w:p>
        </w:tc>
        <w:tc>
          <w:tcPr>
            <w:tcW w:w="620" w:type="dxa"/>
            <w:gridSpan w:val="2"/>
          </w:tcPr>
          <w:p w14:paraId="4B109255" w14:textId="77777777" w:rsidR="009339E3" w:rsidRPr="009339E3" w:rsidRDefault="009339E3" w:rsidP="009339E3">
            <w:pPr>
              <w:rPr>
                <w:sz w:val="20"/>
                <w:szCs w:val="20"/>
              </w:rPr>
            </w:pPr>
          </w:p>
        </w:tc>
        <w:tc>
          <w:tcPr>
            <w:tcW w:w="594" w:type="dxa"/>
            <w:gridSpan w:val="2"/>
          </w:tcPr>
          <w:p w14:paraId="55CA9866" w14:textId="77777777" w:rsidR="009339E3" w:rsidRPr="009339E3" w:rsidRDefault="009339E3" w:rsidP="009339E3">
            <w:pPr>
              <w:rPr>
                <w:sz w:val="20"/>
                <w:szCs w:val="20"/>
              </w:rPr>
            </w:pPr>
          </w:p>
        </w:tc>
        <w:tc>
          <w:tcPr>
            <w:tcW w:w="620" w:type="dxa"/>
          </w:tcPr>
          <w:p w14:paraId="584572DF" w14:textId="77777777" w:rsidR="009339E3" w:rsidRPr="009339E3" w:rsidRDefault="009339E3" w:rsidP="009339E3">
            <w:pPr>
              <w:rPr>
                <w:sz w:val="20"/>
                <w:szCs w:val="20"/>
              </w:rPr>
            </w:pPr>
          </w:p>
        </w:tc>
        <w:tc>
          <w:tcPr>
            <w:tcW w:w="2641" w:type="dxa"/>
          </w:tcPr>
          <w:p w14:paraId="7B54AB7A" w14:textId="77777777" w:rsidR="009339E3" w:rsidRPr="009339E3" w:rsidRDefault="009339E3" w:rsidP="009339E3">
            <w:pPr>
              <w:rPr>
                <w:sz w:val="20"/>
                <w:szCs w:val="20"/>
              </w:rPr>
            </w:pPr>
          </w:p>
        </w:tc>
        <w:tc>
          <w:tcPr>
            <w:tcW w:w="1555" w:type="dxa"/>
          </w:tcPr>
          <w:p w14:paraId="7A4358AF" w14:textId="77777777" w:rsidR="009339E3" w:rsidRPr="009339E3" w:rsidRDefault="009339E3" w:rsidP="009339E3">
            <w:pPr>
              <w:tabs>
                <w:tab w:val="right" w:pos="9180"/>
              </w:tabs>
              <w:rPr>
                <w:sz w:val="20"/>
                <w:szCs w:val="20"/>
              </w:rPr>
            </w:pPr>
          </w:p>
        </w:tc>
        <w:tc>
          <w:tcPr>
            <w:tcW w:w="1800" w:type="dxa"/>
          </w:tcPr>
          <w:p w14:paraId="04AE2B09" w14:textId="77777777" w:rsidR="009339E3" w:rsidRPr="009339E3" w:rsidRDefault="009339E3" w:rsidP="009339E3">
            <w:pPr>
              <w:tabs>
                <w:tab w:val="decimal" w:pos="1044"/>
                <w:tab w:val="right" w:pos="9180"/>
              </w:tabs>
              <w:rPr>
                <w:sz w:val="20"/>
                <w:szCs w:val="20"/>
              </w:rPr>
            </w:pPr>
          </w:p>
        </w:tc>
        <w:tc>
          <w:tcPr>
            <w:tcW w:w="360" w:type="dxa"/>
          </w:tcPr>
          <w:p w14:paraId="28B5BCAE" w14:textId="77777777" w:rsidR="009339E3" w:rsidRPr="009339E3" w:rsidRDefault="009339E3" w:rsidP="009339E3">
            <w:pPr>
              <w:tabs>
                <w:tab w:val="right" w:pos="9180"/>
              </w:tabs>
              <w:rPr>
                <w:sz w:val="20"/>
                <w:szCs w:val="20"/>
              </w:rPr>
            </w:pPr>
          </w:p>
        </w:tc>
        <w:tc>
          <w:tcPr>
            <w:tcW w:w="1620" w:type="dxa"/>
          </w:tcPr>
          <w:p w14:paraId="5F1432D4" w14:textId="77777777" w:rsidR="009339E3" w:rsidRPr="009339E3" w:rsidRDefault="009339E3" w:rsidP="009339E3">
            <w:pPr>
              <w:tabs>
                <w:tab w:val="right" w:pos="9180"/>
              </w:tabs>
              <w:rPr>
                <w:sz w:val="20"/>
                <w:szCs w:val="20"/>
              </w:rPr>
            </w:pPr>
          </w:p>
        </w:tc>
      </w:tr>
    </w:tbl>
    <w:p w14:paraId="7BB29C27" w14:textId="77777777" w:rsidR="009339E3" w:rsidRPr="009339E3" w:rsidRDefault="009339E3" w:rsidP="009339E3">
      <w:pPr>
        <w:rPr>
          <w:sz w:val="20"/>
          <w:szCs w:val="20"/>
        </w:rPr>
      </w:pPr>
    </w:p>
    <w:p w14:paraId="0E1D8007" w14:textId="77777777" w:rsidR="009339E3" w:rsidRPr="009339E3" w:rsidRDefault="009339E3" w:rsidP="009339E3">
      <w:pPr>
        <w:rPr>
          <w:sz w:val="20"/>
          <w:szCs w:val="20"/>
        </w:rPr>
      </w:pPr>
      <w:r w:rsidRPr="009339E3">
        <w:rPr>
          <w:sz w:val="20"/>
          <w:szCs w:val="20"/>
        </w:rPr>
        <w:t>Supplemental disclosure of non-cash financing activities:</w:t>
      </w:r>
    </w:p>
    <w:p w14:paraId="1CC549C3" w14:textId="77777777" w:rsidR="009339E3" w:rsidRPr="009339E3" w:rsidRDefault="009339E3" w:rsidP="009339E3">
      <w:pPr>
        <w:ind w:left="360"/>
        <w:rPr>
          <w:sz w:val="20"/>
          <w:szCs w:val="20"/>
        </w:rPr>
      </w:pPr>
      <w:r w:rsidRPr="009339E3">
        <w:rPr>
          <w:sz w:val="20"/>
          <w:szCs w:val="20"/>
        </w:rPr>
        <w:t>During the three months ended March 31, 2021, 145,866 shares of common stock were issued upon the cashless exercise of 188,668 stock purchase warrants.</w:t>
      </w:r>
    </w:p>
    <w:p w14:paraId="57AB80AD" w14:textId="77777777" w:rsidR="009339E3" w:rsidRPr="009339E3" w:rsidRDefault="009339E3" w:rsidP="009339E3">
      <w:pPr>
        <w:rPr>
          <w:sz w:val="20"/>
          <w:szCs w:val="20"/>
        </w:rPr>
      </w:pPr>
    </w:p>
    <w:p w14:paraId="69744795" w14:textId="77777777" w:rsidR="009339E3" w:rsidRPr="009339E3" w:rsidRDefault="009339E3" w:rsidP="009339E3">
      <w:pPr>
        <w:rPr>
          <w:sz w:val="20"/>
          <w:szCs w:val="20"/>
        </w:rPr>
      </w:pPr>
    </w:p>
    <w:p w14:paraId="2CEB1E0F" w14:textId="77777777" w:rsidR="009339E3" w:rsidRPr="009339E3" w:rsidRDefault="009339E3" w:rsidP="009339E3">
      <w:pPr>
        <w:ind w:right="630"/>
        <w:jc w:val="center"/>
        <w:rPr>
          <w:sz w:val="20"/>
          <w:szCs w:val="20"/>
        </w:rPr>
      </w:pPr>
      <w:r w:rsidRPr="009339E3">
        <w:rPr>
          <w:sz w:val="20"/>
          <w:szCs w:val="20"/>
        </w:rPr>
        <w:t>See accompanying notes to condensed consolidated financial statements.</w:t>
      </w:r>
    </w:p>
    <w:p w14:paraId="52ECF3C0" w14:textId="77777777" w:rsidR="009339E3" w:rsidRPr="009339E3" w:rsidRDefault="009339E3" w:rsidP="009339E3">
      <w:pPr>
        <w:rPr>
          <w:sz w:val="20"/>
          <w:szCs w:val="20"/>
        </w:rPr>
      </w:pPr>
    </w:p>
    <w:p w14:paraId="674FDF78" w14:textId="77777777" w:rsidR="009339E3" w:rsidRPr="009339E3" w:rsidRDefault="009339E3" w:rsidP="009339E3">
      <w:pPr>
        <w:rPr>
          <w:sz w:val="20"/>
          <w:szCs w:val="20"/>
        </w:rPr>
      </w:pPr>
    </w:p>
    <w:p w14:paraId="14C051F8" w14:textId="77777777" w:rsidR="001A664B" w:rsidRDefault="001A664B" w:rsidP="001A664B">
      <w:pPr>
        <w:ind w:left="144" w:right="144"/>
        <w:jc w:val="center"/>
        <w:rPr>
          <w:sz w:val="20"/>
          <w:szCs w:val="20"/>
        </w:rPr>
      </w:pPr>
      <w:r>
        <w:rPr>
          <w:sz w:val="20"/>
          <w:szCs w:val="20"/>
        </w:rPr>
        <w:t> </w:t>
      </w:r>
    </w:p>
    <w:p w14:paraId="31154E51" w14:textId="77777777" w:rsidR="008A3183" w:rsidRDefault="008A3183">
      <w:pPr>
        <w:rPr>
          <w:b/>
          <w:bCs/>
          <w:sz w:val="20"/>
          <w:szCs w:val="20"/>
        </w:rPr>
      </w:pPr>
      <w:r>
        <w:rPr>
          <w:b/>
          <w:bCs/>
          <w:sz w:val="20"/>
          <w:szCs w:val="20"/>
        </w:rPr>
        <w:br w:type="page"/>
      </w:r>
    </w:p>
    <w:p w14:paraId="6AD0230E" w14:textId="77777777" w:rsidR="00B07F21" w:rsidRPr="00B07F21" w:rsidRDefault="00B07F21" w:rsidP="00B07F21">
      <w:pPr>
        <w:tabs>
          <w:tab w:val="decimal" w:pos="2600"/>
        </w:tabs>
        <w:jc w:val="center"/>
        <w:rPr>
          <w:b/>
          <w:sz w:val="20"/>
          <w:szCs w:val="20"/>
        </w:rPr>
      </w:pPr>
      <w:r w:rsidRPr="00B07F21">
        <w:rPr>
          <w:b/>
          <w:sz w:val="20"/>
          <w:szCs w:val="20"/>
        </w:rPr>
        <w:lastRenderedPageBreak/>
        <w:t xml:space="preserve">GEOVAX LABS, INC. </w:t>
      </w:r>
    </w:p>
    <w:p w14:paraId="4DDDCD24" w14:textId="77777777" w:rsidR="00B07F21" w:rsidRPr="00B07F21" w:rsidRDefault="00B07F21" w:rsidP="00B07F21">
      <w:pPr>
        <w:jc w:val="center"/>
        <w:rPr>
          <w:b/>
          <w:sz w:val="20"/>
          <w:szCs w:val="20"/>
        </w:rPr>
      </w:pPr>
      <w:r w:rsidRPr="00B07F21">
        <w:rPr>
          <w:b/>
          <w:sz w:val="20"/>
          <w:szCs w:val="20"/>
        </w:rPr>
        <w:t>NOTES TO CONDENSED CONSOLIDATED FINANCIAL STATEMENTS</w:t>
      </w:r>
    </w:p>
    <w:p w14:paraId="5113BE10" w14:textId="77777777" w:rsidR="00B07F21" w:rsidRPr="00B07F21" w:rsidRDefault="00B07F21" w:rsidP="00B07F21">
      <w:pPr>
        <w:jc w:val="center"/>
        <w:rPr>
          <w:b/>
          <w:sz w:val="20"/>
          <w:szCs w:val="20"/>
        </w:rPr>
      </w:pPr>
      <w:r w:rsidRPr="00B07F21">
        <w:rPr>
          <w:b/>
          <w:sz w:val="20"/>
          <w:szCs w:val="20"/>
        </w:rPr>
        <w:t>March 31, 2022</w:t>
      </w:r>
    </w:p>
    <w:p w14:paraId="7D6F396F" w14:textId="77777777" w:rsidR="00B07F21" w:rsidRPr="00B07F21" w:rsidRDefault="00B07F21" w:rsidP="00B07F21">
      <w:pPr>
        <w:jc w:val="center"/>
        <w:rPr>
          <w:b/>
          <w:sz w:val="20"/>
          <w:szCs w:val="20"/>
          <w:u w:val="single"/>
        </w:rPr>
      </w:pPr>
      <w:r w:rsidRPr="00B07F21">
        <w:rPr>
          <w:b/>
          <w:sz w:val="20"/>
          <w:szCs w:val="20"/>
        </w:rPr>
        <w:t>(unaudited)</w:t>
      </w:r>
    </w:p>
    <w:p w14:paraId="2EFB5E6C" w14:textId="77777777" w:rsidR="00B07F21" w:rsidRPr="00B07F21" w:rsidRDefault="00B07F21" w:rsidP="00B07F21">
      <w:pPr>
        <w:rPr>
          <w:sz w:val="20"/>
          <w:szCs w:val="20"/>
        </w:rPr>
      </w:pPr>
    </w:p>
    <w:p w14:paraId="7C621BE3" w14:textId="77777777" w:rsidR="00B07F21" w:rsidRPr="00B07F21" w:rsidRDefault="00B07F21" w:rsidP="00B07F21">
      <w:pPr>
        <w:keepNext/>
        <w:rPr>
          <w:b/>
          <w:sz w:val="20"/>
          <w:szCs w:val="20"/>
        </w:rPr>
      </w:pPr>
      <w:r w:rsidRPr="00B07F21">
        <w:rPr>
          <w:b/>
          <w:sz w:val="20"/>
          <w:szCs w:val="20"/>
        </w:rPr>
        <w:t>1.</w:t>
      </w:r>
      <w:r w:rsidRPr="00B07F21">
        <w:rPr>
          <w:b/>
          <w:sz w:val="20"/>
          <w:szCs w:val="20"/>
        </w:rPr>
        <w:tab/>
        <w:t xml:space="preserve">Description of Business </w:t>
      </w:r>
    </w:p>
    <w:p w14:paraId="5AD4DEAE" w14:textId="77777777" w:rsidR="00B07F21" w:rsidRPr="00B07F21" w:rsidRDefault="00B07F21" w:rsidP="00B07F21">
      <w:pPr>
        <w:rPr>
          <w:sz w:val="20"/>
          <w:szCs w:val="20"/>
        </w:rPr>
      </w:pPr>
    </w:p>
    <w:p w14:paraId="336FA5EF" w14:textId="77777777" w:rsidR="00B07F21" w:rsidRPr="00B07F21" w:rsidRDefault="00B07F21" w:rsidP="00B07F21">
      <w:pPr>
        <w:rPr>
          <w:sz w:val="20"/>
          <w:szCs w:val="20"/>
        </w:rPr>
      </w:pPr>
      <w:bookmarkStart w:id="64" w:name="_Hlk53502872"/>
      <w:proofErr w:type="spellStart"/>
      <w:r w:rsidRPr="00B07F21">
        <w:rPr>
          <w:sz w:val="20"/>
          <w:szCs w:val="20"/>
        </w:rPr>
        <w:t>GeoVax</w:t>
      </w:r>
      <w:proofErr w:type="spellEnd"/>
      <w:r w:rsidRPr="00B07F21">
        <w:rPr>
          <w:sz w:val="20"/>
          <w:szCs w:val="20"/>
        </w:rPr>
        <w:t xml:space="preserve"> Labs, Inc. (“</w:t>
      </w:r>
      <w:proofErr w:type="spellStart"/>
      <w:r w:rsidRPr="00B07F21">
        <w:rPr>
          <w:sz w:val="20"/>
          <w:szCs w:val="20"/>
        </w:rPr>
        <w:t>GeoVax</w:t>
      </w:r>
      <w:proofErr w:type="spellEnd"/>
      <w:r w:rsidRPr="00B07F21">
        <w:rPr>
          <w:sz w:val="20"/>
          <w:szCs w:val="20"/>
        </w:rPr>
        <w:t xml:space="preserve">” or the “Company”), is a clinical-stage biotechnology company developing immunotherapies and vaccines against infectious diseases and cancers using novel vector vaccine platforms. </w:t>
      </w:r>
      <w:proofErr w:type="spellStart"/>
      <w:r w:rsidRPr="00B07F21">
        <w:rPr>
          <w:bCs/>
          <w:sz w:val="20"/>
          <w:szCs w:val="20"/>
        </w:rPr>
        <w:t>GeoVax’s</w:t>
      </w:r>
      <w:proofErr w:type="spellEnd"/>
      <w:r w:rsidRPr="00B07F21">
        <w:rPr>
          <w:bCs/>
          <w:sz w:val="20"/>
          <w:szCs w:val="20"/>
        </w:rPr>
        <w:t xml:space="preserve"> product pipeline includes ongoing human clinical trials in COVID-19 and </w:t>
      </w:r>
      <w:r w:rsidRPr="00B07F21">
        <w:rPr>
          <w:sz w:val="20"/>
          <w:szCs w:val="20"/>
        </w:rPr>
        <w:t xml:space="preserve">head and neck cancer. Additional research and development programs include preventive vaccines against Zika Virus, hemorrhagic fever viruses (Ebola, Sudan, Marburg, and Lassa) and malaria, as well as immunotherapies for solid tumors. </w:t>
      </w:r>
    </w:p>
    <w:bookmarkEnd w:id="64"/>
    <w:p w14:paraId="5D3D8ACE" w14:textId="77777777" w:rsidR="00B07F21" w:rsidRPr="00B07F21" w:rsidRDefault="00B07F21" w:rsidP="00B07F21">
      <w:pPr>
        <w:autoSpaceDE w:val="0"/>
        <w:autoSpaceDN w:val="0"/>
        <w:adjustRightInd w:val="0"/>
        <w:rPr>
          <w:sz w:val="20"/>
          <w:szCs w:val="20"/>
        </w:rPr>
      </w:pPr>
    </w:p>
    <w:p w14:paraId="1D02D788" w14:textId="77777777" w:rsidR="00B07F21" w:rsidRPr="00B07F21" w:rsidRDefault="00B07F21" w:rsidP="00B07F21">
      <w:pPr>
        <w:rPr>
          <w:sz w:val="20"/>
          <w:szCs w:val="20"/>
        </w:rPr>
      </w:pPr>
      <w:proofErr w:type="spellStart"/>
      <w:r w:rsidRPr="00B07F21">
        <w:rPr>
          <w:sz w:val="20"/>
          <w:szCs w:val="20"/>
        </w:rPr>
        <w:t>GeoVax</w:t>
      </w:r>
      <w:proofErr w:type="spellEnd"/>
      <w:r w:rsidRPr="00B07F21">
        <w:rPr>
          <w:sz w:val="20"/>
          <w:szCs w:val="20"/>
        </w:rPr>
        <w:t xml:space="preserve"> is incorporated under the laws of the State of Delaware and our principal offices are located in the metropolitan Atlanta, Georgia area.</w:t>
      </w:r>
    </w:p>
    <w:p w14:paraId="111335F4" w14:textId="77777777" w:rsidR="00B07F21" w:rsidRPr="00B07F21" w:rsidRDefault="00B07F21" w:rsidP="00B07F21">
      <w:pPr>
        <w:rPr>
          <w:sz w:val="20"/>
          <w:szCs w:val="20"/>
        </w:rPr>
      </w:pPr>
    </w:p>
    <w:p w14:paraId="2909984D" w14:textId="77777777" w:rsidR="00B07F21" w:rsidRPr="00B07F21" w:rsidRDefault="00B07F21" w:rsidP="00B07F21">
      <w:pPr>
        <w:keepNext/>
        <w:rPr>
          <w:b/>
          <w:sz w:val="20"/>
          <w:szCs w:val="20"/>
        </w:rPr>
      </w:pPr>
      <w:r w:rsidRPr="00B07F21">
        <w:rPr>
          <w:b/>
          <w:sz w:val="20"/>
          <w:szCs w:val="20"/>
        </w:rPr>
        <w:t>2.</w:t>
      </w:r>
      <w:r w:rsidRPr="00B07F21">
        <w:rPr>
          <w:b/>
          <w:sz w:val="20"/>
          <w:szCs w:val="20"/>
        </w:rPr>
        <w:tab/>
        <w:t>Basis of Presentation</w:t>
      </w:r>
    </w:p>
    <w:p w14:paraId="70248076" w14:textId="77777777" w:rsidR="00B07F21" w:rsidRPr="00B07F21" w:rsidRDefault="00B07F21" w:rsidP="00B07F21">
      <w:pPr>
        <w:rPr>
          <w:sz w:val="20"/>
          <w:szCs w:val="20"/>
        </w:rPr>
      </w:pPr>
    </w:p>
    <w:p w14:paraId="43611B70" w14:textId="77777777" w:rsidR="00B07F21" w:rsidRPr="00B07F21" w:rsidRDefault="00B07F21" w:rsidP="00B07F21">
      <w:pPr>
        <w:rPr>
          <w:sz w:val="20"/>
          <w:szCs w:val="20"/>
        </w:rPr>
      </w:pPr>
      <w:r w:rsidRPr="00B07F21">
        <w:rPr>
          <w:sz w:val="20"/>
          <w:szCs w:val="20"/>
        </w:rPr>
        <w:t xml:space="preserve">The accompanying condensed consolidated financial statements at March 31, 2022 and for the three-month periods ended March 31, 2022 and 2021 are unaudited, but include all adjustments, consisting of normal recurring entries, which we believe to be necessary for a fair presentation of the dates and periods presented. Interim results are not necessarily indicative of results for a full year. The financial statements should be read in conjunction with our audited consolidated financial statements included in our Annual Report on Form 10-K for the year ended December 31, 2021. We expect our operating results to fluctuate for the foreseeable future; therefore, period-to-period comparisons should not be relied upon as predictive of the results in future periods. </w:t>
      </w:r>
    </w:p>
    <w:p w14:paraId="7F66792A" w14:textId="77777777" w:rsidR="00B07F21" w:rsidRPr="00B07F21" w:rsidRDefault="00B07F21" w:rsidP="00B07F21">
      <w:pPr>
        <w:autoSpaceDE w:val="0"/>
        <w:autoSpaceDN w:val="0"/>
        <w:adjustRightInd w:val="0"/>
        <w:rPr>
          <w:sz w:val="20"/>
          <w:szCs w:val="20"/>
        </w:rPr>
      </w:pPr>
    </w:p>
    <w:p w14:paraId="19434C87" w14:textId="77777777" w:rsidR="00B07F21" w:rsidRPr="00B07F21" w:rsidRDefault="00B07F21" w:rsidP="00B07F21">
      <w:pPr>
        <w:autoSpaceDE w:val="0"/>
        <w:autoSpaceDN w:val="0"/>
        <w:adjustRightInd w:val="0"/>
        <w:rPr>
          <w:sz w:val="20"/>
          <w:szCs w:val="20"/>
        </w:rPr>
      </w:pPr>
      <w:r w:rsidRPr="00B07F21">
        <w:rPr>
          <w:sz w:val="20"/>
          <w:szCs w:val="20"/>
        </w:rPr>
        <w:t>Our financial statements have been prepared assuming that we will continue as a going concern, which contemplates realization of assets and the satisfaction of liabilities in the normal course of business for at least the twelve-month period following the issue date of these consolidated financial statements. We are devoting substantially all of our present efforts to research and development of our vaccine and immunotherapy candidates. We expect to incur future net losses and require substantial funds as we continue our research and development activities. Our transition to profitability will be dependent upon, among other things, the successful development and commercialization of our product candidates. We may never achieve profitability or positive cash flows, and unless and until we do, we will continue to need to raise additional funding. We have funded our activities to date from sales of our equity securities, government grants and clinical trial assistance, and corporate and academic collaborations. We intend to fund our future operations through additional private and/or public offerings of debt or equity securities. In addition, we may seek additional capital through government grants, arrangements with strategic partners, or from other sources. There can be no assurance that we will be able to raise additional funds or achieve or sustain profitability or positive cash flows from operations. </w:t>
      </w:r>
    </w:p>
    <w:p w14:paraId="45DB8BB8" w14:textId="77777777" w:rsidR="00B07F21" w:rsidRPr="00B07F21" w:rsidRDefault="00B07F21" w:rsidP="00B07F21">
      <w:pPr>
        <w:autoSpaceDE w:val="0"/>
        <w:autoSpaceDN w:val="0"/>
        <w:adjustRightInd w:val="0"/>
        <w:rPr>
          <w:sz w:val="20"/>
          <w:szCs w:val="20"/>
        </w:rPr>
      </w:pPr>
    </w:p>
    <w:p w14:paraId="128BDFEC" w14:textId="77777777" w:rsidR="00B07F21" w:rsidRPr="00B07F21" w:rsidRDefault="00B07F21" w:rsidP="00B07F21">
      <w:pPr>
        <w:keepNext/>
        <w:rPr>
          <w:b/>
          <w:sz w:val="20"/>
          <w:szCs w:val="20"/>
        </w:rPr>
      </w:pPr>
      <w:r w:rsidRPr="00B07F21">
        <w:rPr>
          <w:b/>
          <w:sz w:val="20"/>
          <w:szCs w:val="20"/>
        </w:rPr>
        <w:t>3.</w:t>
      </w:r>
      <w:r w:rsidRPr="00B07F21">
        <w:rPr>
          <w:b/>
          <w:sz w:val="20"/>
          <w:szCs w:val="20"/>
        </w:rPr>
        <w:tab/>
        <w:t>Significant Accounting Policies and Recent Accounting Pronouncements</w:t>
      </w:r>
    </w:p>
    <w:p w14:paraId="1B1A1E8E" w14:textId="77777777" w:rsidR="00B07F21" w:rsidRPr="00B07F21" w:rsidRDefault="00B07F21" w:rsidP="00B07F21">
      <w:pPr>
        <w:rPr>
          <w:sz w:val="20"/>
          <w:szCs w:val="20"/>
        </w:rPr>
      </w:pPr>
    </w:p>
    <w:p w14:paraId="5412DB71" w14:textId="77777777" w:rsidR="00B07F21" w:rsidRPr="00B07F21" w:rsidRDefault="00B07F21" w:rsidP="00B07F21">
      <w:pPr>
        <w:rPr>
          <w:sz w:val="20"/>
          <w:szCs w:val="20"/>
        </w:rPr>
      </w:pPr>
      <w:r w:rsidRPr="00B07F21">
        <w:rPr>
          <w:sz w:val="20"/>
          <w:szCs w:val="20"/>
        </w:rPr>
        <w:t>We disclosed in Note 2 to our consolidated financial statements included in our Annual Report on Form 10-K for the year ended December 31, 2021 those accounting policies that we consider significant in determining our results of operations and financial position. During the three months ended March 31, 2022, there have been no material changes to, or in the application of, the accounting policies previously identified and described in the Form 10-K, and there have been no other recent accounting pronouncements or changes in accounting pronouncements which we expect to have a material impact on our financial statements.</w:t>
      </w:r>
    </w:p>
    <w:p w14:paraId="72795E2E" w14:textId="77777777" w:rsidR="00B07F21" w:rsidRPr="00B07F21" w:rsidRDefault="00B07F21" w:rsidP="00B07F21">
      <w:pPr>
        <w:rPr>
          <w:sz w:val="20"/>
          <w:szCs w:val="20"/>
        </w:rPr>
      </w:pPr>
    </w:p>
    <w:p w14:paraId="351F0CA3" w14:textId="77777777" w:rsidR="00B07F21" w:rsidRPr="00B07F21" w:rsidRDefault="00B07F21" w:rsidP="00B07F21">
      <w:pPr>
        <w:keepNext/>
        <w:rPr>
          <w:b/>
          <w:sz w:val="20"/>
          <w:szCs w:val="20"/>
        </w:rPr>
      </w:pPr>
      <w:bookmarkStart w:id="65" w:name="_Hlk510617695"/>
      <w:r w:rsidRPr="00B07F21">
        <w:rPr>
          <w:b/>
          <w:sz w:val="20"/>
          <w:szCs w:val="20"/>
        </w:rPr>
        <w:t>4.</w:t>
      </w:r>
      <w:r w:rsidRPr="00B07F21">
        <w:rPr>
          <w:b/>
          <w:sz w:val="20"/>
          <w:szCs w:val="20"/>
        </w:rPr>
        <w:tab/>
        <w:t>Basic and Diluted Loss Per Common Share</w:t>
      </w:r>
    </w:p>
    <w:p w14:paraId="0334A1DC" w14:textId="77777777" w:rsidR="00B07F21" w:rsidRPr="00B07F21" w:rsidRDefault="00B07F21" w:rsidP="00B07F21">
      <w:pPr>
        <w:rPr>
          <w:sz w:val="20"/>
          <w:szCs w:val="20"/>
        </w:rPr>
      </w:pPr>
    </w:p>
    <w:p w14:paraId="153223D4" w14:textId="77777777" w:rsidR="00B07F21" w:rsidRPr="00B07F21" w:rsidRDefault="00B07F21" w:rsidP="00B07F21">
      <w:pPr>
        <w:rPr>
          <w:sz w:val="20"/>
          <w:szCs w:val="20"/>
        </w:rPr>
      </w:pPr>
      <w:bookmarkStart w:id="66" w:name="_Hlk5353616"/>
      <w:r w:rsidRPr="00B07F21">
        <w:rPr>
          <w:sz w:val="20"/>
          <w:szCs w:val="20"/>
        </w:rPr>
        <w:t>Basic and diluted loss per common share are computed based on the weighted average number of common shares outstanding. The Company’s potentially dilutive securities, which include stock options and stock purchase warrants, have been excluded from the computation of diluted net loss per share as the effect would be antidilutive. The potentially dilutive securities excluded from the computation of diluted net loss per share totaled 6,846,415 and 3,395,635 shares at March 31, 2022 and 2021, respectively.</w:t>
      </w:r>
    </w:p>
    <w:p w14:paraId="3F954A9E" w14:textId="77777777" w:rsidR="00B07F21" w:rsidRPr="00B07F21" w:rsidRDefault="00B07F21" w:rsidP="00B07F21">
      <w:pPr>
        <w:rPr>
          <w:sz w:val="20"/>
          <w:szCs w:val="20"/>
        </w:rPr>
      </w:pPr>
    </w:p>
    <w:bookmarkEnd w:id="65"/>
    <w:bookmarkEnd w:id="66"/>
    <w:p w14:paraId="3E0D1185" w14:textId="77777777" w:rsidR="00B07F21" w:rsidRPr="00B07F21" w:rsidRDefault="00B07F21" w:rsidP="00B07F21">
      <w:pPr>
        <w:keepNext/>
        <w:rPr>
          <w:b/>
          <w:sz w:val="20"/>
          <w:szCs w:val="20"/>
        </w:rPr>
      </w:pPr>
      <w:r w:rsidRPr="00B07F21">
        <w:rPr>
          <w:b/>
          <w:sz w:val="20"/>
          <w:szCs w:val="20"/>
        </w:rPr>
        <w:t>5.</w:t>
      </w:r>
      <w:r w:rsidRPr="00B07F21">
        <w:rPr>
          <w:b/>
          <w:sz w:val="20"/>
          <w:szCs w:val="20"/>
        </w:rPr>
        <w:tab/>
        <w:t>Property and Equipment</w:t>
      </w:r>
    </w:p>
    <w:p w14:paraId="1665FEE6" w14:textId="77777777" w:rsidR="00B07F21" w:rsidRPr="00B07F21" w:rsidRDefault="00B07F21" w:rsidP="00B07F21">
      <w:pPr>
        <w:rPr>
          <w:sz w:val="20"/>
          <w:szCs w:val="20"/>
        </w:rPr>
      </w:pPr>
    </w:p>
    <w:p w14:paraId="61F08064" w14:textId="77777777" w:rsidR="00B07F21" w:rsidRPr="00B07F21" w:rsidRDefault="00B07F21" w:rsidP="00B07F21">
      <w:pPr>
        <w:rPr>
          <w:sz w:val="20"/>
          <w:szCs w:val="20"/>
        </w:rPr>
      </w:pPr>
      <w:r w:rsidRPr="00B07F21">
        <w:rPr>
          <w:sz w:val="20"/>
          <w:szCs w:val="20"/>
        </w:rPr>
        <w:t>Property and equipment as shown on the accompanying Condensed Consolidated Balance Sheets is composed of the following as of March 31, 2022 and December 31, 2021:</w:t>
      </w:r>
    </w:p>
    <w:tbl>
      <w:tblPr>
        <w:tblW w:w="0" w:type="auto"/>
        <w:tblInd w:w="198" w:type="dxa"/>
        <w:tblLook w:val="04A0" w:firstRow="1" w:lastRow="0" w:firstColumn="1" w:lastColumn="0" w:noHBand="0" w:noVBand="1"/>
      </w:tblPr>
      <w:tblGrid>
        <w:gridCol w:w="5536"/>
        <w:gridCol w:w="1816"/>
        <w:gridCol w:w="1810"/>
      </w:tblGrid>
      <w:tr w:rsidR="00B07F21" w:rsidRPr="00B07F21" w14:paraId="40EA71B1" w14:textId="77777777" w:rsidTr="004F5282">
        <w:tc>
          <w:tcPr>
            <w:tcW w:w="6055" w:type="dxa"/>
          </w:tcPr>
          <w:p w14:paraId="627A5711" w14:textId="77777777" w:rsidR="00B07F21" w:rsidRPr="00B07F21" w:rsidRDefault="00B07F21" w:rsidP="00B07F21">
            <w:pPr>
              <w:rPr>
                <w:sz w:val="20"/>
                <w:szCs w:val="20"/>
              </w:rPr>
            </w:pPr>
          </w:p>
        </w:tc>
        <w:tc>
          <w:tcPr>
            <w:tcW w:w="1842" w:type="dxa"/>
            <w:tcBorders>
              <w:bottom w:val="single" w:sz="4" w:space="0" w:color="auto"/>
            </w:tcBorders>
          </w:tcPr>
          <w:p w14:paraId="0A6AFFBF" w14:textId="77777777" w:rsidR="00B07F21" w:rsidRPr="00B07F21" w:rsidRDefault="00B07F21" w:rsidP="00B07F21">
            <w:pPr>
              <w:jc w:val="center"/>
              <w:rPr>
                <w:sz w:val="20"/>
                <w:szCs w:val="20"/>
              </w:rPr>
            </w:pPr>
            <w:r w:rsidRPr="00B07F21">
              <w:rPr>
                <w:sz w:val="20"/>
                <w:szCs w:val="20"/>
              </w:rPr>
              <w:t>March 31,</w:t>
            </w:r>
          </w:p>
          <w:p w14:paraId="45E1EA53" w14:textId="77777777" w:rsidR="00B07F21" w:rsidRPr="00B07F21" w:rsidRDefault="00B07F21" w:rsidP="00B07F21">
            <w:pPr>
              <w:jc w:val="center"/>
              <w:rPr>
                <w:sz w:val="20"/>
                <w:szCs w:val="20"/>
              </w:rPr>
            </w:pPr>
            <w:r w:rsidRPr="00B07F21">
              <w:rPr>
                <w:sz w:val="20"/>
                <w:szCs w:val="20"/>
              </w:rPr>
              <w:t>2022</w:t>
            </w:r>
          </w:p>
        </w:tc>
        <w:tc>
          <w:tcPr>
            <w:tcW w:w="1841" w:type="dxa"/>
            <w:tcBorders>
              <w:bottom w:val="single" w:sz="4" w:space="0" w:color="auto"/>
            </w:tcBorders>
          </w:tcPr>
          <w:p w14:paraId="06E744E1" w14:textId="77777777" w:rsidR="00B07F21" w:rsidRPr="00B07F21" w:rsidRDefault="00B07F21" w:rsidP="00B07F21">
            <w:pPr>
              <w:jc w:val="center"/>
              <w:rPr>
                <w:sz w:val="20"/>
                <w:szCs w:val="20"/>
              </w:rPr>
            </w:pPr>
            <w:r w:rsidRPr="00B07F21">
              <w:rPr>
                <w:sz w:val="20"/>
                <w:szCs w:val="20"/>
              </w:rPr>
              <w:t>December 31,</w:t>
            </w:r>
          </w:p>
          <w:p w14:paraId="714A0D3B" w14:textId="77777777" w:rsidR="00B07F21" w:rsidRPr="00B07F21" w:rsidRDefault="00B07F21" w:rsidP="00B07F21">
            <w:pPr>
              <w:jc w:val="center"/>
              <w:rPr>
                <w:sz w:val="20"/>
                <w:szCs w:val="20"/>
              </w:rPr>
            </w:pPr>
            <w:r w:rsidRPr="00B07F21">
              <w:rPr>
                <w:sz w:val="20"/>
                <w:szCs w:val="20"/>
              </w:rPr>
              <w:t>2021</w:t>
            </w:r>
          </w:p>
        </w:tc>
      </w:tr>
      <w:tr w:rsidR="00B07F21" w:rsidRPr="00B07F21" w14:paraId="0308E587" w14:textId="77777777" w:rsidTr="004F5282">
        <w:tc>
          <w:tcPr>
            <w:tcW w:w="6055" w:type="dxa"/>
          </w:tcPr>
          <w:p w14:paraId="7D186472" w14:textId="77777777" w:rsidR="00B07F21" w:rsidRPr="00B07F21" w:rsidRDefault="00B07F21" w:rsidP="00B07F21">
            <w:pPr>
              <w:ind w:left="162"/>
              <w:rPr>
                <w:sz w:val="20"/>
                <w:szCs w:val="20"/>
              </w:rPr>
            </w:pPr>
            <w:r w:rsidRPr="00B07F21">
              <w:rPr>
                <w:sz w:val="20"/>
                <w:szCs w:val="20"/>
              </w:rPr>
              <w:t>Equipment and furnishings</w:t>
            </w:r>
          </w:p>
        </w:tc>
        <w:tc>
          <w:tcPr>
            <w:tcW w:w="1842" w:type="dxa"/>
          </w:tcPr>
          <w:p w14:paraId="2BD25EC1" w14:textId="77777777" w:rsidR="00B07F21" w:rsidRPr="00B07F21" w:rsidRDefault="00B07F21" w:rsidP="00B07F21">
            <w:pPr>
              <w:tabs>
                <w:tab w:val="decimal" w:pos="1332"/>
              </w:tabs>
              <w:rPr>
                <w:sz w:val="20"/>
                <w:szCs w:val="20"/>
              </w:rPr>
            </w:pPr>
            <w:r w:rsidRPr="00B07F21">
              <w:rPr>
                <w:sz w:val="20"/>
                <w:szCs w:val="20"/>
              </w:rPr>
              <w:t>$   653,740</w:t>
            </w:r>
          </w:p>
        </w:tc>
        <w:tc>
          <w:tcPr>
            <w:tcW w:w="1841" w:type="dxa"/>
          </w:tcPr>
          <w:p w14:paraId="4089D6F9" w14:textId="77777777" w:rsidR="00B07F21" w:rsidRPr="00B07F21" w:rsidRDefault="00B07F21" w:rsidP="00B07F21">
            <w:pPr>
              <w:tabs>
                <w:tab w:val="decimal" w:pos="1287"/>
              </w:tabs>
              <w:rPr>
                <w:sz w:val="20"/>
                <w:szCs w:val="20"/>
              </w:rPr>
            </w:pPr>
            <w:r w:rsidRPr="00B07F21">
              <w:rPr>
                <w:sz w:val="20"/>
                <w:szCs w:val="20"/>
              </w:rPr>
              <w:t>$   591,554</w:t>
            </w:r>
          </w:p>
        </w:tc>
      </w:tr>
      <w:tr w:rsidR="00B07F21" w:rsidRPr="00B07F21" w14:paraId="0DC3846B" w14:textId="77777777" w:rsidTr="004F5282">
        <w:tc>
          <w:tcPr>
            <w:tcW w:w="6055" w:type="dxa"/>
          </w:tcPr>
          <w:p w14:paraId="075A2212" w14:textId="77777777" w:rsidR="00B07F21" w:rsidRPr="00B07F21" w:rsidRDefault="00B07F21" w:rsidP="00B07F21">
            <w:pPr>
              <w:ind w:left="162"/>
              <w:rPr>
                <w:sz w:val="20"/>
                <w:szCs w:val="20"/>
              </w:rPr>
            </w:pPr>
            <w:r w:rsidRPr="00B07F21">
              <w:rPr>
                <w:sz w:val="20"/>
                <w:szCs w:val="20"/>
              </w:rPr>
              <w:t>Leasehold improvements</w:t>
            </w:r>
          </w:p>
        </w:tc>
        <w:tc>
          <w:tcPr>
            <w:tcW w:w="1842" w:type="dxa"/>
          </w:tcPr>
          <w:p w14:paraId="27D9BE98" w14:textId="77777777" w:rsidR="00B07F21" w:rsidRPr="00B07F21" w:rsidRDefault="00B07F21" w:rsidP="00B07F21">
            <w:pPr>
              <w:tabs>
                <w:tab w:val="decimal" w:pos="1332"/>
              </w:tabs>
              <w:rPr>
                <w:sz w:val="20"/>
                <w:szCs w:val="20"/>
              </w:rPr>
            </w:pPr>
            <w:r w:rsidRPr="00B07F21">
              <w:rPr>
                <w:sz w:val="20"/>
                <w:szCs w:val="20"/>
              </w:rPr>
              <w:t>115,605</w:t>
            </w:r>
          </w:p>
        </w:tc>
        <w:tc>
          <w:tcPr>
            <w:tcW w:w="1841" w:type="dxa"/>
          </w:tcPr>
          <w:p w14:paraId="6771A493" w14:textId="77777777" w:rsidR="00B07F21" w:rsidRPr="00B07F21" w:rsidRDefault="00B07F21" w:rsidP="00B07F21">
            <w:pPr>
              <w:tabs>
                <w:tab w:val="decimal" w:pos="1287"/>
              </w:tabs>
              <w:rPr>
                <w:sz w:val="20"/>
                <w:szCs w:val="20"/>
              </w:rPr>
            </w:pPr>
            <w:r w:rsidRPr="00B07F21">
              <w:rPr>
                <w:sz w:val="20"/>
                <w:szCs w:val="20"/>
              </w:rPr>
              <w:t>115,605</w:t>
            </w:r>
          </w:p>
        </w:tc>
      </w:tr>
      <w:tr w:rsidR="00B07F21" w:rsidRPr="00B07F21" w14:paraId="14672C70" w14:textId="77777777" w:rsidTr="004F5282">
        <w:tc>
          <w:tcPr>
            <w:tcW w:w="6055" w:type="dxa"/>
          </w:tcPr>
          <w:p w14:paraId="20BBB2F9" w14:textId="77777777" w:rsidR="00B07F21" w:rsidRPr="00B07F21" w:rsidRDefault="00B07F21" w:rsidP="00B07F21">
            <w:pPr>
              <w:ind w:left="162"/>
              <w:rPr>
                <w:sz w:val="20"/>
                <w:szCs w:val="20"/>
              </w:rPr>
            </w:pPr>
            <w:r w:rsidRPr="00B07F21">
              <w:rPr>
                <w:sz w:val="20"/>
                <w:szCs w:val="20"/>
              </w:rPr>
              <w:t>Total property and equipment</w:t>
            </w:r>
          </w:p>
        </w:tc>
        <w:tc>
          <w:tcPr>
            <w:tcW w:w="1842" w:type="dxa"/>
            <w:tcBorders>
              <w:top w:val="single" w:sz="4" w:space="0" w:color="auto"/>
            </w:tcBorders>
          </w:tcPr>
          <w:p w14:paraId="5BCDB37A" w14:textId="77777777" w:rsidR="00B07F21" w:rsidRPr="00B07F21" w:rsidRDefault="00B07F21" w:rsidP="00B07F21">
            <w:pPr>
              <w:tabs>
                <w:tab w:val="decimal" w:pos="1332"/>
              </w:tabs>
              <w:rPr>
                <w:sz w:val="20"/>
                <w:szCs w:val="20"/>
              </w:rPr>
            </w:pPr>
            <w:r w:rsidRPr="00B07F21">
              <w:rPr>
                <w:sz w:val="20"/>
                <w:szCs w:val="20"/>
              </w:rPr>
              <w:t>769,345</w:t>
            </w:r>
          </w:p>
        </w:tc>
        <w:tc>
          <w:tcPr>
            <w:tcW w:w="1841" w:type="dxa"/>
            <w:tcBorders>
              <w:top w:val="single" w:sz="4" w:space="0" w:color="auto"/>
            </w:tcBorders>
          </w:tcPr>
          <w:p w14:paraId="7D6B31EC" w14:textId="77777777" w:rsidR="00B07F21" w:rsidRPr="00B07F21" w:rsidRDefault="00B07F21" w:rsidP="00B07F21">
            <w:pPr>
              <w:tabs>
                <w:tab w:val="decimal" w:pos="1287"/>
              </w:tabs>
              <w:rPr>
                <w:sz w:val="20"/>
                <w:szCs w:val="20"/>
              </w:rPr>
            </w:pPr>
            <w:r w:rsidRPr="00B07F21">
              <w:rPr>
                <w:sz w:val="20"/>
                <w:szCs w:val="20"/>
              </w:rPr>
              <w:t>707,159</w:t>
            </w:r>
          </w:p>
        </w:tc>
      </w:tr>
      <w:tr w:rsidR="00B07F21" w:rsidRPr="00B07F21" w14:paraId="28B21038" w14:textId="77777777" w:rsidTr="004F5282">
        <w:tc>
          <w:tcPr>
            <w:tcW w:w="6055" w:type="dxa"/>
          </w:tcPr>
          <w:p w14:paraId="55208859" w14:textId="77777777" w:rsidR="00B07F21" w:rsidRPr="00B07F21" w:rsidRDefault="00B07F21" w:rsidP="00B07F21">
            <w:pPr>
              <w:ind w:left="162"/>
              <w:rPr>
                <w:sz w:val="20"/>
                <w:szCs w:val="20"/>
              </w:rPr>
            </w:pPr>
            <w:r w:rsidRPr="00B07F21">
              <w:rPr>
                <w:sz w:val="20"/>
                <w:szCs w:val="20"/>
              </w:rPr>
              <w:t>Accumulated depreciation and amortization</w:t>
            </w:r>
          </w:p>
        </w:tc>
        <w:tc>
          <w:tcPr>
            <w:tcW w:w="1842" w:type="dxa"/>
            <w:tcBorders>
              <w:bottom w:val="single" w:sz="4" w:space="0" w:color="auto"/>
            </w:tcBorders>
          </w:tcPr>
          <w:p w14:paraId="5C1B98FE" w14:textId="77777777" w:rsidR="00B07F21" w:rsidRPr="00B07F21" w:rsidRDefault="00B07F21" w:rsidP="00B07F21">
            <w:pPr>
              <w:tabs>
                <w:tab w:val="decimal" w:pos="1332"/>
              </w:tabs>
              <w:rPr>
                <w:sz w:val="20"/>
                <w:szCs w:val="20"/>
              </w:rPr>
            </w:pPr>
            <w:r w:rsidRPr="00B07F21">
              <w:rPr>
                <w:sz w:val="20"/>
                <w:szCs w:val="20"/>
              </w:rPr>
              <w:t>(562,490)</w:t>
            </w:r>
          </w:p>
        </w:tc>
        <w:tc>
          <w:tcPr>
            <w:tcW w:w="1841" w:type="dxa"/>
            <w:tcBorders>
              <w:bottom w:val="single" w:sz="4" w:space="0" w:color="auto"/>
            </w:tcBorders>
          </w:tcPr>
          <w:p w14:paraId="29C9403C" w14:textId="77777777" w:rsidR="00B07F21" w:rsidRPr="00B07F21" w:rsidRDefault="00B07F21" w:rsidP="00B07F21">
            <w:pPr>
              <w:tabs>
                <w:tab w:val="decimal" w:pos="1287"/>
              </w:tabs>
              <w:rPr>
                <w:sz w:val="20"/>
                <w:szCs w:val="20"/>
              </w:rPr>
            </w:pPr>
            <w:r w:rsidRPr="00B07F21">
              <w:rPr>
                <w:sz w:val="20"/>
                <w:szCs w:val="20"/>
              </w:rPr>
              <w:t>(550,221)</w:t>
            </w:r>
          </w:p>
        </w:tc>
      </w:tr>
      <w:tr w:rsidR="00B07F21" w:rsidRPr="00B07F21" w14:paraId="7EE8E650" w14:textId="77777777" w:rsidTr="004F5282">
        <w:tc>
          <w:tcPr>
            <w:tcW w:w="6055" w:type="dxa"/>
          </w:tcPr>
          <w:p w14:paraId="522506B0" w14:textId="77777777" w:rsidR="00B07F21" w:rsidRPr="00B07F21" w:rsidRDefault="00B07F21" w:rsidP="00B07F21">
            <w:pPr>
              <w:ind w:left="162"/>
              <w:rPr>
                <w:sz w:val="20"/>
                <w:szCs w:val="20"/>
              </w:rPr>
            </w:pPr>
            <w:r w:rsidRPr="00B07F21">
              <w:rPr>
                <w:sz w:val="20"/>
                <w:szCs w:val="20"/>
              </w:rPr>
              <w:t>Property and equipment, net</w:t>
            </w:r>
          </w:p>
        </w:tc>
        <w:tc>
          <w:tcPr>
            <w:tcW w:w="1842" w:type="dxa"/>
            <w:tcBorders>
              <w:top w:val="single" w:sz="4" w:space="0" w:color="auto"/>
              <w:bottom w:val="double" w:sz="4" w:space="0" w:color="auto"/>
            </w:tcBorders>
          </w:tcPr>
          <w:p w14:paraId="717E7FAD" w14:textId="77777777" w:rsidR="00B07F21" w:rsidRPr="00B07F21" w:rsidRDefault="00B07F21" w:rsidP="00B07F21">
            <w:pPr>
              <w:tabs>
                <w:tab w:val="decimal" w:pos="1332"/>
              </w:tabs>
              <w:rPr>
                <w:sz w:val="20"/>
                <w:szCs w:val="20"/>
              </w:rPr>
            </w:pPr>
            <w:r w:rsidRPr="00B07F21">
              <w:rPr>
                <w:sz w:val="20"/>
                <w:szCs w:val="20"/>
              </w:rPr>
              <w:t>$   206,855</w:t>
            </w:r>
          </w:p>
        </w:tc>
        <w:tc>
          <w:tcPr>
            <w:tcW w:w="1841" w:type="dxa"/>
            <w:tcBorders>
              <w:top w:val="single" w:sz="4" w:space="0" w:color="auto"/>
              <w:bottom w:val="double" w:sz="4" w:space="0" w:color="auto"/>
            </w:tcBorders>
          </w:tcPr>
          <w:p w14:paraId="1CF505B6" w14:textId="77777777" w:rsidR="00B07F21" w:rsidRPr="00B07F21" w:rsidRDefault="00B07F21" w:rsidP="00B07F21">
            <w:pPr>
              <w:tabs>
                <w:tab w:val="decimal" w:pos="1287"/>
              </w:tabs>
              <w:rPr>
                <w:sz w:val="20"/>
                <w:szCs w:val="20"/>
              </w:rPr>
            </w:pPr>
            <w:r w:rsidRPr="00B07F21">
              <w:rPr>
                <w:sz w:val="20"/>
                <w:szCs w:val="20"/>
              </w:rPr>
              <w:t>$   156,938</w:t>
            </w:r>
          </w:p>
        </w:tc>
      </w:tr>
    </w:tbl>
    <w:p w14:paraId="47D88B0A" w14:textId="77777777" w:rsidR="00B07F21" w:rsidRPr="00B07F21" w:rsidRDefault="00B07F21" w:rsidP="00B07F21">
      <w:pPr>
        <w:rPr>
          <w:sz w:val="20"/>
          <w:szCs w:val="20"/>
        </w:rPr>
      </w:pPr>
    </w:p>
    <w:p w14:paraId="595AE1C3" w14:textId="77777777" w:rsidR="00B07F21" w:rsidRPr="00B07F21" w:rsidRDefault="00B07F21" w:rsidP="00B07F21">
      <w:pPr>
        <w:keepNext/>
        <w:rPr>
          <w:b/>
          <w:sz w:val="20"/>
          <w:szCs w:val="20"/>
        </w:rPr>
      </w:pPr>
      <w:r w:rsidRPr="00B07F21">
        <w:rPr>
          <w:b/>
          <w:sz w:val="20"/>
          <w:szCs w:val="20"/>
        </w:rPr>
        <w:t>6.</w:t>
      </w:r>
      <w:r w:rsidRPr="00B07F21">
        <w:rPr>
          <w:b/>
          <w:sz w:val="20"/>
          <w:szCs w:val="20"/>
        </w:rPr>
        <w:tab/>
        <w:t>Accrued Expenses</w:t>
      </w:r>
    </w:p>
    <w:p w14:paraId="0E93DB99" w14:textId="77777777" w:rsidR="00B07F21" w:rsidRPr="00B07F21" w:rsidRDefault="00B07F21" w:rsidP="00B07F21">
      <w:pPr>
        <w:rPr>
          <w:sz w:val="20"/>
          <w:szCs w:val="20"/>
        </w:rPr>
      </w:pPr>
    </w:p>
    <w:p w14:paraId="595C2352" w14:textId="77777777" w:rsidR="00B07F21" w:rsidRPr="00B07F21" w:rsidRDefault="00B07F21" w:rsidP="00B07F21">
      <w:pPr>
        <w:rPr>
          <w:sz w:val="20"/>
          <w:szCs w:val="20"/>
        </w:rPr>
      </w:pPr>
      <w:r w:rsidRPr="00B07F21">
        <w:rPr>
          <w:sz w:val="20"/>
          <w:szCs w:val="20"/>
        </w:rPr>
        <w:t>Accrued expenses as shown on the accompanying Condensed Consolidated Balance Sheets are composed of the following as of March 31, 2022 and December 31, 2021:</w:t>
      </w:r>
    </w:p>
    <w:tbl>
      <w:tblPr>
        <w:tblW w:w="0" w:type="auto"/>
        <w:tblInd w:w="198" w:type="dxa"/>
        <w:tblLook w:val="04A0" w:firstRow="1" w:lastRow="0" w:firstColumn="1" w:lastColumn="0" w:noHBand="0" w:noVBand="1"/>
      </w:tblPr>
      <w:tblGrid>
        <w:gridCol w:w="5569"/>
        <w:gridCol w:w="1799"/>
        <w:gridCol w:w="1794"/>
      </w:tblGrid>
      <w:tr w:rsidR="00B07F21" w:rsidRPr="00B07F21" w14:paraId="5970233C" w14:textId="77777777" w:rsidTr="004F5282">
        <w:tc>
          <w:tcPr>
            <w:tcW w:w="6055" w:type="dxa"/>
          </w:tcPr>
          <w:p w14:paraId="3EC3D71B" w14:textId="77777777" w:rsidR="00B07F21" w:rsidRPr="00B07F21" w:rsidRDefault="00B07F21" w:rsidP="00B07F21">
            <w:pPr>
              <w:rPr>
                <w:sz w:val="20"/>
                <w:szCs w:val="20"/>
              </w:rPr>
            </w:pPr>
          </w:p>
        </w:tc>
        <w:tc>
          <w:tcPr>
            <w:tcW w:w="1842" w:type="dxa"/>
            <w:tcBorders>
              <w:bottom w:val="single" w:sz="4" w:space="0" w:color="auto"/>
            </w:tcBorders>
          </w:tcPr>
          <w:p w14:paraId="7A200A3C" w14:textId="77777777" w:rsidR="00B07F21" w:rsidRPr="00B07F21" w:rsidRDefault="00B07F21" w:rsidP="00B07F21">
            <w:pPr>
              <w:jc w:val="center"/>
              <w:rPr>
                <w:sz w:val="20"/>
                <w:szCs w:val="20"/>
              </w:rPr>
            </w:pPr>
            <w:r w:rsidRPr="00B07F21">
              <w:rPr>
                <w:sz w:val="20"/>
                <w:szCs w:val="20"/>
              </w:rPr>
              <w:t>March 31,</w:t>
            </w:r>
          </w:p>
          <w:p w14:paraId="3A35A16C" w14:textId="77777777" w:rsidR="00B07F21" w:rsidRPr="00B07F21" w:rsidRDefault="00B07F21" w:rsidP="00B07F21">
            <w:pPr>
              <w:jc w:val="center"/>
              <w:rPr>
                <w:sz w:val="20"/>
                <w:szCs w:val="20"/>
              </w:rPr>
            </w:pPr>
            <w:r w:rsidRPr="00B07F21">
              <w:rPr>
                <w:sz w:val="20"/>
                <w:szCs w:val="20"/>
              </w:rPr>
              <w:t>2022</w:t>
            </w:r>
          </w:p>
        </w:tc>
        <w:tc>
          <w:tcPr>
            <w:tcW w:w="1841" w:type="dxa"/>
            <w:tcBorders>
              <w:bottom w:val="single" w:sz="4" w:space="0" w:color="auto"/>
            </w:tcBorders>
          </w:tcPr>
          <w:p w14:paraId="367E8F5E" w14:textId="77777777" w:rsidR="00B07F21" w:rsidRPr="00B07F21" w:rsidRDefault="00B07F21" w:rsidP="00B07F21">
            <w:pPr>
              <w:jc w:val="center"/>
              <w:rPr>
                <w:sz w:val="20"/>
                <w:szCs w:val="20"/>
              </w:rPr>
            </w:pPr>
            <w:r w:rsidRPr="00B07F21">
              <w:rPr>
                <w:sz w:val="20"/>
                <w:szCs w:val="20"/>
              </w:rPr>
              <w:t>December 31,</w:t>
            </w:r>
          </w:p>
          <w:p w14:paraId="304EC88A" w14:textId="77777777" w:rsidR="00B07F21" w:rsidRPr="00B07F21" w:rsidRDefault="00B07F21" w:rsidP="00B07F21">
            <w:pPr>
              <w:jc w:val="center"/>
              <w:rPr>
                <w:sz w:val="20"/>
                <w:szCs w:val="20"/>
              </w:rPr>
            </w:pPr>
            <w:r w:rsidRPr="00B07F21">
              <w:rPr>
                <w:sz w:val="20"/>
                <w:szCs w:val="20"/>
              </w:rPr>
              <w:t>2021</w:t>
            </w:r>
          </w:p>
        </w:tc>
      </w:tr>
      <w:tr w:rsidR="00B07F21" w:rsidRPr="00B07F21" w14:paraId="3509A341" w14:textId="77777777" w:rsidTr="004F5282">
        <w:tc>
          <w:tcPr>
            <w:tcW w:w="6055" w:type="dxa"/>
          </w:tcPr>
          <w:p w14:paraId="3E048B1D" w14:textId="77777777" w:rsidR="00B07F21" w:rsidRPr="00B07F21" w:rsidRDefault="00B07F21" w:rsidP="00B07F21">
            <w:pPr>
              <w:ind w:left="162"/>
              <w:rPr>
                <w:sz w:val="20"/>
                <w:szCs w:val="20"/>
              </w:rPr>
            </w:pPr>
            <w:r w:rsidRPr="00B07F21">
              <w:rPr>
                <w:sz w:val="20"/>
                <w:szCs w:val="20"/>
              </w:rPr>
              <w:t>Accrued license fees – current</w:t>
            </w:r>
          </w:p>
        </w:tc>
        <w:tc>
          <w:tcPr>
            <w:tcW w:w="1842" w:type="dxa"/>
          </w:tcPr>
          <w:p w14:paraId="4F59BAF7" w14:textId="77777777" w:rsidR="00B07F21" w:rsidRPr="00B07F21" w:rsidRDefault="00B07F21" w:rsidP="00B07F21">
            <w:pPr>
              <w:tabs>
                <w:tab w:val="decimal" w:pos="1199"/>
              </w:tabs>
              <w:rPr>
                <w:sz w:val="20"/>
                <w:szCs w:val="20"/>
              </w:rPr>
            </w:pPr>
            <w:r w:rsidRPr="00B07F21">
              <w:rPr>
                <w:sz w:val="20"/>
                <w:szCs w:val="20"/>
              </w:rPr>
              <w:t>$ 3,000,000</w:t>
            </w:r>
          </w:p>
        </w:tc>
        <w:tc>
          <w:tcPr>
            <w:tcW w:w="1841" w:type="dxa"/>
          </w:tcPr>
          <w:p w14:paraId="406670FE" w14:textId="77777777" w:rsidR="00B07F21" w:rsidRPr="00B07F21" w:rsidRDefault="00B07F21" w:rsidP="00B07F21">
            <w:pPr>
              <w:tabs>
                <w:tab w:val="decimal" w:pos="1157"/>
              </w:tabs>
              <w:rPr>
                <w:sz w:val="20"/>
                <w:szCs w:val="20"/>
              </w:rPr>
            </w:pPr>
            <w:r w:rsidRPr="00B07F21">
              <w:rPr>
                <w:sz w:val="20"/>
                <w:szCs w:val="20"/>
              </w:rPr>
              <w:t>$ 3,000,000</w:t>
            </w:r>
          </w:p>
        </w:tc>
      </w:tr>
      <w:tr w:rsidR="00B07F21" w:rsidRPr="00B07F21" w14:paraId="7CF36E63" w14:textId="77777777" w:rsidTr="004F5282">
        <w:tc>
          <w:tcPr>
            <w:tcW w:w="6055" w:type="dxa"/>
          </w:tcPr>
          <w:p w14:paraId="4DC8CC6E" w14:textId="77777777" w:rsidR="00B07F21" w:rsidRPr="00B07F21" w:rsidRDefault="00B07F21" w:rsidP="00B07F21">
            <w:pPr>
              <w:ind w:left="162"/>
              <w:rPr>
                <w:sz w:val="20"/>
                <w:szCs w:val="20"/>
              </w:rPr>
            </w:pPr>
            <w:r w:rsidRPr="00B07F21">
              <w:rPr>
                <w:sz w:val="20"/>
                <w:szCs w:val="20"/>
              </w:rPr>
              <w:t>Accrued license fees – noncurrent</w:t>
            </w:r>
          </w:p>
        </w:tc>
        <w:tc>
          <w:tcPr>
            <w:tcW w:w="1842" w:type="dxa"/>
          </w:tcPr>
          <w:p w14:paraId="2B576D4E" w14:textId="77777777" w:rsidR="00B07F21" w:rsidRPr="00B07F21" w:rsidRDefault="00B07F21" w:rsidP="00B07F21">
            <w:pPr>
              <w:tabs>
                <w:tab w:val="decimal" w:pos="1199"/>
              </w:tabs>
              <w:rPr>
                <w:sz w:val="20"/>
                <w:szCs w:val="20"/>
              </w:rPr>
            </w:pPr>
            <w:r w:rsidRPr="00B07F21">
              <w:rPr>
                <w:sz w:val="20"/>
                <w:szCs w:val="20"/>
              </w:rPr>
              <w:t>2,000,000</w:t>
            </w:r>
          </w:p>
        </w:tc>
        <w:tc>
          <w:tcPr>
            <w:tcW w:w="1841" w:type="dxa"/>
          </w:tcPr>
          <w:p w14:paraId="54091EE7" w14:textId="77777777" w:rsidR="00B07F21" w:rsidRPr="00B07F21" w:rsidRDefault="00B07F21" w:rsidP="00B07F21">
            <w:pPr>
              <w:tabs>
                <w:tab w:val="decimal" w:pos="1157"/>
              </w:tabs>
              <w:rPr>
                <w:sz w:val="20"/>
                <w:szCs w:val="20"/>
              </w:rPr>
            </w:pPr>
            <w:r w:rsidRPr="00B07F21">
              <w:rPr>
                <w:sz w:val="20"/>
                <w:szCs w:val="20"/>
              </w:rPr>
              <w:t>2,000,000</w:t>
            </w:r>
          </w:p>
        </w:tc>
      </w:tr>
      <w:tr w:rsidR="00B07F21" w:rsidRPr="00B07F21" w14:paraId="1677AC26" w14:textId="77777777" w:rsidTr="004F5282">
        <w:tc>
          <w:tcPr>
            <w:tcW w:w="6055" w:type="dxa"/>
          </w:tcPr>
          <w:p w14:paraId="21DED071" w14:textId="77777777" w:rsidR="00B07F21" w:rsidRPr="00B07F21" w:rsidRDefault="00B07F21" w:rsidP="00B07F21">
            <w:pPr>
              <w:ind w:left="162"/>
              <w:rPr>
                <w:sz w:val="20"/>
                <w:szCs w:val="20"/>
              </w:rPr>
            </w:pPr>
            <w:r w:rsidRPr="00B07F21">
              <w:rPr>
                <w:sz w:val="20"/>
                <w:szCs w:val="20"/>
              </w:rPr>
              <w:t>Accrued payroll</w:t>
            </w:r>
          </w:p>
        </w:tc>
        <w:tc>
          <w:tcPr>
            <w:tcW w:w="1842" w:type="dxa"/>
          </w:tcPr>
          <w:p w14:paraId="7BEF37EB" w14:textId="77777777" w:rsidR="00B07F21" w:rsidRPr="00B07F21" w:rsidRDefault="00B07F21" w:rsidP="00B07F21">
            <w:pPr>
              <w:tabs>
                <w:tab w:val="decimal" w:pos="1199"/>
              </w:tabs>
              <w:rPr>
                <w:sz w:val="20"/>
                <w:szCs w:val="20"/>
              </w:rPr>
            </w:pPr>
            <w:r w:rsidRPr="00B07F21">
              <w:rPr>
                <w:sz w:val="20"/>
                <w:szCs w:val="20"/>
              </w:rPr>
              <w:t>-</w:t>
            </w:r>
          </w:p>
        </w:tc>
        <w:tc>
          <w:tcPr>
            <w:tcW w:w="1841" w:type="dxa"/>
          </w:tcPr>
          <w:p w14:paraId="23412D68" w14:textId="77777777" w:rsidR="00B07F21" w:rsidRPr="00B07F21" w:rsidRDefault="00B07F21" w:rsidP="00B07F21">
            <w:pPr>
              <w:tabs>
                <w:tab w:val="decimal" w:pos="1157"/>
              </w:tabs>
              <w:rPr>
                <w:sz w:val="20"/>
                <w:szCs w:val="20"/>
              </w:rPr>
            </w:pPr>
            <w:r w:rsidRPr="00B07F21">
              <w:rPr>
                <w:sz w:val="20"/>
                <w:szCs w:val="20"/>
              </w:rPr>
              <w:t>269,000</w:t>
            </w:r>
          </w:p>
        </w:tc>
      </w:tr>
      <w:tr w:rsidR="00B07F21" w:rsidRPr="00B07F21" w14:paraId="1E77614B" w14:textId="77777777" w:rsidTr="004F5282">
        <w:tc>
          <w:tcPr>
            <w:tcW w:w="6055" w:type="dxa"/>
          </w:tcPr>
          <w:p w14:paraId="0813FE95" w14:textId="77777777" w:rsidR="00B07F21" w:rsidRPr="00B07F21" w:rsidRDefault="00B07F21" w:rsidP="00B07F21">
            <w:pPr>
              <w:ind w:left="162"/>
              <w:rPr>
                <w:sz w:val="20"/>
                <w:szCs w:val="20"/>
              </w:rPr>
            </w:pPr>
            <w:r w:rsidRPr="00B07F21">
              <w:rPr>
                <w:sz w:val="20"/>
                <w:szCs w:val="20"/>
              </w:rPr>
              <w:t>Other accrued expenses</w:t>
            </w:r>
          </w:p>
        </w:tc>
        <w:tc>
          <w:tcPr>
            <w:tcW w:w="1842" w:type="dxa"/>
            <w:tcBorders>
              <w:bottom w:val="single" w:sz="4" w:space="0" w:color="auto"/>
            </w:tcBorders>
          </w:tcPr>
          <w:p w14:paraId="021A4644" w14:textId="77777777" w:rsidR="00B07F21" w:rsidRPr="00B07F21" w:rsidRDefault="00B07F21" w:rsidP="00B07F21">
            <w:pPr>
              <w:tabs>
                <w:tab w:val="decimal" w:pos="1199"/>
              </w:tabs>
              <w:rPr>
                <w:sz w:val="20"/>
                <w:szCs w:val="20"/>
              </w:rPr>
            </w:pPr>
            <w:r w:rsidRPr="00B07F21">
              <w:rPr>
                <w:sz w:val="20"/>
                <w:szCs w:val="20"/>
              </w:rPr>
              <w:t>75,000</w:t>
            </w:r>
          </w:p>
        </w:tc>
        <w:tc>
          <w:tcPr>
            <w:tcW w:w="1841" w:type="dxa"/>
            <w:tcBorders>
              <w:bottom w:val="single" w:sz="4" w:space="0" w:color="auto"/>
            </w:tcBorders>
          </w:tcPr>
          <w:p w14:paraId="450651A8" w14:textId="77777777" w:rsidR="00B07F21" w:rsidRPr="00B07F21" w:rsidRDefault="00B07F21" w:rsidP="00B07F21">
            <w:pPr>
              <w:tabs>
                <w:tab w:val="decimal" w:pos="1157"/>
              </w:tabs>
              <w:rPr>
                <w:sz w:val="20"/>
                <w:szCs w:val="20"/>
              </w:rPr>
            </w:pPr>
            <w:r w:rsidRPr="00B07F21">
              <w:rPr>
                <w:sz w:val="20"/>
                <w:szCs w:val="20"/>
              </w:rPr>
              <w:t>108,826</w:t>
            </w:r>
          </w:p>
        </w:tc>
      </w:tr>
      <w:tr w:rsidR="00B07F21" w:rsidRPr="00B07F21" w14:paraId="6B8C2B91" w14:textId="77777777" w:rsidTr="004F5282">
        <w:tc>
          <w:tcPr>
            <w:tcW w:w="6055" w:type="dxa"/>
          </w:tcPr>
          <w:p w14:paraId="64DC3AC2" w14:textId="77777777" w:rsidR="00B07F21" w:rsidRPr="00B07F21" w:rsidRDefault="00B07F21" w:rsidP="00B07F21">
            <w:pPr>
              <w:ind w:left="162"/>
              <w:rPr>
                <w:sz w:val="20"/>
                <w:szCs w:val="20"/>
              </w:rPr>
            </w:pPr>
            <w:r w:rsidRPr="00B07F21">
              <w:rPr>
                <w:sz w:val="20"/>
                <w:szCs w:val="20"/>
              </w:rPr>
              <w:t>Total accrued expenses</w:t>
            </w:r>
          </w:p>
        </w:tc>
        <w:tc>
          <w:tcPr>
            <w:tcW w:w="1842" w:type="dxa"/>
            <w:tcBorders>
              <w:top w:val="single" w:sz="4" w:space="0" w:color="auto"/>
              <w:bottom w:val="double" w:sz="4" w:space="0" w:color="auto"/>
            </w:tcBorders>
          </w:tcPr>
          <w:p w14:paraId="6FC70D60" w14:textId="77777777" w:rsidR="00B07F21" w:rsidRPr="00B07F21" w:rsidRDefault="00B07F21" w:rsidP="00B07F21">
            <w:pPr>
              <w:tabs>
                <w:tab w:val="decimal" w:pos="1199"/>
              </w:tabs>
              <w:rPr>
                <w:sz w:val="20"/>
                <w:szCs w:val="20"/>
              </w:rPr>
            </w:pPr>
            <w:r w:rsidRPr="00B07F21">
              <w:rPr>
                <w:sz w:val="20"/>
                <w:szCs w:val="20"/>
              </w:rPr>
              <w:t>$ 5,075,000</w:t>
            </w:r>
          </w:p>
        </w:tc>
        <w:tc>
          <w:tcPr>
            <w:tcW w:w="1841" w:type="dxa"/>
            <w:tcBorders>
              <w:top w:val="single" w:sz="4" w:space="0" w:color="auto"/>
              <w:bottom w:val="double" w:sz="4" w:space="0" w:color="auto"/>
            </w:tcBorders>
          </w:tcPr>
          <w:p w14:paraId="4259011A" w14:textId="77777777" w:rsidR="00B07F21" w:rsidRPr="00B07F21" w:rsidRDefault="00B07F21" w:rsidP="00B07F21">
            <w:pPr>
              <w:tabs>
                <w:tab w:val="decimal" w:pos="1157"/>
              </w:tabs>
              <w:rPr>
                <w:sz w:val="20"/>
                <w:szCs w:val="20"/>
              </w:rPr>
            </w:pPr>
            <w:r w:rsidRPr="00B07F21">
              <w:rPr>
                <w:sz w:val="20"/>
                <w:szCs w:val="20"/>
              </w:rPr>
              <w:t>$ 5,377,826</w:t>
            </w:r>
          </w:p>
        </w:tc>
      </w:tr>
    </w:tbl>
    <w:p w14:paraId="7B7053CE" w14:textId="77777777" w:rsidR="00B07F21" w:rsidRPr="00B07F21" w:rsidRDefault="00B07F21" w:rsidP="00B07F21">
      <w:pPr>
        <w:rPr>
          <w:sz w:val="20"/>
          <w:szCs w:val="20"/>
        </w:rPr>
      </w:pPr>
    </w:p>
    <w:p w14:paraId="1F4C090A" w14:textId="77777777" w:rsidR="00B07F21" w:rsidRPr="00B07F21" w:rsidRDefault="00B07F21" w:rsidP="00B07F21">
      <w:pPr>
        <w:keepNext/>
        <w:rPr>
          <w:b/>
          <w:sz w:val="20"/>
          <w:szCs w:val="20"/>
        </w:rPr>
      </w:pPr>
      <w:r w:rsidRPr="00B07F21">
        <w:rPr>
          <w:b/>
          <w:sz w:val="20"/>
          <w:szCs w:val="20"/>
        </w:rPr>
        <w:t>7.</w:t>
      </w:r>
      <w:r w:rsidRPr="00B07F21">
        <w:rPr>
          <w:b/>
          <w:sz w:val="20"/>
          <w:szCs w:val="20"/>
        </w:rPr>
        <w:tab/>
        <w:t>Commitments</w:t>
      </w:r>
    </w:p>
    <w:p w14:paraId="43037A35" w14:textId="77777777" w:rsidR="00B07F21" w:rsidRPr="00B07F21" w:rsidRDefault="00B07F21" w:rsidP="00B07F21">
      <w:pPr>
        <w:rPr>
          <w:sz w:val="20"/>
          <w:szCs w:val="20"/>
        </w:rPr>
      </w:pPr>
    </w:p>
    <w:p w14:paraId="77741838" w14:textId="77777777" w:rsidR="00B07F21" w:rsidRPr="00B07F21" w:rsidRDefault="00B07F21" w:rsidP="00B07F21">
      <w:pPr>
        <w:rPr>
          <w:bCs/>
          <w:i/>
          <w:sz w:val="20"/>
          <w:szCs w:val="20"/>
        </w:rPr>
      </w:pPr>
      <w:r w:rsidRPr="00B07F21">
        <w:rPr>
          <w:i/>
          <w:sz w:val="20"/>
          <w:szCs w:val="20"/>
        </w:rPr>
        <w:t>Operating Lease</w:t>
      </w:r>
    </w:p>
    <w:p w14:paraId="3BD21BCC" w14:textId="77777777" w:rsidR="00B07F21" w:rsidRPr="00B07F21" w:rsidRDefault="00B07F21" w:rsidP="00B07F21">
      <w:pPr>
        <w:rPr>
          <w:sz w:val="20"/>
          <w:szCs w:val="20"/>
        </w:rPr>
      </w:pPr>
    </w:p>
    <w:p w14:paraId="068139E7" w14:textId="77777777" w:rsidR="00B07F21" w:rsidRPr="00B07F21" w:rsidRDefault="00B07F21" w:rsidP="00B07F21">
      <w:pPr>
        <w:rPr>
          <w:sz w:val="20"/>
          <w:szCs w:val="20"/>
        </w:rPr>
      </w:pPr>
      <w:r w:rsidRPr="00B07F21">
        <w:rPr>
          <w:sz w:val="20"/>
          <w:szCs w:val="20"/>
        </w:rPr>
        <w:t xml:space="preserve">We lease approximately 8,400 square feet of office and laboratory space pursuant to an operating lease which expires on December 31, 2022. Rent expense </w:t>
      </w:r>
      <w:r w:rsidRPr="00B07F21">
        <w:rPr>
          <w:rFonts w:ascii="CG Times (WN)" w:hAnsi="CG Times (WN)"/>
          <w:sz w:val="20"/>
          <w:szCs w:val="20"/>
        </w:rPr>
        <w:t>for the three-month periods ended March 31, 2022 and 2021 was $44,089 and $42,803, respectively</w:t>
      </w:r>
      <w:r w:rsidRPr="00B07F21">
        <w:rPr>
          <w:sz w:val="20"/>
          <w:szCs w:val="20"/>
        </w:rPr>
        <w:t>. Future minimum lease payments total $132,267 in 2022, although the lease may be terminated at any time by either party with ninety days written notice.</w:t>
      </w:r>
    </w:p>
    <w:p w14:paraId="26970FC3" w14:textId="77777777" w:rsidR="00B07F21" w:rsidRPr="00B07F21" w:rsidRDefault="00B07F21" w:rsidP="00B07F21">
      <w:pPr>
        <w:rPr>
          <w:bCs/>
          <w:sz w:val="20"/>
          <w:szCs w:val="20"/>
        </w:rPr>
      </w:pPr>
    </w:p>
    <w:p w14:paraId="0C447233" w14:textId="77777777" w:rsidR="00B07F21" w:rsidRPr="00B07F21" w:rsidRDefault="00B07F21" w:rsidP="00B07F21">
      <w:pPr>
        <w:rPr>
          <w:bCs/>
          <w:i/>
          <w:iCs/>
          <w:sz w:val="20"/>
          <w:szCs w:val="20"/>
        </w:rPr>
      </w:pPr>
      <w:r w:rsidRPr="00B07F21">
        <w:rPr>
          <w:bCs/>
          <w:i/>
          <w:iCs/>
          <w:sz w:val="20"/>
          <w:szCs w:val="20"/>
        </w:rPr>
        <w:t>License Agreements</w:t>
      </w:r>
    </w:p>
    <w:p w14:paraId="38DDD782" w14:textId="77777777" w:rsidR="00B07F21" w:rsidRPr="00B07F21" w:rsidRDefault="00B07F21" w:rsidP="00B07F21">
      <w:pPr>
        <w:rPr>
          <w:bCs/>
          <w:sz w:val="20"/>
          <w:szCs w:val="20"/>
        </w:rPr>
      </w:pPr>
    </w:p>
    <w:p w14:paraId="31A16CEB" w14:textId="77777777" w:rsidR="00B07F21" w:rsidRPr="00B07F21" w:rsidRDefault="00B07F21" w:rsidP="00B07F21">
      <w:pPr>
        <w:rPr>
          <w:bCs/>
          <w:sz w:val="20"/>
          <w:szCs w:val="20"/>
        </w:rPr>
      </w:pPr>
      <w:r w:rsidRPr="00B07F21">
        <w:rPr>
          <w:bCs/>
          <w:sz w:val="20"/>
          <w:szCs w:val="20"/>
        </w:rPr>
        <w:t xml:space="preserve">We have entered into license agreements with City of Hope, PNP Therapeutics, Inc., University of Alabama at Birmingham, Southern Research Institute, Emory University, and with </w:t>
      </w:r>
      <w:r w:rsidRPr="00B07F21">
        <w:rPr>
          <w:sz w:val="20"/>
          <w:szCs w:val="20"/>
        </w:rPr>
        <w:t xml:space="preserve">the U.S. Department of Health and Human Services (HHS), as represented by National Institute of Allergy and Infectious Diseases (NIAID), an institute of the National Institutes of Health (NIH), for various technologies and patent rights associated with our product development activities. These agreements may contain provisions for upfront payments, milestone fees </w:t>
      </w:r>
      <w:r w:rsidRPr="00B07F21">
        <w:rPr>
          <w:bCs/>
          <w:sz w:val="20"/>
          <w:szCs w:val="20"/>
        </w:rPr>
        <w:t xml:space="preserve">due upon the achievement of selected development and regulatory events, minimum annual royalties or other fees, </w:t>
      </w:r>
      <w:r w:rsidRPr="00B07F21">
        <w:rPr>
          <w:sz w:val="20"/>
          <w:szCs w:val="20"/>
        </w:rPr>
        <w:t>and royalties based on future net sales. Aggregate unrecorded future minimum payments under these agreements (excluding milestone and royalty payments due upon contingent future events) are approximately $149,000 in 2022, $128,000 in 2023, $128,000 in 2024, $28,000 in 2025 and $28,000 in 2026.</w:t>
      </w:r>
    </w:p>
    <w:p w14:paraId="18DC5348" w14:textId="77777777" w:rsidR="00B07F21" w:rsidRPr="00B07F21" w:rsidRDefault="00B07F21" w:rsidP="00B07F21">
      <w:pPr>
        <w:rPr>
          <w:bCs/>
          <w:sz w:val="20"/>
          <w:szCs w:val="20"/>
        </w:rPr>
      </w:pPr>
    </w:p>
    <w:p w14:paraId="5773B7D0" w14:textId="77777777" w:rsidR="00B07F21" w:rsidRPr="00B07F21" w:rsidRDefault="00B07F21" w:rsidP="00B07F21">
      <w:pPr>
        <w:rPr>
          <w:bCs/>
          <w:i/>
          <w:sz w:val="20"/>
          <w:szCs w:val="20"/>
        </w:rPr>
      </w:pPr>
      <w:r w:rsidRPr="00B07F21">
        <w:rPr>
          <w:bCs/>
          <w:i/>
          <w:sz w:val="20"/>
          <w:szCs w:val="20"/>
        </w:rPr>
        <w:t>Other Commitments</w:t>
      </w:r>
    </w:p>
    <w:p w14:paraId="0D5F8B6B" w14:textId="77777777" w:rsidR="00B07F21" w:rsidRPr="00B07F21" w:rsidRDefault="00B07F21" w:rsidP="00B07F21">
      <w:pPr>
        <w:rPr>
          <w:sz w:val="20"/>
          <w:szCs w:val="20"/>
        </w:rPr>
      </w:pPr>
    </w:p>
    <w:p w14:paraId="25744E15" w14:textId="77777777" w:rsidR="00B07F21" w:rsidRPr="00B07F21" w:rsidRDefault="00B07F21" w:rsidP="00B07F21">
      <w:pPr>
        <w:rPr>
          <w:sz w:val="20"/>
          <w:szCs w:val="20"/>
        </w:rPr>
      </w:pPr>
      <w:r w:rsidRPr="00B07F21">
        <w:rPr>
          <w:sz w:val="20"/>
          <w:szCs w:val="20"/>
        </w:rPr>
        <w:t xml:space="preserve">In the normal course of business, we enter into various firm purchase commitments related to production and testing of our vaccine, conduct of clinical trials and preclinical research studies, and other activities. As of March 31, 2022, there are approximately $2.2 million of unrecorded outstanding purchase commitments to our vendors and subcontractors, all of which we expect will be due in 2022. </w:t>
      </w:r>
    </w:p>
    <w:p w14:paraId="79E436AB" w14:textId="77777777" w:rsidR="00B07F21" w:rsidRPr="00B07F21" w:rsidRDefault="00B07F21" w:rsidP="00B07F21">
      <w:pPr>
        <w:rPr>
          <w:sz w:val="20"/>
          <w:szCs w:val="20"/>
        </w:rPr>
      </w:pPr>
    </w:p>
    <w:p w14:paraId="01E6FD83" w14:textId="77777777" w:rsidR="00B07F21" w:rsidRDefault="00B07F21">
      <w:pPr>
        <w:rPr>
          <w:b/>
          <w:sz w:val="20"/>
          <w:szCs w:val="20"/>
        </w:rPr>
      </w:pPr>
      <w:r>
        <w:rPr>
          <w:b/>
          <w:sz w:val="20"/>
          <w:szCs w:val="20"/>
        </w:rPr>
        <w:br w:type="page"/>
      </w:r>
    </w:p>
    <w:p w14:paraId="4312436B" w14:textId="7E46EC5F" w:rsidR="00B07F21" w:rsidRPr="00B07F21" w:rsidRDefault="00B07F21" w:rsidP="00B07F21">
      <w:pPr>
        <w:keepNext/>
        <w:rPr>
          <w:b/>
          <w:sz w:val="20"/>
          <w:szCs w:val="20"/>
        </w:rPr>
      </w:pPr>
      <w:r w:rsidRPr="00B07F21">
        <w:rPr>
          <w:b/>
          <w:sz w:val="20"/>
          <w:szCs w:val="20"/>
        </w:rPr>
        <w:lastRenderedPageBreak/>
        <w:t>8.</w:t>
      </w:r>
      <w:r w:rsidRPr="00B07F21">
        <w:rPr>
          <w:b/>
          <w:sz w:val="20"/>
          <w:szCs w:val="20"/>
        </w:rPr>
        <w:tab/>
        <w:t>Stockholders’ Equity</w:t>
      </w:r>
    </w:p>
    <w:p w14:paraId="2EB13F1B" w14:textId="77777777" w:rsidR="00B07F21" w:rsidRPr="00B07F21" w:rsidRDefault="00B07F21" w:rsidP="00B07F21">
      <w:pPr>
        <w:rPr>
          <w:rFonts w:eastAsia="????"/>
          <w:sz w:val="20"/>
          <w:szCs w:val="20"/>
          <w:u w:val="single"/>
        </w:rPr>
      </w:pPr>
    </w:p>
    <w:p w14:paraId="60CEC37A" w14:textId="77777777" w:rsidR="00B07F21" w:rsidRPr="00B07F21" w:rsidRDefault="00B07F21" w:rsidP="00B07F21">
      <w:pPr>
        <w:rPr>
          <w:rFonts w:eastAsia="????"/>
          <w:bCs/>
          <w:sz w:val="20"/>
          <w:szCs w:val="20"/>
        </w:rPr>
      </w:pPr>
      <w:r w:rsidRPr="00B07F21">
        <w:rPr>
          <w:i/>
          <w:iCs/>
          <w:sz w:val="20"/>
          <w:szCs w:val="20"/>
        </w:rPr>
        <w:t xml:space="preserve">Private Placement – </w:t>
      </w:r>
      <w:r w:rsidRPr="00B07F21">
        <w:rPr>
          <w:rFonts w:eastAsia="????"/>
          <w:sz w:val="20"/>
          <w:szCs w:val="20"/>
        </w:rPr>
        <w:t xml:space="preserve">On January 19, 2022, we closed a private placement of </w:t>
      </w:r>
      <w:r w:rsidRPr="00B07F21">
        <w:rPr>
          <w:rFonts w:eastAsia="????"/>
          <w:bCs/>
          <w:sz w:val="20"/>
          <w:szCs w:val="20"/>
        </w:rPr>
        <w:t xml:space="preserve">707,484 shares of common stock, a pre-funded warrant to purchase 2,360,000 shares of common stock (the “Pre-Funded Warrant”), and a warrant to purchase up to 3,067,484 shares of common stock at an exercise price of $3.26 per share (the “Common Warrant”). </w:t>
      </w:r>
      <w:r w:rsidRPr="00B07F21">
        <w:rPr>
          <w:rFonts w:eastAsia="????"/>
          <w:sz w:val="20"/>
          <w:szCs w:val="20"/>
        </w:rPr>
        <w:t>Net proceeds after deducting placement agent commissions and other offering expenses were approximately $9.2 million.</w:t>
      </w:r>
      <w:r w:rsidRPr="00B07F21">
        <w:rPr>
          <w:rFonts w:eastAsia="????"/>
          <w:bCs/>
          <w:sz w:val="20"/>
          <w:szCs w:val="20"/>
        </w:rPr>
        <w:t xml:space="preserve"> During March 2022, the Pre-Funded Warrant was exercised in full, for nominal net proceeds. The Common Warrant is currently exercisable and will expire on February 10, 2027.</w:t>
      </w:r>
    </w:p>
    <w:p w14:paraId="772E02E6" w14:textId="77777777" w:rsidR="00B07F21" w:rsidRPr="00B07F21" w:rsidRDefault="00B07F21" w:rsidP="00B07F21">
      <w:pPr>
        <w:rPr>
          <w:color w:val="000000"/>
          <w:sz w:val="20"/>
          <w:szCs w:val="20"/>
        </w:rPr>
      </w:pPr>
    </w:p>
    <w:p w14:paraId="3B321AC1" w14:textId="77777777" w:rsidR="00B07F21" w:rsidRPr="00B07F21" w:rsidRDefault="00B07F21" w:rsidP="00B07F21">
      <w:pPr>
        <w:rPr>
          <w:rFonts w:eastAsia="????"/>
          <w:i/>
          <w:sz w:val="20"/>
          <w:szCs w:val="20"/>
        </w:rPr>
      </w:pPr>
      <w:r w:rsidRPr="00B07F21">
        <w:rPr>
          <w:rFonts w:eastAsia="????"/>
          <w:i/>
          <w:sz w:val="20"/>
          <w:szCs w:val="20"/>
        </w:rPr>
        <w:t xml:space="preserve">Stock Options – </w:t>
      </w:r>
      <w:r w:rsidRPr="00B07F21">
        <w:rPr>
          <w:rFonts w:eastAsia="????"/>
          <w:sz w:val="20"/>
          <w:szCs w:val="20"/>
        </w:rPr>
        <w:t xml:space="preserve">We have a stock-based incentive plan (the “2020 Plan”) </w:t>
      </w:r>
      <w:r w:rsidRPr="00B07F21">
        <w:rPr>
          <w:rFonts w:eastAsia="????"/>
          <w:color w:val="000000"/>
          <w:sz w:val="20"/>
          <w:szCs w:val="20"/>
        </w:rPr>
        <w:t>pursuant to which our Board of Directors may grant stock options and other stock-based awards to our employees, directors and consultants. A total of 1,500,000 shares of our common stock are reserved for issuance pursuant to the 2020 Plan.  During the three months ended March 31, 2022, there were no stock option transactions related to the 2020 Plan.  As of March 31, 2022, there are 962,300 stock options outstanding, with a weighted-average exercise price of $3.18 per share and a weighted-average remaining term of 9.1 years.</w:t>
      </w:r>
    </w:p>
    <w:p w14:paraId="0C3938DB" w14:textId="77777777" w:rsidR="00B07F21" w:rsidRPr="00B07F21" w:rsidRDefault="00B07F21" w:rsidP="00B07F21">
      <w:pPr>
        <w:rPr>
          <w:color w:val="000000"/>
          <w:sz w:val="20"/>
          <w:szCs w:val="20"/>
        </w:rPr>
      </w:pPr>
    </w:p>
    <w:p w14:paraId="0A46DBC4" w14:textId="77777777" w:rsidR="00B07F21" w:rsidRPr="00B07F21" w:rsidRDefault="00B07F21" w:rsidP="00B07F21">
      <w:pPr>
        <w:suppressAutoHyphens/>
        <w:spacing w:line="240" w:lineRule="exact"/>
        <w:rPr>
          <w:sz w:val="20"/>
          <w:szCs w:val="20"/>
        </w:rPr>
      </w:pPr>
      <w:r w:rsidRPr="00B07F21">
        <w:rPr>
          <w:i/>
          <w:color w:val="000000"/>
          <w:sz w:val="20"/>
          <w:szCs w:val="20"/>
        </w:rPr>
        <w:t>Stock Purchase Warrants –</w:t>
      </w:r>
      <w:r w:rsidRPr="00B07F21">
        <w:rPr>
          <w:sz w:val="20"/>
          <w:szCs w:val="20"/>
        </w:rPr>
        <w:t xml:space="preserve"> As of March 31, 2022, there are 5,884,115 stock purchase warrants outstanding with </w:t>
      </w:r>
      <w:r w:rsidRPr="00B07F21">
        <w:rPr>
          <w:color w:val="000000"/>
          <w:sz w:val="20"/>
          <w:szCs w:val="20"/>
        </w:rPr>
        <w:t xml:space="preserve">a weighted-average exercise price of $4.23 per share and a weighted-average remaining term of 4.2 years. </w:t>
      </w:r>
    </w:p>
    <w:p w14:paraId="5B699623" w14:textId="77777777" w:rsidR="00B07F21" w:rsidRPr="00B07F21" w:rsidRDefault="00B07F21" w:rsidP="00B07F21">
      <w:pPr>
        <w:rPr>
          <w:color w:val="000000"/>
          <w:sz w:val="20"/>
          <w:szCs w:val="20"/>
        </w:rPr>
      </w:pPr>
    </w:p>
    <w:p w14:paraId="7CB1B5CC" w14:textId="77777777" w:rsidR="00B07F21" w:rsidRPr="00B07F21" w:rsidRDefault="00B07F21" w:rsidP="00B07F21">
      <w:pPr>
        <w:rPr>
          <w:b/>
          <w:bCs/>
          <w:iCs/>
          <w:color w:val="000000"/>
          <w:sz w:val="20"/>
          <w:szCs w:val="20"/>
        </w:rPr>
      </w:pPr>
      <w:r w:rsidRPr="00B07F21">
        <w:rPr>
          <w:b/>
          <w:bCs/>
          <w:iCs/>
          <w:color w:val="000000"/>
          <w:sz w:val="20"/>
          <w:szCs w:val="20"/>
        </w:rPr>
        <w:t>9.</w:t>
      </w:r>
      <w:r w:rsidRPr="00B07F21">
        <w:rPr>
          <w:b/>
          <w:bCs/>
          <w:iCs/>
          <w:color w:val="000000"/>
          <w:sz w:val="20"/>
          <w:szCs w:val="20"/>
        </w:rPr>
        <w:tab/>
        <w:t>Stock-Based Compensation Expense</w:t>
      </w:r>
    </w:p>
    <w:p w14:paraId="48984154" w14:textId="77777777" w:rsidR="00B07F21" w:rsidRPr="00B07F21" w:rsidRDefault="00B07F21" w:rsidP="00B07F21">
      <w:pPr>
        <w:rPr>
          <w:sz w:val="20"/>
          <w:szCs w:val="20"/>
        </w:rPr>
      </w:pPr>
    </w:p>
    <w:p w14:paraId="140F14DA" w14:textId="77777777" w:rsidR="00B07F21" w:rsidRPr="00B07F21" w:rsidRDefault="00B07F21" w:rsidP="00B07F21">
      <w:pPr>
        <w:rPr>
          <w:color w:val="000000"/>
          <w:sz w:val="20"/>
          <w:szCs w:val="20"/>
        </w:rPr>
      </w:pPr>
      <w:r w:rsidRPr="00B07F21">
        <w:rPr>
          <w:sz w:val="20"/>
          <w:szCs w:val="20"/>
        </w:rPr>
        <w:t xml:space="preserve">Stock-based compensation expense related to stock option grants was $190,191 and $56,190 during the three-month periods ended March 31, 2022 and 2021, respectively. </w:t>
      </w:r>
      <w:r w:rsidRPr="00B07F21">
        <w:rPr>
          <w:color w:val="000000"/>
          <w:sz w:val="20"/>
          <w:szCs w:val="20"/>
        </w:rPr>
        <w:t>Stock-based compensation expense related to stock options is recognized on a straight-line basis over the requisite service period for the award and is allocated to research and development expense or general and administrative expense based upon the classification of the individual to whom the award is granted. As of March 31, 2022, there is $1,229,953 of unrecognized compensation expense that we expect to recognize over a weighted-average period of 2.1 years.</w:t>
      </w:r>
    </w:p>
    <w:p w14:paraId="219FA0CD" w14:textId="77777777" w:rsidR="00B07F21" w:rsidRPr="00B07F21" w:rsidRDefault="00B07F21" w:rsidP="00B07F21">
      <w:pPr>
        <w:rPr>
          <w:color w:val="000000"/>
          <w:sz w:val="20"/>
          <w:szCs w:val="20"/>
        </w:rPr>
      </w:pPr>
    </w:p>
    <w:p w14:paraId="03E89565" w14:textId="77777777" w:rsidR="00B07F21" w:rsidRPr="00B07F21" w:rsidRDefault="00B07F21" w:rsidP="00B07F21">
      <w:pPr>
        <w:rPr>
          <w:color w:val="000000"/>
          <w:sz w:val="20"/>
          <w:szCs w:val="20"/>
        </w:rPr>
      </w:pPr>
      <w:r w:rsidRPr="00B07F21">
        <w:rPr>
          <w:sz w:val="20"/>
          <w:szCs w:val="20"/>
        </w:rPr>
        <w:t>During the three-month periods ended March 31, 2022 and 2021 we recorded stock-based compensation expense of $14,960 and $20,600, respectively, associated with common stock issued for consulting and financial advisory services.</w:t>
      </w:r>
      <w:r w:rsidRPr="00B07F21">
        <w:rPr>
          <w:color w:val="000000"/>
          <w:sz w:val="20"/>
          <w:szCs w:val="20"/>
        </w:rPr>
        <w:t xml:space="preserve"> </w:t>
      </w:r>
      <w:r w:rsidRPr="00B07F21">
        <w:rPr>
          <w:sz w:val="20"/>
          <w:szCs w:val="20"/>
        </w:rPr>
        <w:t>As of March 31, 2022, there is $4,987 recorded as a prepaid expense for these arrangements, which will be recognized as expense during 2022 over the term of the related agreement.</w:t>
      </w:r>
    </w:p>
    <w:p w14:paraId="0CB7EAA8" w14:textId="77777777" w:rsidR="00B07F21" w:rsidRPr="00B07F21" w:rsidRDefault="00B07F21" w:rsidP="00B07F21">
      <w:pPr>
        <w:rPr>
          <w:color w:val="000000"/>
          <w:sz w:val="20"/>
          <w:szCs w:val="20"/>
        </w:rPr>
      </w:pPr>
    </w:p>
    <w:p w14:paraId="06B1F3E5" w14:textId="77777777" w:rsidR="00B07F21" w:rsidRPr="00B07F21" w:rsidRDefault="00B07F21" w:rsidP="00B07F21">
      <w:pPr>
        <w:keepNext/>
        <w:rPr>
          <w:b/>
          <w:sz w:val="20"/>
          <w:szCs w:val="20"/>
        </w:rPr>
      </w:pPr>
      <w:r w:rsidRPr="00B07F21">
        <w:rPr>
          <w:b/>
          <w:sz w:val="20"/>
          <w:szCs w:val="20"/>
        </w:rPr>
        <w:t>10.</w:t>
      </w:r>
      <w:r w:rsidRPr="00B07F21">
        <w:rPr>
          <w:b/>
          <w:sz w:val="20"/>
          <w:szCs w:val="20"/>
        </w:rPr>
        <w:tab/>
        <w:t>Income Taxes</w:t>
      </w:r>
    </w:p>
    <w:p w14:paraId="73E648E4" w14:textId="77777777" w:rsidR="00B07F21" w:rsidRPr="00B07F21" w:rsidRDefault="00B07F21" w:rsidP="00B07F21">
      <w:pPr>
        <w:rPr>
          <w:sz w:val="20"/>
          <w:szCs w:val="20"/>
        </w:rPr>
      </w:pPr>
    </w:p>
    <w:p w14:paraId="64875593" w14:textId="77777777" w:rsidR="00B07F21" w:rsidRPr="00B07F21" w:rsidRDefault="00B07F21" w:rsidP="00B07F21">
      <w:pPr>
        <w:rPr>
          <w:sz w:val="20"/>
          <w:szCs w:val="20"/>
        </w:rPr>
      </w:pPr>
      <w:r w:rsidRPr="00B07F21">
        <w:rPr>
          <w:sz w:val="20"/>
          <w:szCs w:val="20"/>
        </w:rPr>
        <w:t>Because of our historically significant net operating losses, we have not paid income taxes since inception. We maintain deferred tax assets that reflect the net tax effects of temporary differences between the carrying amounts of assets and liabilities for financial reporting purposes and the amounts used for income tax purposes. These deferred tax assets are comprised primarily of net operating loss carryforwards and also include amounts relating to nonqualified stock options and research and development credits. The net deferred tax asset has been fully offset by a valuation allowance because of the uncertainty of our future profitability and our ability to utilize the deferred tax assets. Utilization of operating losses and credits will be subject to substantial annual limitations due to ownership change provisions of Section 382 of the Internal Revenue Code. The annual limitation may result in the expiration of net operating losses and credits before utilization.</w:t>
      </w:r>
    </w:p>
    <w:p w14:paraId="36EAE742" w14:textId="77777777" w:rsidR="00B07F21" w:rsidRPr="00B07F21" w:rsidRDefault="00B07F21" w:rsidP="00B07F21">
      <w:pPr>
        <w:rPr>
          <w:sz w:val="20"/>
          <w:szCs w:val="20"/>
        </w:rPr>
      </w:pPr>
    </w:p>
    <w:p w14:paraId="6CB6964E" w14:textId="77777777" w:rsidR="00B07F21" w:rsidRPr="00B07F21" w:rsidRDefault="00B07F21" w:rsidP="00B07F21">
      <w:pPr>
        <w:keepNext/>
        <w:rPr>
          <w:b/>
          <w:sz w:val="20"/>
          <w:szCs w:val="20"/>
        </w:rPr>
      </w:pPr>
      <w:r w:rsidRPr="00B07F21">
        <w:rPr>
          <w:b/>
          <w:sz w:val="20"/>
          <w:szCs w:val="20"/>
        </w:rPr>
        <w:t>11.</w:t>
      </w:r>
      <w:r w:rsidRPr="00B07F21">
        <w:rPr>
          <w:b/>
          <w:sz w:val="20"/>
          <w:szCs w:val="20"/>
        </w:rPr>
        <w:tab/>
        <w:t>Grant Revenue</w:t>
      </w:r>
    </w:p>
    <w:p w14:paraId="33B12B8B" w14:textId="77777777" w:rsidR="00B07F21" w:rsidRPr="00B07F21" w:rsidRDefault="00B07F21" w:rsidP="00B07F21">
      <w:pPr>
        <w:rPr>
          <w:sz w:val="20"/>
          <w:szCs w:val="20"/>
        </w:rPr>
      </w:pPr>
    </w:p>
    <w:p w14:paraId="2EE03B0E" w14:textId="77777777" w:rsidR="00B07F21" w:rsidRPr="00B07F21" w:rsidRDefault="00B07F21" w:rsidP="00B07F21">
      <w:pPr>
        <w:rPr>
          <w:sz w:val="20"/>
          <w:szCs w:val="20"/>
        </w:rPr>
      </w:pPr>
      <w:r w:rsidRPr="00B07F21">
        <w:rPr>
          <w:sz w:val="20"/>
          <w:szCs w:val="20"/>
        </w:rPr>
        <w:t>We receive payments from government entities under grants from the National Institute of Allergy and Infectious Diseases (NIAID) and from the U.S. Department of Defense in support of our vaccine research and development efforts. We record revenue associated with government grants as the reimbursable costs are incurred. During the three-month periods ended March 31, 2022 and 2021, we recorded $81,526 and $110,417, respectively, of revenue associated with these grants.</w:t>
      </w:r>
    </w:p>
    <w:p w14:paraId="6B464D78" w14:textId="77777777" w:rsidR="00B07F21" w:rsidRPr="00B07F21" w:rsidRDefault="00B07F21" w:rsidP="00B07F21">
      <w:pPr>
        <w:rPr>
          <w:i/>
          <w:sz w:val="20"/>
          <w:szCs w:val="20"/>
        </w:rPr>
      </w:pPr>
    </w:p>
    <w:p w14:paraId="5FFC2A18" w14:textId="77777777" w:rsidR="008A3183" w:rsidRDefault="008A3183">
      <w:pPr>
        <w:rPr>
          <w:sz w:val="20"/>
          <w:szCs w:val="20"/>
        </w:rPr>
      </w:pPr>
      <w:r>
        <w:rPr>
          <w:sz w:val="20"/>
          <w:szCs w:val="20"/>
        </w:rPr>
        <w:br w:type="page"/>
      </w:r>
    </w:p>
    <w:p w14:paraId="67E7D753" w14:textId="77777777" w:rsidR="008A3183" w:rsidRDefault="008A3183" w:rsidP="008A3183">
      <w:pPr>
        <w:ind w:left="144" w:right="144"/>
        <w:rPr>
          <w:sz w:val="20"/>
          <w:szCs w:val="20"/>
        </w:rPr>
      </w:pPr>
    </w:p>
    <w:tbl>
      <w:tblPr>
        <w:tblW w:w="5000" w:type="pct"/>
        <w:tblCellSpacing w:w="0" w:type="dxa"/>
        <w:tblInd w:w="144" w:type="dxa"/>
        <w:tblCellMar>
          <w:left w:w="0" w:type="dxa"/>
          <w:right w:w="0" w:type="dxa"/>
        </w:tblCellMar>
        <w:tblLook w:val="04A0" w:firstRow="1" w:lastRow="0" w:firstColumn="1" w:lastColumn="0" w:noHBand="0" w:noVBand="1"/>
      </w:tblPr>
      <w:tblGrid>
        <w:gridCol w:w="5148"/>
        <w:gridCol w:w="4212"/>
      </w:tblGrid>
      <w:tr w:rsidR="008A3183" w14:paraId="790265FA" w14:textId="77777777" w:rsidTr="00FF0811">
        <w:trPr>
          <w:cantSplit/>
          <w:tblCellSpacing w:w="0" w:type="dxa"/>
        </w:trPr>
        <w:tc>
          <w:tcPr>
            <w:tcW w:w="2750" w:type="pct"/>
            <w:tcMar>
              <w:top w:w="0" w:type="dxa"/>
              <w:left w:w="0" w:type="dxa"/>
              <w:bottom w:w="0" w:type="dxa"/>
              <w:right w:w="0" w:type="dxa"/>
            </w:tcMar>
            <w:vAlign w:val="center"/>
            <w:hideMark/>
          </w:tcPr>
          <w:p w14:paraId="443C679D" w14:textId="77777777" w:rsidR="008A3183" w:rsidRDefault="008A3183" w:rsidP="00FF0811">
            <w:pPr>
              <w:rPr>
                <w:color w:val="000000"/>
                <w:sz w:val="20"/>
                <w:szCs w:val="20"/>
              </w:rPr>
            </w:pPr>
            <w:r>
              <w:rPr>
                <w:noProof/>
              </w:rPr>
              <w:drawing>
                <wp:inline distT="0" distB="0" distL="0" distR="0" wp14:anchorId="5643761A" wp14:editId="75169929">
                  <wp:extent cx="1457325" cy="5143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57325" cy="514350"/>
                          </a:xfrm>
                          <a:prstGeom prst="rect">
                            <a:avLst/>
                          </a:prstGeom>
                        </pic:spPr>
                      </pic:pic>
                    </a:graphicData>
                  </a:graphic>
                </wp:inline>
              </w:drawing>
            </w:r>
          </w:p>
        </w:tc>
        <w:tc>
          <w:tcPr>
            <w:tcW w:w="2250" w:type="pct"/>
            <w:tcMar>
              <w:top w:w="0" w:type="dxa"/>
              <w:left w:w="0" w:type="dxa"/>
              <w:bottom w:w="0" w:type="dxa"/>
              <w:right w:w="0" w:type="dxa"/>
            </w:tcMar>
            <w:hideMark/>
          </w:tcPr>
          <w:p w14:paraId="5C5FD16B" w14:textId="77777777" w:rsidR="008A3183" w:rsidRDefault="008A3183" w:rsidP="00FF0811">
            <w:pPr>
              <w:rPr>
                <w:color w:val="000000"/>
                <w:sz w:val="20"/>
                <w:szCs w:val="20"/>
              </w:rPr>
            </w:pPr>
            <w:r>
              <w:rPr>
                <w:color w:val="000000"/>
                <w:sz w:val="20"/>
                <w:szCs w:val="20"/>
              </w:rPr>
              <w:t>235 Peachtree Street NE         404 588 4200</w:t>
            </w:r>
          </w:p>
          <w:p w14:paraId="62F1D87A" w14:textId="77777777" w:rsidR="008A3183" w:rsidRDefault="008A3183" w:rsidP="00FF0811">
            <w:pPr>
              <w:rPr>
                <w:color w:val="000000"/>
                <w:sz w:val="20"/>
                <w:szCs w:val="20"/>
              </w:rPr>
            </w:pPr>
            <w:r>
              <w:rPr>
                <w:color w:val="000000"/>
                <w:sz w:val="20"/>
                <w:szCs w:val="20"/>
              </w:rPr>
              <w:t>Suite 1800                               wipfli.com</w:t>
            </w:r>
          </w:p>
          <w:p w14:paraId="730A9BA8" w14:textId="77777777" w:rsidR="008A3183" w:rsidRDefault="008A3183" w:rsidP="00FF0811">
            <w:pPr>
              <w:rPr>
                <w:color w:val="000000"/>
                <w:sz w:val="20"/>
                <w:szCs w:val="20"/>
              </w:rPr>
            </w:pPr>
            <w:r>
              <w:rPr>
                <w:color w:val="000000"/>
                <w:sz w:val="20"/>
                <w:szCs w:val="20"/>
              </w:rPr>
              <w:t>Atlanta, GA 30303</w:t>
            </w:r>
          </w:p>
        </w:tc>
      </w:tr>
    </w:tbl>
    <w:p w14:paraId="6C0F2207" w14:textId="77777777" w:rsidR="008A3183" w:rsidRDefault="008A3183" w:rsidP="008A3183">
      <w:pPr>
        <w:ind w:left="144" w:right="144"/>
        <w:rPr>
          <w:sz w:val="20"/>
          <w:szCs w:val="20"/>
        </w:rPr>
      </w:pPr>
      <w:r>
        <w:rPr>
          <w:sz w:val="20"/>
          <w:szCs w:val="20"/>
        </w:rPr>
        <w:t> </w:t>
      </w:r>
    </w:p>
    <w:p w14:paraId="1B994A46" w14:textId="77777777" w:rsidR="008A3183" w:rsidRDefault="008A3183" w:rsidP="008A3183">
      <w:pPr>
        <w:ind w:left="144" w:right="144"/>
        <w:rPr>
          <w:sz w:val="20"/>
          <w:szCs w:val="20"/>
        </w:rPr>
      </w:pPr>
      <w:r>
        <w:rPr>
          <w:sz w:val="20"/>
          <w:szCs w:val="20"/>
        </w:rPr>
        <w:t> </w:t>
      </w:r>
    </w:p>
    <w:p w14:paraId="1905F894" w14:textId="77777777" w:rsidR="0018005E" w:rsidRPr="0018005E" w:rsidRDefault="0018005E" w:rsidP="0018005E">
      <w:pPr>
        <w:ind w:right="432"/>
        <w:jc w:val="center"/>
        <w:rPr>
          <w:rFonts w:ascii="CG Times (WN)" w:hAnsi="CG Times (WN)" w:cs="Arial"/>
          <w:b/>
          <w:sz w:val="20"/>
          <w:szCs w:val="22"/>
        </w:rPr>
      </w:pPr>
      <w:r w:rsidRPr="0018005E">
        <w:rPr>
          <w:rFonts w:ascii="CG Times (WN)" w:hAnsi="CG Times (WN)" w:cs="Arial"/>
          <w:b/>
          <w:sz w:val="20"/>
          <w:szCs w:val="22"/>
        </w:rPr>
        <w:t>REPORT OF INDEPENDENT REGISTERED PUBLIC ACCOUNTING FIRM</w:t>
      </w:r>
    </w:p>
    <w:p w14:paraId="151E0396" w14:textId="77777777" w:rsidR="0018005E" w:rsidRPr="0018005E" w:rsidRDefault="0018005E" w:rsidP="0018005E">
      <w:pPr>
        <w:autoSpaceDE w:val="0"/>
        <w:autoSpaceDN w:val="0"/>
        <w:adjustRightInd w:val="0"/>
        <w:spacing w:line="240" w:lineRule="atLeast"/>
        <w:rPr>
          <w:rFonts w:ascii="CG Times (WN)" w:hAnsi="CG Times (WN)" w:cs="Arial"/>
          <w:color w:val="000000"/>
          <w:sz w:val="20"/>
          <w:szCs w:val="22"/>
        </w:rPr>
      </w:pPr>
    </w:p>
    <w:p w14:paraId="3B7C3F59" w14:textId="77777777" w:rsidR="0018005E" w:rsidRPr="0018005E" w:rsidRDefault="0018005E" w:rsidP="0018005E">
      <w:pPr>
        <w:autoSpaceDE w:val="0"/>
        <w:autoSpaceDN w:val="0"/>
        <w:adjustRightInd w:val="0"/>
        <w:spacing w:line="240" w:lineRule="atLeast"/>
        <w:rPr>
          <w:rFonts w:ascii="CG Times (WN)" w:hAnsi="CG Times (WN)" w:cs="Arial"/>
          <w:color w:val="000000"/>
          <w:sz w:val="20"/>
          <w:szCs w:val="22"/>
        </w:rPr>
      </w:pPr>
      <w:r w:rsidRPr="0018005E">
        <w:rPr>
          <w:rFonts w:ascii="CG Times (WN)" w:hAnsi="CG Times (WN)" w:cs="Arial"/>
          <w:color w:val="000000"/>
          <w:sz w:val="20"/>
          <w:szCs w:val="22"/>
        </w:rPr>
        <w:t xml:space="preserve">To the Stockholders and the Board of Directors of </w:t>
      </w:r>
      <w:proofErr w:type="spellStart"/>
      <w:r w:rsidRPr="0018005E">
        <w:rPr>
          <w:rFonts w:ascii="CG Times (WN)" w:hAnsi="CG Times (WN)" w:cs="Arial"/>
          <w:color w:val="000000"/>
          <w:sz w:val="20"/>
          <w:szCs w:val="22"/>
        </w:rPr>
        <w:t>GeoVax</w:t>
      </w:r>
      <w:proofErr w:type="spellEnd"/>
      <w:r w:rsidRPr="0018005E">
        <w:rPr>
          <w:rFonts w:ascii="CG Times (WN)" w:hAnsi="CG Times (WN)" w:cs="Arial"/>
          <w:color w:val="000000"/>
          <w:sz w:val="20"/>
          <w:szCs w:val="22"/>
        </w:rPr>
        <w:t xml:space="preserve"> Labs, Inc.</w:t>
      </w:r>
    </w:p>
    <w:p w14:paraId="28971977" w14:textId="77777777" w:rsidR="0018005E" w:rsidRPr="0018005E" w:rsidRDefault="0018005E" w:rsidP="0018005E">
      <w:pPr>
        <w:autoSpaceDE w:val="0"/>
        <w:autoSpaceDN w:val="0"/>
        <w:adjustRightInd w:val="0"/>
        <w:spacing w:line="240" w:lineRule="atLeast"/>
        <w:rPr>
          <w:rFonts w:ascii="CG Times (WN)" w:hAnsi="CG Times (WN)" w:cs="Arial"/>
          <w:color w:val="000000"/>
          <w:sz w:val="20"/>
          <w:szCs w:val="22"/>
        </w:rPr>
      </w:pPr>
    </w:p>
    <w:p w14:paraId="47B8C5CB" w14:textId="77777777" w:rsidR="0018005E" w:rsidRPr="0018005E" w:rsidRDefault="0018005E" w:rsidP="0018005E">
      <w:pPr>
        <w:autoSpaceDE w:val="0"/>
        <w:autoSpaceDN w:val="0"/>
        <w:adjustRightInd w:val="0"/>
        <w:spacing w:line="360" w:lineRule="auto"/>
        <w:rPr>
          <w:rFonts w:ascii="CG Times (WN)" w:hAnsi="CG Times (WN)" w:cs="Arial"/>
          <w:b/>
          <w:color w:val="000000"/>
          <w:sz w:val="20"/>
          <w:szCs w:val="22"/>
        </w:rPr>
      </w:pPr>
      <w:r w:rsidRPr="0018005E">
        <w:rPr>
          <w:rFonts w:ascii="CG Times (WN)" w:hAnsi="CG Times (WN)" w:cs="Arial"/>
          <w:b/>
          <w:color w:val="000000"/>
          <w:sz w:val="20"/>
          <w:szCs w:val="22"/>
        </w:rPr>
        <w:t>Opinion on the Consolidated Financial Statements</w:t>
      </w:r>
    </w:p>
    <w:p w14:paraId="1688D53D"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0"/>
        </w:rPr>
      </w:pPr>
      <w:r w:rsidRPr="0018005E">
        <w:rPr>
          <w:rFonts w:ascii="CG Times (WN)" w:hAnsi="CG Times (WN)" w:cs="Arial"/>
          <w:color w:val="000000"/>
          <w:sz w:val="20"/>
          <w:szCs w:val="20"/>
        </w:rPr>
        <w:t xml:space="preserve">We have audited the accompanying consolidated balance sheets of </w:t>
      </w:r>
      <w:proofErr w:type="spellStart"/>
      <w:r w:rsidRPr="0018005E">
        <w:rPr>
          <w:rFonts w:ascii="CG Times (WN)" w:hAnsi="CG Times (WN)" w:cs="Arial"/>
          <w:color w:val="000000"/>
          <w:sz w:val="20"/>
          <w:szCs w:val="20"/>
        </w:rPr>
        <w:t>GeoVax</w:t>
      </w:r>
      <w:proofErr w:type="spellEnd"/>
      <w:r w:rsidRPr="0018005E">
        <w:rPr>
          <w:rFonts w:ascii="CG Times (WN)" w:hAnsi="CG Times (WN)" w:cs="Arial"/>
          <w:color w:val="000000"/>
          <w:sz w:val="20"/>
          <w:szCs w:val="20"/>
        </w:rPr>
        <w:t xml:space="preserve"> Labs, Inc. and subsidiary </w:t>
      </w:r>
      <w:r w:rsidRPr="0018005E">
        <w:rPr>
          <w:rFonts w:ascii="CG Times (WN)" w:hAnsi="CG Times (WN)" w:cs="Arial"/>
          <w:color w:val="000000"/>
          <w:sz w:val="20"/>
          <w:szCs w:val="20"/>
        </w:rPr>
        <w:br/>
        <w:t>(the “Company”) as of December 31, 2021 and 2020, and the related consolidated statements of operations, stockholders’ equity (deficiency) and cash flows for the years then ended and the related notes to the consolidated financial statements and schedule (collectively, the “financial statements”). In our opinion, the financial statements present fairly, in all material respects, the financial position of the Company as of December 31, 2021 and 2020, and the results of their operations and their cash flows for the years then ended, in conformity with accounting principles generally accepted in the United States of America.</w:t>
      </w:r>
    </w:p>
    <w:p w14:paraId="1A694C7F"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0"/>
        </w:rPr>
      </w:pPr>
    </w:p>
    <w:p w14:paraId="54A8549D" w14:textId="77777777" w:rsidR="0018005E" w:rsidRPr="0018005E" w:rsidRDefault="0018005E" w:rsidP="0018005E">
      <w:pPr>
        <w:autoSpaceDE w:val="0"/>
        <w:autoSpaceDN w:val="0"/>
        <w:adjustRightInd w:val="0"/>
        <w:spacing w:line="360" w:lineRule="auto"/>
        <w:jc w:val="both"/>
        <w:rPr>
          <w:rFonts w:ascii="CG Times (WN)" w:hAnsi="CG Times (WN)" w:cs="Arial"/>
          <w:color w:val="000000"/>
          <w:sz w:val="20"/>
          <w:szCs w:val="20"/>
        </w:rPr>
      </w:pPr>
      <w:r w:rsidRPr="0018005E">
        <w:rPr>
          <w:rFonts w:ascii="CG Times (WN)" w:hAnsi="CG Times (WN)" w:cs="Arial"/>
          <w:b/>
          <w:color w:val="000000"/>
          <w:sz w:val="20"/>
          <w:szCs w:val="20"/>
        </w:rPr>
        <w:t>Basis for Opinion</w:t>
      </w:r>
    </w:p>
    <w:p w14:paraId="58C2F8E1"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0"/>
        </w:rPr>
      </w:pPr>
      <w:r w:rsidRPr="0018005E">
        <w:rPr>
          <w:rFonts w:ascii="CG Times (WN)" w:hAnsi="CG Times (WN)" w:cs="Arial"/>
          <w:color w:val="000000"/>
          <w:sz w:val="20"/>
          <w:szCs w:val="20"/>
        </w:rPr>
        <w:t>These financial statements are the responsibility of the Company’s management. Our responsibility is to express an opinion on the Company’s financial statements based on our audits. We are a public accounting firm registered with the Public Company Accounting Oversight Board (United States) (PCAOB) and are required to be independent with respect to the Company in accordance with U.S. federal securities laws and the applicable rules and regulations of the Securities and Exchange Commission and the PCAOB.</w:t>
      </w:r>
    </w:p>
    <w:p w14:paraId="4AD2B484"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0"/>
        </w:rPr>
      </w:pPr>
    </w:p>
    <w:p w14:paraId="1064118F"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0"/>
        </w:rPr>
      </w:pPr>
      <w:r w:rsidRPr="0018005E">
        <w:rPr>
          <w:rFonts w:ascii="CG Times (WN)" w:hAnsi="CG Times (WN)" w:cs="Arial"/>
          <w:color w:val="000000"/>
          <w:sz w:val="20"/>
          <w:szCs w:val="20"/>
        </w:rPr>
        <w:t>We conducted our audits in accordance with the standards of the PCAOB. Those standards require that we plan and perform the audits to obtain reasonable assurance about whether the financial statements are free of material misstatement, whether due to error or fraud. The Company is not required to have, nor were we engaged to perform, an audit of its internal control over financial reporting. As part of our audits we are required to obtain an understanding of internal control over financial reporting but not for the purpose of expressing an opinion on the effectiveness of the Company’s internal control over financial reporting. Accordingly, we express no such opinion.</w:t>
      </w:r>
    </w:p>
    <w:p w14:paraId="6A025A1D"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0"/>
        </w:rPr>
      </w:pPr>
    </w:p>
    <w:p w14:paraId="7747E917"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0"/>
        </w:rPr>
      </w:pPr>
      <w:r w:rsidRPr="0018005E">
        <w:rPr>
          <w:rFonts w:ascii="CG Times (WN)" w:hAnsi="CG Times (WN)" w:cs="Arial"/>
          <w:color w:val="000000"/>
          <w:sz w:val="20"/>
          <w:szCs w:val="20"/>
        </w:rPr>
        <w:t>Our audits included performing procedures to assess the risks of material misstatement of the financial statements, whether due to error or fraud, and performing procedures that respond to those risks. Such procedures included examining, on a test basis, evidence regarding the amounts and disclosures in the financial statements. Our audits also included evaluating the accounting principles used and significant estimates made by management, as well as evaluating the overall presentation of the financial statements. We believe that our audits provide a reasonable basis for our opinion.</w:t>
      </w:r>
    </w:p>
    <w:p w14:paraId="1CC62067"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0"/>
        </w:rPr>
      </w:pPr>
    </w:p>
    <w:p w14:paraId="77D5CB6F" w14:textId="77777777" w:rsidR="0018005E" w:rsidRPr="0018005E" w:rsidRDefault="0018005E" w:rsidP="0018005E">
      <w:pPr>
        <w:autoSpaceDE w:val="0"/>
        <w:autoSpaceDN w:val="0"/>
        <w:adjustRightInd w:val="0"/>
        <w:jc w:val="both"/>
        <w:rPr>
          <w:rFonts w:ascii="CG Times (WN)" w:hAnsi="CG Times (WN)" w:cs="Arial"/>
          <w:b/>
          <w:bCs/>
          <w:color w:val="000000"/>
          <w:sz w:val="20"/>
          <w:szCs w:val="20"/>
        </w:rPr>
      </w:pPr>
      <w:r w:rsidRPr="0018005E">
        <w:rPr>
          <w:rFonts w:ascii="CG Times (WN)" w:hAnsi="CG Times (WN)" w:cs="Arial"/>
          <w:b/>
          <w:bCs/>
          <w:color w:val="000000"/>
          <w:sz w:val="20"/>
          <w:szCs w:val="20"/>
        </w:rPr>
        <w:t>Critical Audit Matter</w:t>
      </w:r>
    </w:p>
    <w:p w14:paraId="5FEA4E1E" w14:textId="77777777" w:rsidR="0018005E" w:rsidRPr="0018005E" w:rsidRDefault="0018005E" w:rsidP="0018005E">
      <w:pPr>
        <w:autoSpaceDE w:val="0"/>
        <w:autoSpaceDN w:val="0"/>
        <w:adjustRightInd w:val="0"/>
        <w:spacing w:line="240" w:lineRule="atLeast"/>
        <w:jc w:val="both"/>
        <w:rPr>
          <w:rFonts w:ascii="CG Times (WN)" w:hAnsi="CG Times (WN)"/>
          <w:sz w:val="20"/>
          <w:szCs w:val="21"/>
        </w:rPr>
      </w:pPr>
    </w:p>
    <w:p w14:paraId="3AC3CB36" w14:textId="77777777" w:rsidR="0018005E" w:rsidRPr="0018005E" w:rsidRDefault="0018005E" w:rsidP="0018005E">
      <w:pPr>
        <w:autoSpaceDE w:val="0"/>
        <w:autoSpaceDN w:val="0"/>
        <w:adjustRightInd w:val="0"/>
        <w:spacing w:line="240" w:lineRule="atLeast"/>
        <w:jc w:val="both"/>
        <w:rPr>
          <w:rFonts w:ascii="CG Times (WN)" w:hAnsi="CG Times (WN)"/>
          <w:sz w:val="20"/>
          <w:szCs w:val="21"/>
        </w:rPr>
      </w:pPr>
      <w:r w:rsidRPr="0018005E">
        <w:rPr>
          <w:rFonts w:ascii="CG Times (WN)" w:hAnsi="CG Times (WN)"/>
          <w:sz w:val="20"/>
          <w:szCs w:val="21"/>
        </w:rPr>
        <w:t>The critical audit matter communicated below is a matter arising from the current period audit of the financial statements that was communicated or required to be communicated to the audit committee and that: (1) relates to accounts or disclosures that are material to the financial statements and (2) involved our especially challenging, subjective, or complex judgments. The communication of critical audit matters does not alter in any way our opinion on the financial statements, taken as a whole, and we are not, by communicating the critical audit matter below, providing separate opinions on the critical audit matter or on the accounts or disclosures to which it relates.</w:t>
      </w:r>
    </w:p>
    <w:p w14:paraId="0457A931" w14:textId="77777777" w:rsidR="0018005E" w:rsidRPr="0018005E" w:rsidRDefault="0018005E" w:rsidP="0018005E">
      <w:pPr>
        <w:autoSpaceDE w:val="0"/>
        <w:autoSpaceDN w:val="0"/>
        <w:adjustRightInd w:val="0"/>
        <w:spacing w:line="240" w:lineRule="atLeast"/>
        <w:jc w:val="both"/>
        <w:rPr>
          <w:rFonts w:ascii="CG Times (WN)" w:hAnsi="CG Times (WN)"/>
          <w:sz w:val="20"/>
          <w:szCs w:val="21"/>
        </w:rPr>
      </w:pPr>
    </w:p>
    <w:p w14:paraId="320276B9" w14:textId="77777777" w:rsidR="0018005E" w:rsidRPr="0018005E" w:rsidRDefault="0018005E" w:rsidP="0018005E">
      <w:pPr>
        <w:autoSpaceDE w:val="0"/>
        <w:autoSpaceDN w:val="0"/>
        <w:adjustRightInd w:val="0"/>
        <w:spacing w:line="240" w:lineRule="atLeast"/>
        <w:jc w:val="both"/>
        <w:rPr>
          <w:rFonts w:ascii="CG Times (WN)" w:hAnsi="CG Times (WN)"/>
          <w:b/>
          <w:bCs/>
          <w:sz w:val="20"/>
          <w:szCs w:val="21"/>
        </w:rPr>
      </w:pPr>
      <w:r w:rsidRPr="0018005E">
        <w:rPr>
          <w:rFonts w:ascii="CG Times (WN)" w:hAnsi="CG Times (WN)"/>
          <w:b/>
          <w:bCs/>
          <w:i/>
          <w:iCs/>
          <w:sz w:val="20"/>
          <w:szCs w:val="21"/>
        </w:rPr>
        <w:t>Equity Transactions</w:t>
      </w:r>
    </w:p>
    <w:p w14:paraId="23915A58" w14:textId="77777777" w:rsidR="0018005E" w:rsidRPr="0018005E" w:rsidRDefault="0018005E" w:rsidP="0018005E">
      <w:pPr>
        <w:autoSpaceDE w:val="0"/>
        <w:autoSpaceDN w:val="0"/>
        <w:adjustRightInd w:val="0"/>
        <w:spacing w:line="240" w:lineRule="atLeast"/>
        <w:jc w:val="both"/>
        <w:rPr>
          <w:rFonts w:ascii="CG Times (WN)" w:hAnsi="CG Times (WN)"/>
          <w:b/>
          <w:bCs/>
          <w:sz w:val="20"/>
          <w:szCs w:val="21"/>
        </w:rPr>
      </w:pPr>
    </w:p>
    <w:p w14:paraId="3E2ADCC7" w14:textId="06894D4D" w:rsidR="008A3183" w:rsidRPr="00BC33BB" w:rsidRDefault="0018005E" w:rsidP="00BC33BB">
      <w:pPr>
        <w:autoSpaceDE w:val="0"/>
        <w:autoSpaceDN w:val="0"/>
        <w:adjustRightInd w:val="0"/>
        <w:spacing w:line="240" w:lineRule="atLeast"/>
        <w:jc w:val="both"/>
        <w:rPr>
          <w:rFonts w:ascii="CG Times (WN)" w:hAnsi="CG Times (WN)"/>
          <w:sz w:val="20"/>
          <w:szCs w:val="21"/>
        </w:rPr>
      </w:pPr>
      <w:r w:rsidRPr="0018005E">
        <w:rPr>
          <w:rFonts w:ascii="CG Times (WN)" w:hAnsi="CG Times (WN)"/>
          <w:sz w:val="20"/>
          <w:szCs w:val="21"/>
        </w:rPr>
        <w:lastRenderedPageBreak/>
        <w:t xml:space="preserve">As described in Note 7 to the financial statements, the Company has multiple equity instruments with various levels of complexity and volumes including warrants and stock options. </w:t>
      </w:r>
    </w:p>
    <w:p w14:paraId="0D6492F7" w14:textId="77777777" w:rsidR="008A3183" w:rsidRDefault="008A3183" w:rsidP="008A3183">
      <w:pPr>
        <w:ind w:left="144" w:right="144"/>
        <w:rPr>
          <w:sz w:val="20"/>
          <w:szCs w:val="20"/>
        </w:rPr>
      </w:pPr>
    </w:p>
    <w:p w14:paraId="49FFB333" w14:textId="77777777" w:rsidR="0018005E" w:rsidRPr="0018005E" w:rsidRDefault="0018005E" w:rsidP="0018005E">
      <w:pPr>
        <w:autoSpaceDE w:val="0"/>
        <w:autoSpaceDN w:val="0"/>
        <w:adjustRightInd w:val="0"/>
        <w:spacing w:line="240" w:lineRule="atLeast"/>
        <w:jc w:val="both"/>
        <w:rPr>
          <w:rFonts w:ascii="CG Times (WN)" w:hAnsi="CG Times (WN)"/>
          <w:sz w:val="20"/>
          <w:szCs w:val="21"/>
        </w:rPr>
      </w:pPr>
      <w:r w:rsidRPr="0018005E">
        <w:rPr>
          <w:rFonts w:ascii="CG Times (WN)" w:hAnsi="CG Times (WN)"/>
          <w:sz w:val="20"/>
          <w:szCs w:val="21"/>
        </w:rPr>
        <w:t>The principal considerations for our determination that the complexity of the Company’s equity structure should be a critical audit matter were based on the volume of equity transactions, including conversions to common stock, common stock issuance activity and warrant activity making it challenging to ensure adequate disclosure of all equity transactions. Auditing such estimates and activity required extensive audit effort due to the volume and complexity of these transactions and a high degree of auditor judgment when performing the requisite audit procedures and evaluating the results of those procedures.</w:t>
      </w:r>
    </w:p>
    <w:p w14:paraId="718A7C86" w14:textId="77777777" w:rsidR="0018005E" w:rsidRPr="0018005E" w:rsidRDefault="0018005E" w:rsidP="0018005E">
      <w:pPr>
        <w:autoSpaceDE w:val="0"/>
        <w:autoSpaceDN w:val="0"/>
        <w:adjustRightInd w:val="0"/>
        <w:spacing w:line="240" w:lineRule="atLeast"/>
        <w:jc w:val="both"/>
        <w:rPr>
          <w:rFonts w:ascii="CG Times (WN)" w:hAnsi="CG Times (WN)"/>
          <w:sz w:val="20"/>
          <w:szCs w:val="21"/>
        </w:rPr>
      </w:pPr>
    </w:p>
    <w:p w14:paraId="68D80814" w14:textId="77777777" w:rsidR="0018005E" w:rsidRPr="0018005E" w:rsidRDefault="0018005E" w:rsidP="0018005E">
      <w:pPr>
        <w:autoSpaceDE w:val="0"/>
        <w:autoSpaceDN w:val="0"/>
        <w:adjustRightInd w:val="0"/>
        <w:spacing w:line="240" w:lineRule="atLeast"/>
        <w:jc w:val="both"/>
        <w:rPr>
          <w:rFonts w:ascii="CG Times (WN)" w:hAnsi="CG Times (WN)"/>
          <w:sz w:val="20"/>
          <w:szCs w:val="21"/>
        </w:rPr>
      </w:pPr>
      <w:r w:rsidRPr="0018005E">
        <w:rPr>
          <w:rFonts w:ascii="CG Times (WN)" w:hAnsi="CG Times (WN)"/>
          <w:sz w:val="20"/>
          <w:szCs w:val="21"/>
        </w:rPr>
        <w:t>The primary audit procedures we performed to address this critical audit matter included:</w:t>
      </w:r>
    </w:p>
    <w:p w14:paraId="42BADA95" w14:textId="77777777" w:rsidR="0018005E" w:rsidRPr="0018005E" w:rsidRDefault="0018005E" w:rsidP="0018005E">
      <w:pPr>
        <w:autoSpaceDE w:val="0"/>
        <w:autoSpaceDN w:val="0"/>
        <w:adjustRightInd w:val="0"/>
        <w:spacing w:line="240" w:lineRule="atLeast"/>
        <w:jc w:val="both"/>
        <w:rPr>
          <w:rFonts w:ascii="CG Times (WN)" w:hAnsi="CG Times (WN)"/>
          <w:sz w:val="20"/>
          <w:szCs w:val="21"/>
        </w:rPr>
      </w:pPr>
    </w:p>
    <w:p w14:paraId="15604E83" w14:textId="77777777" w:rsidR="0018005E" w:rsidRPr="0018005E" w:rsidRDefault="0018005E" w:rsidP="00C73E0F">
      <w:pPr>
        <w:numPr>
          <w:ilvl w:val="0"/>
          <w:numId w:val="20"/>
        </w:numPr>
        <w:autoSpaceDE w:val="0"/>
        <w:autoSpaceDN w:val="0"/>
        <w:adjustRightInd w:val="0"/>
        <w:spacing w:line="240" w:lineRule="atLeast"/>
        <w:contextualSpacing/>
        <w:jc w:val="both"/>
        <w:rPr>
          <w:rFonts w:ascii="CG Times (WN)" w:hAnsi="CG Times (WN)"/>
          <w:sz w:val="20"/>
          <w:szCs w:val="21"/>
        </w:rPr>
      </w:pPr>
      <w:r w:rsidRPr="0018005E">
        <w:rPr>
          <w:rFonts w:ascii="CG Times (WN)" w:hAnsi="CG Times (WN)"/>
          <w:sz w:val="20"/>
          <w:szCs w:val="21"/>
        </w:rPr>
        <w:t>We evaluated the design effectiveness of controls over the Company’s process for accounting for and recording equity transactions</w:t>
      </w:r>
    </w:p>
    <w:p w14:paraId="2AB0BCE6" w14:textId="77777777" w:rsidR="0018005E" w:rsidRPr="0018005E" w:rsidRDefault="0018005E" w:rsidP="00C73E0F">
      <w:pPr>
        <w:numPr>
          <w:ilvl w:val="0"/>
          <w:numId w:val="20"/>
        </w:numPr>
        <w:autoSpaceDE w:val="0"/>
        <w:autoSpaceDN w:val="0"/>
        <w:adjustRightInd w:val="0"/>
        <w:spacing w:line="240" w:lineRule="atLeast"/>
        <w:contextualSpacing/>
        <w:jc w:val="both"/>
        <w:rPr>
          <w:rFonts w:ascii="CG Times (WN)" w:hAnsi="CG Times (WN)"/>
          <w:sz w:val="20"/>
          <w:szCs w:val="21"/>
        </w:rPr>
      </w:pPr>
      <w:r w:rsidRPr="0018005E">
        <w:rPr>
          <w:rFonts w:ascii="CG Times (WN)" w:hAnsi="CG Times (WN)"/>
          <w:sz w:val="20"/>
          <w:szCs w:val="21"/>
        </w:rPr>
        <w:t>We tested the assumptions used within the Black-Scholes model calculation to estimate the value of stock options and warrants granted, which included key assumptions such as the estimated life of the stock options and warrants and volatility of the Company’s stock price</w:t>
      </w:r>
    </w:p>
    <w:p w14:paraId="594B9E11" w14:textId="77777777" w:rsidR="0018005E" w:rsidRPr="0018005E" w:rsidRDefault="0018005E" w:rsidP="0018005E">
      <w:pPr>
        <w:autoSpaceDE w:val="0"/>
        <w:autoSpaceDN w:val="0"/>
        <w:adjustRightInd w:val="0"/>
        <w:spacing w:line="240" w:lineRule="atLeast"/>
        <w:ind w:right="306"/>
        <w:rPr>
          <w:rFonts w:ascii="CG Times (WN)" w:hAnsi="CG Times (WN)" w:cs="Arial"/>
          <w:color w:val="000000"/>
          <w:sz w:val="20"/>
          <w:szCs w:val="22"/>
        </w:rPr>
      </w:pPr>
    </w:p>
    <w:p w14:paraId="44FBDC33" w14:textId="77777777" w:rsidR="0018005E" w:rsidRPr="0018005E" w:rsidRDefault="0018005E" w:rsidP="0018005E">
      <w:pPr>
        <w:autoSpaceDE w:val="0"/>
        <w:autoSpaceDN w:val="0"/>
        <w:adjustRightInd w:val="0"/>
        <w:spacing w:line="240" w:lineRule="atLeast"/>
        <w:ind w:right="306"/>
        <w:rPr>
          <w:rFonts w:ascii="CG Times (WN)" w:hAnsi="CG Times (WN)" w:cs="Arial"/>
          <w:color w:val="000000"/>
          <w:sz w:val="20"/>
          <w:szCs w:val="22"/>
        </w:rPr>
      </w:pPr>
      <w:r w:rsidRPr="0018005E">
        <w:rPr>
          <w:rFonts w:ascii="CG Times (WN)" w:hAnsi="CG Times (WN)" w:cs="Arial"/>
          <w:color w:val="000000"/>
          <w:sz w:val="20"/>
          <w:szCs w:val="22"/>
        </w:rPr>
        <w:t>/s/ WIPFLI LLP</w:t>
      </w:r>
    </w:p>
    <w:p w14:paraId="0D3B6B32" w14:textId="77777777" w:rsidR="0018005E" w:rsidRPr="0018005E" w:rsidRDefault="0018005E" w:rsidP="0018005E">
      <w:pPr>
        <w:autoSpaceDE w:val="0"/>
        <w:autoSpaceDN w:val="0"/>
        <w:adjustRightInd w:val="0"/>
        <w:spacing w:line="240" w:lineRule="atLeast"/>
        <w:ind w:right="306"/>
        <w:rPr>
          <w:rFonts w:ascii="CG Times (WN)" w:hAnsi="CG Times (WN)" w:cs="Arial"/>
          <w:color w:val="000000"/>
          <w:sz w:val="20"/>
          <w:szCs w:val="22"/>
        </w:rPr>
      </w:pPr>
    </w:p>
    <w:p w14:paraId="3B8C0866"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2"/>
        </w:rPr>
      </w:pPr>
      <w:r w:rsidRPr="0018005E">
        <w:rPr>
          <w:rFonts w:ascii="CG Times (WN)" w:hAnsi="CG Times (WN)" w:cs="Arial"/>
          <w:color w:val="000000"/>
          <w:sz w:val="20"/>
          <w:szCs w:val="22"/>
        </w:rPr>
        <w:t>We have served as the Company’s auditor since 2005.</w:t>
      </w:r>
    </w:p>
    <w:p w14:paraId="062B037B"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2"/>
        </w:rPr>
      </w:pPr>
    </w:p>
    <w:p w14:paraId="3B3131AB"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2"/>
        </w:rPr>
      </w:pPr>
      <w:r w:rsidRPr="0018005E">
        <w:rPr>
          <w:rFonts w:ascii="CG Times (WN)" w:hAnsi="CG Times (WN)" w:cs="Arial"/>
          <w:color w:val="000000"/>
          <w:sz w:val="20"/>
          <w:szCs w:val="22"/>
        </w:rPr>
        <w:t>Atlanta, Georgia</w:t>
      </w:r>
    </w:p>
    <w:p w14:paraId="694B387F" w14:textId="77777777" w:rsidR="0018005E" w:rsidRPr="0018005E" w:rsidRDefault="0018005E" w:rsidP="0018005E">
      <w:pPr>
        <w:autoSpaceDE w:val="0"/>
        <w:autoSpaceDN w:val="0"/>
        <w:adjustRightInd w:val="0"/>
        <w:spacing w:line="240" w:lineRule="atLeast"/>
        <w:jc w:val="both"/>
        <w:rPr>
          <w:rFonts w:ascii="CG Times (WN)" w:hAnsi="CG Times (WN)" w:cs="Arial"/>
          <w:color w:val="000000"/>
          <w:sz w:val="20"/>
          <w:szCs w:val="22"/>
        </w:rPr>
      </w:pPr>
      <w:r w:rsidRPr="0018005E">
        <w:rPr>
          <w:rFonts w:ascii="CG Times (WN)" w:hAnsi="CG Times (WN)" w:cs="Arial"/>
          <w:color w:val="000000"/>
          <w:sz w:val="20"/>
          <w:szCs w:val="22"/>
        </w:rPr>
        <w:t>March 9, 2022</w:t>
      </w:r>
    </w:p>
    <w:p w14:paraId="7A925131" w14:textId="77777777" w:rsidR="008A3183" w:rsidRDefault="008A3183" w:rsidP="008A3183">
      <w:pPr>
        <w:ind w:left="144" w:right="144"/>
        <w:rPr>
          <w:sz w:val="20"/>
          <w:szCs w:val="20"/>
        </w:rPr>
      </w:pPr>
      <w:r>
        <w:rPr>
          <w:sz w:val="20"/>
          <w:szCs w:val="20"/>
        </w:rPr>
        <w:t> </w:t>
      </w:r>
    </w:p>
    <w:p w14:paraId="5A41AFF2" w14:textId="77777777" w:rsidR="008A3183" w:rsidRDefault="008A3183">
      <w:pPr>
        <w:rPr>
          <w:b/>
          <w:bCs/>
          <w:sz w:val="20"/>
          <w:szCs w:val="20"/>
        </w:rPr>
      </w:pPr>
      <w:r>
        <w:rPr>
          <w:b/>
          <w:bCs/>
          <w:sz w:val="20"/>
          <w:szCs w:val="20"/>
        </w:rPr>
        <w:br w:type="page"/>
      </w:r>
    </w:p>
    <w:tbl>
      <w:tblPr>
        <w:tblW w:w="0" w:type="auto"/>
        <w:tblInd w:w="-24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BC33BB" w:rsidRPr="00BC33BB" w14:paraId="036258D4" w14:textId="77777777" w:rsidTr="004F5282">
        <w:trPr>
          <w:cantSplit/>
          <w:trHeight w:val="230"/>
        </w:trPr>
        <w:tc>
          <w:tcPr>
            <w:tcW w:w="10080" w:type="dxa"/>
            <w:gridSpan w:val="7"/>
          </w:tcPr>
          <w:p w14:paraId="17070548" w14:textId="77777777" w:rsidR="00BC33BB" w:rsidRPr="00BC33BB" w:rsidRDefault="00BC33BB" w:rsidP="00BC33BB">
            <w:pPr>
              <w:keepNext/>
              <w:numPr>
                <w:ilvl w:val="7"/>
                <w:numId w:val="0"/>
              </w:numPr>
              <w:tabs>
                <w:tab w:val="num" w:pos="5400"/>
              </w:tabs>
              <w:jc w:val="center"/>
              <w:outlineLvl w:val="7"/>
              <w:rPr>
                <w:b/>
                <w:snapToGrid w:val="0"/>
                <w:color w:val="000000"/>
              </w:rPr>
            </w:pPr>
            <w:r w:rsidRPr="00BC33BB">
              <w:rPr>
                <w:b/>
                <w:snapToGrid w:val="0"/>
                <w:color w:val="000000"/>
              </w:rPr>
              <w:lastRenderedPageBreak/>
              <w:t>GEOVAX LABS, INC.</w:t>
            </w:r>
          </w:p>
        </w:tc>
      </w:tr>
      <w:tr w:rsidR="00BC33BB" w:rsidRPr="00BC33BB" w14:paraId="7C582532" w14:textId="77777777" w:rsidTr="004F5282">
        <w:trPr>
          <w:cantSplit/>
          <w:trHeight w:val="230"/>
        </w:trPr>
        <w:tc>
          <w:tcPr>
            <w:tcW w:w="10080" w:type="dxa"/>
            <w:gridSpan w:val="7"/>
          </w:tcPr>
          <w:p w14:paraId="6EF65CEF" w14:textId="77777777" w:rsidR="00BC33BB" w:rsidRPr="00BC33BB" w:rsidRDefault="00BC33BB" w:rsidP="00BC33BB">
            <w:pPr>
              <w:keepNext/>
              <w:numPr>
                <w:ilvl w:val="7"/>
                <w:numId w:val="0"/>
              </w:numPr>
              <w:tabs>
                <w:tab w:val="num" w:pos="5400"/>
              </w:tabs>
              <w:jc w:val="center"/>
              <w:outlineLvl w:val="7"/>
              <w:rPr>
                <w:b/>
                <w:snapToGrid w:val="0"/>
                <w:color w:val="000000"/>
              </w:rPr>
            </w:pPr>
            <w:r w:rsidRPr="00BC33BB">
              <w:rPr>
                <w:b/>
                <w:snapToGrid w:val="0"/>
                <w:color w:val="000000"/>
              </w:rPr>
              <w:t>CONSOLIDATED BALANCE SHEETS</w:t>
            </w:r>
          </w:p>
        </w:tc>
      </w:tr>
      <w:tr w:rsidR="00BC33BB" w:rsidRPr="00BC33BB" w14:paraId="35EA1717" w14:textId="77777777" w:rsidTr="004F5282">
        <w:trPr>
          <w:trHeight w:hRule="exact" w:val="230"/>
        </w:trPr>
        <w:tc>
          <w:tcPr>
            <w:tcW w:w="305" w:type="dxa"/>
          </w:tcPr>
          <w:p w14:paraId="5C97F06A" w14:textId="77777777" w:rsidR="00BC33BB" w:rsidRPr="00BC33BB" w:rsidRDefault="00BC33BB" w:rsidP="00BC33BB">
            <w:pPr>
              <w:jc w:val="right"/>
              <w:rPr>
                <w:snapToGrid w:val="0"/>
                <w:color w:val="000000"/>
                <w:sz w:val="20"/>
                <w:szCs w:val="20"/>
              </w:rPr>
            </w:pPr>
          </w:p>
        </w:tc>
        <w:tc>
          <w:tcPr>
            <w:tcW w:w="302" w:type="dxa"/>
          </w:tcPr>
          <w:p w14:paraId="4BEEF916" w14:textId="77777777" w:rsidR="00BC33BB" w:rsidRPr="00BC33BB" w:rsidRDefault="00BC33BB" w:rsidP="00BC33BB">
            <w:pPr>
              <w:jc w:val="right"/>
              <w:rPr>
                <w:snapToGrid w:val="0"/>
                <w:color w:val="000000"/>
                <w:sz w:val="20"/>
                <w:szCs w:val="20"/>
              </w:rPr>
            </w:pPr>
          </w:p>
        </w:tc>
        <w:tc>
          <w:tcPr>
            <w:tcW w:w="5513" w:type="dxa"/>
          </w:tcPr>
          <w:p w14:paraId="29D68E05" w14:textId="77777777" w:rsidR="00BC33BB" w:rsidRPr="00BC33BB" w:rsidRDefault="00BC33BB" w:rsidP="00BC33BB">
            <w:pPr>
              <w:jc w:val="right"/>
              <w:rPr>
                <w:snapToGrid w:val="0"/>
                <w:color w:val="000000"/>
                <w:sz w:val="20"/>
                <w:szCs w:val="20"/>
              </w:rPr>
            </w:pPr>
          </w:p>
        </w:tc>
        <w:tc>
          <w:tcPr>
            <w:tcW w:w="90" w:type="dxa"/>
          </w:tcPr>
          <w:p w14:paraId="2713252B" w14:textId="77777777" w:rsidR="00BC33BB" w:rsidRPr="00BC33BB" w:rsidRDefault="00BC33BB" w:rsidP="00BC33BB">
            <w:pPr>
              <w:jc w:val="right"/>
              <w:rPr>
                <w:snapToGrid w:val="0"/>
                <w:color w:val="000000"/>
                <w:sz w:val="20"/>
                <w:szCs w:val="20"/>
              </w:rPr>
            </w:pPr>
          </w:p>
        </w:tc>
        <w:tc>
          <w:tcPr>
            <w:tcW w:w="3870" w:type="dxa"/>
            <w:gridSpan w:val="3"/>
          </w:tcPr>
          <w:p w14:paraId="2485A3D0" w14:textId="77777777" w:rsidR="00BC33BB" w:rsidRPr="00BC33BB" w:rsidRDefault="00BC33BB" w:rsidP="00BC33BB">
            <w:pPr>
              <w:jc w:val="center"/>
              <w:rPr>
                <w:snapToGrid w:val="0"/>
                <w:color w:val="000000"/>
                <w:sz w:val="20"/>
                <w:szCs w:val="20"/>
              </w:rPr>
            </w:pPr>
          </w:p>
        </w:tc>
      </w:tr>
      <w:tr w:rsidR="00BC33BB" w:rsidRPr="00BC33BB" w14:paraId="436D5E85" w14:textId="77777777" w:rsidTr="004F5282">
        <w:trPr>
          <w:trHeight w:hRule="exact" w:val="230"/>
        </w:trPr>
        <w:tc>
          <w:tcPr>
            <w:tcW w:w="305" w:type="dxa"/>
          </w:tcPr>
          <w:p w14:paraId="70848D7E" w14:textId="77777777" w:rsidR="00BC33BB" w:rsidRPr="00BC33BB" w:rsidRDefault="00BC33BB" w:rsidP="00BC33BB">
            <w:pPr>
              <w:jc w:val="right"/>
              <w:rPr>
                <w:snapToGrid w:val="0"/>
                <w:color w:val="000000"/>
                <w:sz w:val="20"/>
                <w:szCs w:val="20"/>
              </w:rPr>
            </w:pPr>
          </w:p>
        </w:tc>
        <w:tc>
          <w:tcPr>
            <w:tcW w:w="302" w:type="dxa"/>
          </w:tcPr>
          <w:p w14:paraId="28350732" w14:textId="77777777" w:rsidR="00BC33BB" w:rsidRPr="00BC33BB" w:rsidRDefault="00BC33BB" w:rsidP="00BC33BB">
            <w:pPr>
              <w:jc w:val="right"/>
              <w:rPr>
                <w:snapToGrid w:val="0"/>
                <w:color w:val="000000"/>
                <w:sz w:val="20"/>
                <w:szCs w:val="20"/>
              </w:rPr>
            </w:pPr>
          </w:p>
        </w:tc>
        <w:tc>
          <w:tcPr>
            <w:tcW w:w="5513" w:type="dxa"/>
          </w:tcPr>
          <w:p w14:paraId="1561DCB6" w14:textId="77777777" w:rsidR="00BC33BB" w:rsidRPr="00BC33BB" w:rsidRDefault="00BC33BB" w:rsidP="00BC33BB">
            <w:pPr>
              <w:jc w:val="right"/>
              <w:rPr>
                <w:snapToGrid w:val="0"/>
                <w:color w:val="000000"/>
                <w:sz w:val="20"/>
                <w:szCs w:val="20"/>
              </w:rPr>
            </w:pPr>
          </w:p>
        </w:tc>
        <w:tc>
          <w:tcPr>
            <w:tcW w:w="90" w:type="dxa"/>
          </w:tcPr>
          <w:p w14:paraId="665CF9E5" w14:textId="77777777" w:rsidR="00BC33BB" w:rsidRPr="00BC33BB" w:rsidRDefault="00BC33BB" w:rsidP="00BC33BB">
            <w:pPr>
              <w:jc w:val="right"/>
              <w:rPr>
                <w:snapToGrid w:val="0"/>
                <w:color w:val="000000"/>
                <w:sz w:val="20"/>
                <w:szCs w:val="20"/>
              </w:rPr>
            </w:pPr>
          </w:p>
        </w:tc>
        <w:tc>
          <w:tcPr>
            <w:tcW w:w="3870" w:type="dxa"/>
            <w:gridSpan w:val="3"/>
            <w:tcBorders>
              <w:bottom w:val="single" w:sz="4" w:space="0" w:color="auto"/>
            </w:tcBorders>
          </w:tcPr>
          <w:p w14:paraId="17EBC6D9" w14:textId="77777777" w:rsidR="00BC33BB" w:rsidRPr="00BC33BB" w:rsidRDefault="00BC33BB" w:rsidP="00BC33BB">
            <w:pPr>
              <w:jc w:val="center"/>
              <w:rPr>
                <w:snapToGrid w:val="0"/>
                <w:color w:val="000000"/>
                <w:sz w:val="20"/>
                <w:szCs w:val="20"/>
              </w:rPr>
            </w:pPr>
            <w:r w:rsidRPr="00BC33BB">
              <w:rPr>
                <w:snapToGrid w:val="0"/>
                <w:color w:val="000000"/>
                <w:sz w:val="20"/>
                <w:szCs w:val="20"/>
              </w:rPr>
              <w:t>December 31,</w:t>
            </w:r>
          </w:p>
          <w:p w14:paraId="4B382196" w14:textId="77777777" w:rsidR="00BC33BB" w:rsidRPr="00BC33BB" w:rsidRDefault="00BC33BB" w:rsidP="00BC33BB">
            <w:pPr>
              <w:jc w:val="center"/>
              <w:rPr>
                <w:snapToGrid w:val="0"/>
                <w:color w:val="000000"/>
                <w:sz w:val="20"/>
                <w:szCs w:val="20"/>
              </w:rPr>
            </w:pPr>
            <w:r w:rsidRPr="00BC33BB">
              <w:rPr>
                <w:snapToGrid w:val="0"/>
                <w:color w:val="000000"/>
                <w:sz w:val="20"/>
                <w:szCs w:val="20"/>
              </w:rPr>
              <w:t>December 31,</w:t>
            </w:r>
          </w:p>
        </w:tc>
      </w:tr>
      <w:tr w:rsidR="00BC33BB" w:rsidRPr="00BC33BB" w14:paraId="63D59F4C" w14:textId="77777777" w:rsidTr="004F5282">
        <w:trPr>
          <w:trHeight w:hRule="exact" w:val="230"/>
        </w:trPr>
        <w:tc>
          <w:tcPr>
            <w:tcW w:w="305" w:type="dxa"/>
          </w:tcPr>
          <w:p w14:paraId="55CFE4CA" w14:textId="77777777" w:rsidR="00BC33BB" w:rsidRPr="00BC33BB" w:rsidRDefault="00BC33BB" w:rsidP="00BC33BB">
            <w:pPr>
              <w:jc w:val="right"/>
              <w:rPr>
                <w:snapToGrid w:val="0"/>
                <w:color w:val="000000"/>
                <w:sz w:val="20"/>
                <w:szCs w:val="20"/>
              </w:rPr>
            </w:pPr>
          </w:p>
        </w:tc>
        <w:tc>
          <w:tcPr>
            <w:tcW w:w="302" w:type="dxa"/>
          </w:tcPr>
          <w:p w14:paraId="2388F65F" w14:textId="77777777" w:rsidR="00BC33BB" w:rsidRPr="00BC33BB" w:rsidRDefault="00BC33BB" w:rsidP="00BC33BB">
            <w:pPr>
              <w:jc w:val="right"/>
              <w:rPr>
                <w:snapToGrid w:val="0"/>
                <w:color w:val="000000"/>
                <w:sz w:val="20"/>
                <w:szCs w:val="20"/>
              </w:rPr>
            </w:pPr>
          </w:p>
        </w:tc>
        <w:tc>
          <w:tcPr>
            <w:tcW w:w="5513" w:type="dxa"/>
          </w:tcPr>
          <w:p w14:paraId="58605DF2" w14:textId="77777777" w:rsidR="00BC33BB" w:rsidRPr="00BC33BB" w:rsidRDefault="00BC33BB" w:rsidP="00BC33BB">
            <w:pPr>
              <w:jc w:val="right"/>
              <w:rPr>
                <w:snapToGrid w:val="0"/>
                <w:color w:val="000000"/>
                <w:sz w:val="20"/>
                <w:szCs w:val="20"/>
              </w:rPr>
            </w:pPr>
          </w:p>
        </w:tc>
        <w:tc>
          <w:tcPr>
            <w:tcW w:w="90" w:type="dxa"/>
          </w:tcPr>
          <w:p w14:paraId="0400F90A" w14:textId="77777777" w:rsidR="00BC33BB" w:rsidRPr="00BC33BB" w:rsidRDefault="00BC33BB" w:rsidP="00BC33BB">
            <w:pPr>
              <w:jc w:val="right"/>
              <w:rPr>
                <w:snapToGrid w:val="0"/>
                <w:color w:val="000000"/>
                <w:sz w:val="20"/>
                <w:szCs w:val="20"/>
              </w:rPr>
            </w:pPr>
          </w:p>
        </w:tc>
        <w:tc>
          <w:tcPr>
            <w:tcW w:w="1710" w:type="dxa"/>
            <w:tcBorders>
              <w:top w:val="single" w:sz="4" w:space="0" w:color="auto"/>
              <w:bottom w:val="single" w:sz="6" w:space="0" w:color="auto"/>
            </w:tcBorders>
          </w:tcPr>
          <w:p w14:paraId="345EAC3B" w14:textId="77777777" w:rsidR="00BC33BB" w:rsidRPr="00BC33BB" w:rsidRDefault="00BC33BB" w:rsidP="00BC33BB">
            <w:pPr>
              <w:jc w:val="center"/>
              <w:rPr>
                <w:snapToGrid w:val="0"/>
                <w:color w:val="000000"/>
                <w:sz w:val="20"/>
                <w:szCs w:val="20"/>
              </w:rPr>
            </w:pPr>
            <w:r w:rsidRPr="00BC33BB">
              <w:rPr>
                <w:snapToGrid w:val="0"/>
                <w:color w:val="000000"/>
                <w:sz w:val="20"/>
                <w:szCs w:val="20"/>
              </w:rPr>
              <w:t>2021</w:t>
            </w:r>
          </w:p>
        </w:tc>
        <w:tc>
          <w:tcPr>
            <w:tcW w:w="270" w:type="dxa"/>
            <w:tcBorders>
              <w:top w:val="single" w:sz="4" w:space="0" w:color="auto"/>
            </w:tcBorders>
          </w:tcPr>
          <w:p w14:paraId="2F0224BB" w14:textId="77777777" w:rsidR="00BC33BB" w:rsidRPr="00BC33BB" w:rsidRDefault="00BC33BB" w:rsidP="00BC33BB">
            <w:pPr>
              <w:jc w:val="right"/>
              <w:rPr>
                <w:snapToGrid w:val="0"/>
                <w:color w:val="000000"/>
                <w:sz w:val="20"/>
                <w:szCs w:val="20"/>
              </w:rPr>
            </w:pPr>
          </w:p>
        </w:tc>
        <w:tc>
          <w:tcPr>
            <w:tcW w:w="1890" w:type="dxa"/>
            <w:tcBorders>
              <w:top w:val="single" w:sz="4" w:space="0" w:color="auto"/>
              <w:bottom w:val="single" w:sz="6" w:space="0" w:color="auto"/>
            </w:tcBorders>
          </w:tcPr>
          <w:p w14:paraId="0047F6D9" w14:textId="77777777" w:rsidR="00BC33BB" w:rsidRPr="00BC33BB" w:rsidRDefault="00BC33BB" w:rsidP="00BC33BB">
            <w:pPr>
              <w:jc w:val="center"/>
              <w:rPr>
                <w:snapToGrid w:val="0"/>
                <w:color w:val="000000"/>
                <w:sz w:val="20"/>
                <w:szCs w:val="20"/>
              </w:rPr>
            </w:pPr>
            <w:r w:rsidRPr="00BC33BB">
              <w:rPr>
                <w:snapToGrid w:val="0"/>
                <w:color w:val="000000"/>
                <w:sz w:val="20"/>
                <w:szCs w:val="20"/>
              </w:rPr>
              <w:t>2020</w:t>
            </w:r>
          </w:p>
        </w:tc>
      </w:tr>
      <w:tr w:rsidR="00BC33BB" w:rsidRPr="00BC33BB" w14:paraId="2B357F58" w14:textId="77777777" w:rsidTr="004F5282">
        <w:trPr>
          <w:trHeight w:hRule="exact" w:val="230"/>
        </w:trPr>
        <w:tc>
          <w:tcPr>
            <w:tcW w:w="6120" w:type="dxa"/>
            <w:gridSpan w:val="3"/>
          </w:tcPr>
          <w:p w14:paraId="154D16DB" w14:textId="77777777" w:rsidR="00BC33BB" w:rsidRPr="00BC33BB" w:rsidRDefault="00BC33BB" w:rsidP="00BC33BB">
            <w:pPr>
              <w:rPr>
                <w:snapToGrid w:val="0"/>
                <w:color w:val="000000"/>
                <w:sz w:val="20"/>
                <w:szCs w:val="20"/>
              </w:rPr>
            </w:pPr>
            <w:r w:rsidRPr="00BC33BB">
              <w:rPr>
                <w:snapToGrid w:val="0"/>
                <w:color w:val="000000"/>
                <w:sz w:val="20"/>
                <w:szCs w:val="20"/>
              </w:rPr>
              <w:t>ASSETS</w:t>
            </w:r>
          </w:p>
        </w:tc>
        <w:tc>
          <w:tcPr>
            <w:tcW w:w="90" w:type="dxa"/>
          </w:tcPr>
          <w:p w14:paraId="4972952B" w14:textId="77777777" w:rsidR="00BC33BB" w:rsidRPr="00BC33BB" w:rsidRDefault="00BC33BB" w:rsidP="00BC33BB">
            <w:pPr>
              <w:jc w:val="right"/>
              <w:rPr>
                <w:snapToGrid w:val="0"/>
                <w:color w:val="000000"/>
                <w:sz w:val="20"/>
                <w:szCs w:val="20"/>
              </w:rPr>
            </w:pPr>
          </w:p>
        </w:tc>
        <w:tc>
          <w:tcPr>
            <w:tcW w:w="1710" w:type="dxa"/>
          </w:tcPr>
          <w:p w14:paraId="4BD162A5" w14:textId="77777777" w:rsidR="00BC33BB" w:rsidRPr="00BC33BB" w:rsidRDefault="00BC33BB" w:rsidP="00BC33BB">
            <w:pPr>
              <w:jc w:val="center"/>
              <w:rPr>
                <w:snapToGrid w:val="0"/>
                <w:color w:val="000000"/>
                <w:sz w:val="20"/>
                <w:szCs w:val="20"/>
              </w:rPr>
            </w:pPr>
          </w:p>
        </w:tc>
        <w:tc>
          <w:tcPr>
            <w:tcW w:w="270" w:type="dxa"/>
          </w:tcPr>
          <w:p w14:paraId="3AC22D7B" w14:textId="77777777" w:rsidR="00BC33BB" w:rsidRPr="00BC33BB" w:rsidRDefault="00BC33BB" w:rsidP="00BC33BB">
            <w:pPr>
              <w:jc w:val="center"/>
              <w:rPr>
                <w:snapToGrid w:val="0"/>
                <w:color w:val="000000"/>
                <w:sz w:val="20"/>
                <w:szCs w:val="20"/>
              </w:rPr>
            </w:pPr>
          </w:p>
        </w:tc>
        <w:tc>
          <w:tcPr>
            <w:tcW w:w="1890" w:type="dxa"/>
          </w:tcPr>
          <w:p w14:paraId="4657A3D8" w14:textId="77777777" w:rsidR="00BC33BB" w:rsidRPr="00BC33BB" w:rsidRDefault="00BC33BB" w:rsidP="00BC33BB">
            <w:pPr>
              <w:jc w:val="center"/>
              <w:rPr>
                <w:snapToGrid w:val="0"/>
                <w:color w:val="000000"/>
                <w:sz w:val="20"/>
                <w:szCs w:val="20"/>
              </w:rPr>
            </w:pPr>
          </w:p>
        </w:tc>
      </w:tr>
      <w:tr w:rsidR="00BC33BB" w:rsidRPr="00BC33BB" w14:paraId="566B8BCB" w14:textId="77777777" w:rsidTr="004F5282">
        <w:trPr>
          <w:trHeight w:hRule="exact" w:val="230"/>
        </w:trPr>
        <w:tc>
          <w:tcPr>
            <w:tcW w:w="6120" w:type="dxa"/>
            <w:gridSpan w:val="3"/>
          </w:tcPr>
          <w:p w14:paraId="3E631FB2" w14:textId="77777777" w:rsidR="00BC33BB" w:rsidRPr="00BC33BB" w:rsidRDefault="00BC33BB" w:rsidP="00BC33BB">
            <w:pPr>
              <w:rPr>
                <w:snapToGrid w:val="0"/>
                <w:color w:val="000000"/>
                <w:sz w:val="20"/>
                <w:szCs w:val="20"/>
              </w:rPr>
            </w:pPr>
            <w:r w:rsidRPr="00BC33BB">
              <w:rPr>
                <w:snapToGrid w:val="0"/>
                <w:color w:val="000000"/>
                <w:sz w:val="20"/>
                <w:szCs w:val="20"/>
              </w:rPr>
              <w:t>Current assets:</w:t>
            </w:r>
          </w:p>
        </w:tc>
        <w:tc>
          <w:tcPr>
            <w:tcW w:w="90" w:type="dxa"/>
          </w:tcPr>
          <w:p w14:paraId="7BC3C980" w14:textId="77777777" w:rsidR="00BC33BB" w:rsidRPr="00BC33BB" w:rsidRDefault="00BC33BB" w:rsidP="00BC33BB">
            <w:pPr>
              <w:jc w:val="right"/>
              <w:rPr>
                <w:snapToGrid w:val="0"/>
                <w:color w:val="000000"/>
                <w:sz w:val="20"/>
                <w:szCs w:val="20"/>
              </w:rPr>
            </w:pPr>
          </w:p>
        </w:tc>
        <w:tc>
          <w:tcPr>
            <w:tcW w:w="1710" w:type="dxa"/>
          </w:tcPr>
          <w:p w14:paraId="21162B8A" w14:textId="77777777" w:rsidR="00BC33BB" w:rsidRPr="00BC33BB" w:rsidRDefault="00BC33BB" w:rsidP="00BC33BB">
            <w:pPr>
              <w:jc w:val="right"/>
              <w:rPr>
                <w:snapToGrid w:val="0"/>
                <w:color w:val="000000"/>
                <w:sz w:val="20"/>
                <w:szCs w:val="20"/>
              </w:rPr>
            </w:pPr>
          </w:p>
        </w:tc>
        <w:tc>
          <w:tcPr>
            <w:tcW w:w="270" w:type="dxa"/>
          </w:tcPr>
          <w:p w14:paraId="6A91004E" w14:textId="77777777" w:rsidR="00BC33BB" w:rsidRPr="00BC33BB" w:rsidRDefault="00BC33BB" w:rsidP="00BC33BB">
            <w:pPr>
              <w:jc w:val="right"/>
              <w:rPr>
                <w:snapToGrid w:val="0"/>
                <w:color w:val="000000"/>
                <w:sz w:val="20"/>
                <w:szCs w:val="20"/>
              </w:rPr>
            </w:pPr>
          </w:p>
        </w:tc>
        <w:tc>
          <w:tcPr>
            <w:tcW w:w="1890" w:type="dxa"/>
          </w:tcPr>
          <w:p w14:paraId="57C5B2DC" w14:textId="77777777" w:rsidR="00BC33BB" w:rsidRPr="00BC33BB" w:rsidRDefault="00BC33BB" w:rsidP="00BC33BB">
            <w:pPr>
              <w:jc w:val="right"/>
              <w:rPr>
                <w:snapToGrid w:val="0"/>
                <w:color w:val="000000"/>
                <w:sz w:val="20"/>
                <w:szCs w:val="20"/>
              </w:rPr>
            </w:pPr>
          </w:p>
        </w:tc>
      </w:tr>
      <w:tr w:rsidR="00BC33BB" w:rsidRPr="00BC33BB" w14:paraId="7E2DE650" w14:textId="77777777" w:rsidTr="004F5282">
        <w:trPr>
          <w:trHeight w:hRule="exact" w:val="230"/>
        </w:trPr>
        <w:tc>
          <w:tcPr>
            <w:tcW w:w="305" w:type="dxa"/>
          </w:tcPr>
          <w:p w14:paraId="76DEDDD5" w14:textId="77777777" w:rsidR="00BC33BB" w:rsidRPr="00BC33BB" w:rsidRDefault="00BC33BB" w:rsidP="00BC33BB">
            <w:pPr>
              <w:rPr>
                <w:snapToGrid w:val="0"/>
                <w:color w:val="000000"/>
                <w:sz w:val="20"/>
                <w:szCs w:val="20"/>
              </w:rPr>
            </w:pPr>
          </w:p>
        </w:tc>
        <w:tc>
          <w:tcPr>
            <w:tcW w:w="5815" w:type="dxa"/>
            <w:gridSpan w:val="2"/>
          </w:tcPr>
          <w:p w14:paraId="5EF13494" w14:textId="77777777" w:rsidR="00BC33BB" w:rsidRPr="00BC33BB" w:rsidRDefault="00BC33BB" w:rsidP="00BC33BB">
            <w:pPr>
              <w:rPr>
                <w:b/>
                <w:snapToGrid w:val="0"/>
                <w:color w:val="000000"/>
                <w:sz w:val="20"/>
                <w:szCs w:val="20"/>
              </w:rPr>
            </w:pPr>
            <w:r w:rsidRPr="00BC33BB">
              <w:rPr>
                <w:snapToGrid w:val="0"/>
                <w:color w:val="000000"/>
                <w:sz w:val="20"/>
                <w:szCs w:val="20"/>
              </w:rPr>
              <w:t>Cash and cash equivalents</w:t>
            </w:r>
          </w:p>
        </w:tc>
        <w:tc>
          <w:tcPr>
            <w:tcW w:w="90" w:type="dxa"/>
          </w:tcPr>
          <w:p w14:paraId="667B09E0" w14:textId="77777777" w:rsidR="00BC33BB" w:rsidRPr="00BC33BB" w:rsidRDefault="00BC33BB" w:rsidP="00BC33BB">
            <w:pPr>
              <w:jc w:val="right"/>
              <w:rPr>
                <w:snapToGrid w:val="0"/>
                <w:color w:val="000000"/>
                <w:sz w:val="20"/>
                <w:szCs w:val="20"/>
              </w:rPr>
            </w:pPr>
          </w:p>
        </w:tc>
        <w:tc>
          <w:tcPr>
            <w:tcW w:w="1710" w:type="dxa"/>
          </w:tcPr>
          <w:p w14:paraId="1936B6BC" w14:textId="77777777" w:rsidR="00BC33BB" w:rsidRPr="00BC33BB" w:rsidRDefault="00BC33BB" w:rsidP="00BC33BB">
            <w:pPr>
              <w:tabs>
                <w:tab w:val="left" w:pos="115"/>
                <w:tab w:val="decimal" w:pos="132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11,423,870</w:t>
            </w:r>
          </w:p>
        </w:tc>
        <w:tc>
          <w:tcPr>
            <w:tcW w:w="270" w:type="dxa"/>
          </w:tcPr>
          <w:p w14:paraId="630D1466" w14:textId="77777777" w:rsidR="00BC33BB" w:rsidRPr="00BC33BB" w:rsidRDefault="00BC33BB" w:rsidP="00BC33BB">
            <w:pPr>
              <w:jc w:val="right"/>
              <w:rPr>
                <w:snapToGrid w:val="0"/>
                <w:color w:val="000000"/>
                <w:sz w:val="20"/>
                <w:szCs w:val="20"/>
              </w:rPr>
            </w:pPr>
          </w:p>
        </w:tc>
        <w:tc>
          <w:tcPr>
            <w:tcW w:w="1890" w:type="dxa"/>
          </w:tcPr>
          <w:p w14:paraId="07D47F8D" w14:textId="77777777" w:rsidR="00BC33BB" w:rsidRPr="00BC33BB" w:rsidRDefault="00BC33BB" w:rsidP="00BC33BB">
            <w:pPr>
              <w:tabs>
                <w:tab w:val="left" w:pos="115"/>
                <w:tab w:val="decimal" w:pos="150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9,883,796</w:t>
            </w:r>
          </w:p>
        </w:tc>
      </w:tr>
      <w:tr w:rsidR="00BC33BB" w:rsidRPr="00BC33BB" w14:paraId="723D8BBD" w14:textId="77777777" w:rsidTr="004F5282">
        <w:trPr>
          <w:trHeight w:hRule="exact" w:val="230"/>
        </w:trPr>
        <w:tc>
          <w:tcPr>
            <w:tcW w:w="305" w:type="dxa"/>
          </w:tcPr>
          <w:p w14:paraId="41E97DB4" w14:textId="77777777" w:rsidR="00BC33BB" w:rsidRPr="00BC33BB" w:rsidRDefault="00BC33BB" w:rsidP="00BC33BB">
            <w:pPr>
              <w:jc w:val="right"/>
              <w:rPr>
                <w:snapToGrid w:val="0"/>
                <w:color w:val="000000"/>
                <w:sz w:val="20"/>
                <w:szCs w:val="20"/>
              </w:rPr>
            </w:pPr>
          </w:p>
        </w:tc>
        <w:tc>
          <w:tcPr>
            <w:tcW w:w="5815" w:type="dxa"/>
            <w:gridSpan w:val="2"/>
          </w:tcPr>
          <w:p w14:paraId="358838EF" w14:textId="77777777" w:rsidR="00BC33BB" w:rsidRPr="00BC33BB" w:rsidRDefault="00BC33BB" w:rsidP="00BC33BB">
            <w:pPr>
              <w:rPr>
                <w:snapToGrid w:val="0"/>
                <w:color w:val="000000"/>
                <w:sz w:val="20"/>
                <w:szCs w:val="20"/>
              </w:rPr>
            </w:pPr>
            <w:r w:rsidRPr="00BC33BB">
              <w:rPr>
                <w:snapToGrid w:val="0"/>
                <w:color w:val="000000"/>
                <w:sz w:val="20"/>
                <w:szCs w:val="20"/>
              </w:rPr>
              <w:t>Grant funds and other receivables</w:t>
            </w:r>
          </w:p>
        </w:tc>
        <w:tc>
          <w:tcPr>
            <w:tcW w:w="90" w:type="dxa"/>
          </w:tcPr>
          <w:p w14:paraId="45FCFACC" w14:textId="77777777" w:rsidR="00BC33BB" w:rsidRPr="00BC33BB" w:rsidRDefault="00BC33BB" w:rsidP="00BC33BB">
            <w:pPr>
              <w:jc w:val="right"/>
              <w:rPr>
                <w:snapToGrid w:val="0"/>
                <w:color w:val="000000"/>
                <w:sz w:val="20"/>
                <w:szCs w:val="20"/>
              </w:rPr>
            </w:pPr>
          </w:p>
        </w:tc>
        <w:tc>
          <w:tcPr>
            <w:tcW w:w="1710" w:type="dxa"/>
          </w:tcPr>
          <w:p w14:paraId="152E3303"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49,006</w:t>
            </w:r>
          </w:p>
        </w:tc>
        <w:tc>
          <w:tcPr>
            <w:tcW w:w="270" w:type="dxa"/>
          </w:tcPr>
          <w:p w14:paraId="2867B7D5" w14:textId="77777777" w:rsidR="00BC33BB" w:rsidRPr="00BC33BB" w:rsidRDefault="00BC33BB" w:rsidP="00BC33BB">
            <w:pPr>
              <w:jc w:val="right"/>
              <w:rPr>
                <w:snapToGrid w:val="0"/>
                <w:color w:val="000000"/>
                <w:sz w:val="20"/>
                <w:szCs w:val="20"/>
              </w:rPr>
            </w:pPr>
          </w:p>
        </w:tc>
        <w:tc>
          <w:tcPr>
            <w:tcW w:w="1890" w:type="dxa"/>
          </w:tcPr>
          <w:p w14:paraId="2E0433A2"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182,663</w:t>
            </w:r>
          </w:p>
        </w:tc>
      </w:tr>
      <w:tr w:rsidR="00BC33BB" w:rsidRPr="00BC33BB" w14:paraId="4A144668" w14:textId="77777777" w:rsidTr="004F5282">
        <w:trPr>
          <w:trHeight w:hRule="exact" w:val="230"/>
        </w:trPr>
        <w:tc>
          <w:tcPr>
            <w:tcW w:w="305" w:type="dxa"/>
          </w:tcPr>
          <w:p w14:paraId="3E26D336" w14:textId="77777777" w:rsidR="00BC33BB" w:rsidRPr="00BC33BB" w:rsidRDefault="00BC33BB" w:rsidP="00BC33BB">
            <w:pPr>
              <w:jc w:val="right"/>
              <w:rPr>
                <w:snapToGrid w:val="0"/>
                <w:color w:val="000000"/>
                <w:sz w:val="20"/>
                <w:szCs w:val="20"/>
              </w:rPr>
            </w:pPr>
          </w:p>
        </w:tc>
        <w:tc>
          <w:tcPr>
            <w:tcW w:w="5815" w:type="dxa"/>
            <w:gridSpan w:val="2"/>
          </w:tcPr>
          <w:p w14:paraId="72819AB4" w14:textId="77777777" w:rsidR="00BC33BB" w:rsidRPr="00BC33BB" w:rsidRDefault="00BC33BB" w:rsidP="00BC33BB">
            <w:pPr>
              <w:rPr>
                <w:b/>
                <w:snapToGrid w:val="0"/>
                <w:color w:val="000000"/>
                <w:sz w:val="20"/>
                <w:szCs w:val="20"/>
              </w:rPr>
            </w:pPr>
            <w:r w:rsidRPr="00BC33BB">
              <w:rPr>
                <w:snapToGrid w:val="0"/>
                <w:color w:val="000000"/>
                <w:sz w:val="20"/>
                <w:szCs w:val="20"/>
              </w:rPr>
              <w:t>Prepaid expenses and other current assets</w:t>
            </w:r>
          </w:p>
        </w:tc>
        <w:tc>
          <w:tcPr>
            <w:tcW w:w="90" w:type="dxa"/>
          </w:tcPr>
          <w:p w14:paraId="7118CE4B" w14:textId="77777777" w:rsidR="00BC33BB" w:rsidRPr="00BC33BB" w:rsidRDefault="00BC33BB" w:rsidP="00BC33BB">
            <w:pPr>
              <w:jc w:val="right"/>
              <w:rPr>
                <w:snapToGrid w:val="0"/>
                <w:color w:val="000000"/>
                <w:sz w:val="20"/>
                <w:szCs w:val="20"/>
              </w:rPr>
            </w:pPr>
          </w:p>
        </w:tc>
        <w:tc>
          <w:tcPr>
            <w:tcW w:w="1710" w:type="dxa"/>
            <w:tcBorders>
              <w:bottom w:val="single" w:sz="4" w:space="0" w:color="auto"/>
            </w:tcBorders>
          </w:tcPr>
          <w:p w14:paraId="5FAF0A75"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156,240</w:t>
            </w:r>
          </w:p>
        </w:tc>
        <w:tc>
          <w:tcPr>
            <w:tcW w:w="270" w:type="dxa"/>
          </w:tcPr>
          <w:p w14:paraId="5931040B" w14:textId="77777777" w:rsidR="00BC33BB" w:rsidRPr="00BC33BB" w:rsidRDefault="00BC33BB" w:rsidP="00BC33BB">
            <w:pPr>
              <w:jc w:val="right"/>
              <w:rPr>
                <w:snapToGrid w:val="0"/>
                <w:color w:val="000000"/>
                <w:sz w:val="20"/>
                <w:szCs w:val="20"/>
              </w:rPr>
            </w:pPr>
          </w:p>
        </w:tc>
        <w:tc>
          <w:tcPr>
            <w:tcW w:w="1890" w:type="dxa"/>
            <w:tcBorders>
              <w:bottom w:val="single" w:sz="4" w:space="0" w:color="auto"/>
            </w:tcBorders>
          </w:tcPr>
          <w:p w14:paraId="4874F628"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168,689</w:t>
            </w:r>
          </w:p>
        </w:tc>
      </w:tr>
      <w:tr w:rsidR="00BC33BB" w:rsidRPr="00BC33BB" w14:paraId="2AAD2894" w14:textId="77777777" w:rsidTr="004F5282">
        <w:trPr>
          <w:trHeight w:hRule="exact" w:val="230"/>
        </w:trPr>
        <w:tc>
          <w:tcPr>
            <w:tcW w:w="6120" w:type="dxa"/>
            <w:gridSpan w:val="3"/>
          </w:tcPr>
          <w:p w14:paraId="06DDD083" w14:textId="77777777" w:rsidR="00BC33BB" w:rsidRPr="00BC33BB" w:rsidRDefault="00BC33BB" w:rsidP="00BC33BB">
            <w:pPr>
              <w:rPr>
                <w:snapToGrid w:val="0"/>
                <w:color w:val="000000"/>
                <w:sz w:val="20"/>
                <w:szCs w:val="20"/>
              </w:rPr>
            </w:pPr>
            <w:r w:rsidRPr="00BC33BB">
              <w:rPr>
                <w:snapToGrid w:val="0"/>
                <w:color w:val="000000"/>
                <w:sz w:val="20"/>
                <w:szCs w:val="20"/>
              </w:rPr>
              <w:t>Total current assets</w:t>
            </w:r>
          </w:p>
        </w:tc>
        <w:tc>
          <w:tcPr>
            <w:tcW w:w="90" w:type="dxa"/>
          </w:tcPr>
          <w:p w14:paraId="0694E512" w14:textId="77777777" w:rsidR="00BC33BB" w:rsidRPr="00BC33BB" w:rsidRDefault="00BC33BB" w:rsidP="00BC33BB">
            <w:pPr>
              <w:jc w:val="right"/>
              <w:rPr>
                <w:snapToGrid w:val="0"/>
                <w:color w:val="000000"/>
                <w:sz w:val="20"/>
                <w:szCs w:val="20"/>
              </w:rPr>
            </w:pPr>
          </w:p>
        </w:tc>
        <w:tc>
          <w:tcPr>
            <w:tcW w:w="1710" w:type="dxa"/>
            <w:tcBorders>
              <w:top w:val="single" w:sz="4" w:space="0" w:color="auto"/>
            </w:tcBorders>
          </w:tcPr>
          <w:p w14:paraId="19248EDA"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11,629,116</w:t>
            </w:r>
          </w:p>
        </w:tc>
        <w:tc>
          <w:tcPr>
            <w:tcW w:w="270" w:type="dxa"/>
          </w:tcPr>
          <w:p w14:paraId="2A88F439" w14:textId="77777777" w:rsidR="00BC33BB" w:rsidRPr="00BC33BB" w:rsidRDefault="00BC33BB" w:rsidP="00BC33BB">
            <w:pPr>
              <w:jc w:val="center"/>
              <w:rPr>
                <w:snapToGrid w:val="0"/>
                <w:color w:val="000000"/>
                <w:sz w:val="20"/>
                <w:szCs w:val="20"/>
              </w:rPr>
            </w:pPr>
          </w:p>
        </w:tc>
        <w:tc>
          <w:tcPr>
            <w:tcW w:w="1890" w:type="dxa"/>
            <w:tcBorders>
              <w:top w:val="single" w:sz="4" w:space="0" w:color="auto"/>
            </w:tcBorders>
          </w:tcPr>
          <w:p w14:paraId="630DFCEE"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10,235,148</w:t>
            </w:r>
          </w:p>
        </w:tc>
      </w:tr>
      <w:tr w:rsidR="00BC33BB" w:rsidRPr="00BC33BB" w14:paraId="0E3C61D0" w14:textId="77777777" w:rsidTr="004F5282">
        <w:trPr>
          <w:trHeight w:hRule="exact" w:val="230"/>
        </w:trPr>
        <w:tc>
          <w:tcPr>
            <w:tcW w:w="6120" w:type="dxa"/>
            <w:gridSpan w:val="3"/>
          </w:tcPr>
          <w:p w14:paraId="4FFA81BE" w14:textId="77777777" w:rsidR="00BC33BB" w:rsidRPr="00BC33BB" w:rsidRDefault="00BC33BB" w:rsidP="00BC33BB">
            <w:pPr>
              <w:rPr>
                <w:b/>
                <w:snapToGrid w:val="0"/>
                <w:color w:val="000000"/>
                <w:sz w:val="20"/>
                <w:szCs w:val="20"/>
              </w:rPr>
            </w:pPr>
            <w:r w:rsidRPr="00BC33BB">
              <w:rPr>
                <w:snapToGrid w:val="0"/>
                <w:color w:val="000000"/>
                <w:sz w:val="20"/>
                <w:szCs w:val="20"/>
              </w:rPr>
              <w:t>Property and equipment, net</w:t>
            </w:r>
          </w:p>
        </w:tc>
        <w:tc>
          <w:tcPr>
            <w:tcW w:w="90" w:type="dxa"/>
          </w:tcPr>
          <w:p w14:paraId="585036E8" w14:textId="77777777" w:rsidR="00BC33BB" w:rsidRPr="00BC33BB" w:rsidRDefault="00BC33BB" w:rsidP="00BC33BB">
            <w:pPr>
              <w:jc w:val="right"/>
              <w:rPr>
                <w:snapToGrid w:val="0"/>
                <w:color w:val="000000"/>
                <w:sz w:val="20"/>
                <w:szCs w:val="20"/>
              </w:rPr>
            </w:pPr>
          </w:p>
        </w:tc>
        <w:tc>
          <w:tcPr>
            <w:tcW w:w="1710" w:type="dxa"/>
          </w:tcPr>
          <w:p w14:paraId="185736CE"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156,938</w:t>
            </w:r>
          </w:p>
        </w:tc>
        <w:tc>
          <w:tcPr>
            <w:tcW w:w="270" w:type="dxa"/>
          </w:tcPr>
          <w:p w14:paraId="64DE2C1D" w14:textId="77777777" w:rsidR="00BC33BB" w:rsidRPr="00BC33BB" w:rsidRDefault="00BC33BB" w:rsidP="00BC33BB">
            <w:pPr>
              <w:jc w:val="right"/>
              <w:rPr>
                <w:snapToGrid w:val="0"/>
                <w:color w:val="000000"/>
                <w:sz w:val="20"/>
                <w:szCs w:val="20"/>
              </w:rPr>
            </w:pPr>
          </w:p>
        </w:tc>
        <w:tc>
          <w:tcPr>
            <w:tcW w:w="1890" w:type="dxa"/>
          </w:tcPr>
          <w:p w14:paraId="3A4F45FA"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147,741</w:t>
            </w:r>
          </w:p>
        </w:tc>
      </w:tr>
      <w:tr w:rsidR="00BC33BB" w:rsidRPr="00BC33BB" w14:paraId="7E08620E" w14:textId="77777777" w:rsidTr="004F5282">
        <w:trPr>
          <w:trHeight w:hRule="exact" w:val="230"/>
        </w:trPr>
        <w:tc>
          <w:tcPr>
            <w:tcW w:w="6120" w:type="dxa"/>
            <w:gridSpan w:val="3"/>
          </w:tcPr>
          <w:p w14:paraId="3D8121CF" w14:textId="77777777" w:rsidR="00BC33BB" w:rsidRPr="00BC33BB" w:rsidRDefault="00BC33BB" w:rsidP="00BC33BB">
            <w:pPr>
              <w:rPr>
                <w:snapToGrid w:val="0"/>
                <w:color w:val="000000"/>
                <w:sz w:val="20"/>
                <w:szCs w:val="20"/>
              </w:rPr>
            </w:pPr>
            <w:r w:rsidRPr="00BC33BB">
              <w:rPr>
                <w:snapToGrid w:val="0"/>
                <w:color w:val="000000"/>
                <w:sz w:val="20"/>
                <w:szCs w:val="20"/>
              </w:rPr>
              <w:t>Deposits</w:t>
            </w:r>
          </w:p>
        </w:tc>
        <w:tc>
          <w:tcPr>
            <w:tcW w:w="90" w:type="dxa"/>
          </w:tcPr>
          <w:p w14:paraId="1DFAD359" w14:textId="77777777" w:rsidR="00BC33BB" w:rsidRPr="00BC33BB" w:rsidRDefault="00BC33BB" w:rsidP="00BC33BB">
            <w:pPr>
              <w:jc w:val="right"/>
              <w:rPr>
                <w:snapToGrid w:val="0"/>
                <w:color w:val="000000"/>
                <w:sz w:val="20"/>
                <w:szCs w:val="20"/>
              </w:rPr>
            </w:pPr>
          </w:p>
        </w:tc>
        <w:tc>
          <w:tcPr>
            <w:tcW w:w="1710" w:type="dxa"/>
          </w:tcPr>
          <w:p w14:paraId="3A8ACC4F"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11,010</w:t>
            </w:r>
          </w:p>
        </w:tc>
        <w:tc>
          <w:tcPr>
            <w:tcW w:w="270" w:type="dxa"/>
          </w:tcPr>
          <w:p w14:paraId="79CCB768" w14:textId="77777777" w:rsidR="00BC33BB" w:rsidRPr="00BC33BB" w:rsidRDefault="00BC33BB" w:rsidP="00BC33BB">
            <w:pPr>
              <w:jc w:val="right"/>
              <w:rPr>
                <w:snapToGrid w:val="0"/>
                <w:color w:val="000000"/>
                <w:sz w:val="20"/>
                <w:szCs w:val="20"/>
              </w:rPr>
            </w:pPr>
          </w:p>
        </w:tc>
        <w:tc>
          <w:tcPr>
            <w:tcW w:w="1890" w:type="dxa"/>
          </w:tcPr>
          <w:p w14:paraId="3DA50046"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11,010</w:t>
            </w:r>
          </w:p>
        </w:tc>
      </w:tr>
      <w:tr w:rsidR="00BC33BB" w:rsidRPr="00BC33BB" w14:paraId="0122248A" w14:textId="77777777" w:rsidTr="004F5282">
        <w:trPr>
          <w:trHeight w:hRule="exact" w:val="230"/>
        </w:trPr>
        <w:tc>
          <w:tcPr>
            <w:tcW w:w="305" w:type="dxa"/>
          </w:tcPr>
          <w:p w14:paraId="22A6B11E" w14:textId="77777777" w:rsidR="00BC33BB" w:rsidRPr="00BC33BB" w:rsidRDefault="00BC33BB" w:rsidP="00BC33BB">
            <w:pPr>
              <w:jc w:val="right"/>
              <w:rPr>
                <w:snapToGrid w:val="0"/>
                <w:color w:val="000000"/>
                <w:sz w:val="20"/>
                <w:szCs w:val="20"/>
              </w:rPr>
            </w:pPr>
          </w:p>
        </w:tc>
        <w:tc>
          <w:tcPr>
            <w:tcW w:w="302" w:type="dxa"/>
          </w:tcPr>
          <w:p w14:paraId="6FE59374" w14:textId="77777777" w:rsidR="00BC33BB" w:rsidRPr="00BC33BB" w:rsidRDefault="00BC33BB" w:rsidP="00BC33BB">
            <w:pPr>
              <w:jc w:val="right"/>
              <w:rPr>
                <w:snapToGrid w:val="0"/>
                <w:color w:val="000000"/>
                <w:sz w:val="20"/>
                <w:szCs w:val="20"/>
              </w:rPr>
            </w:pPr>
          </w:p>
        </w:tc>
        <w:tc>
          <w:tcPr>
            <w:tcW w:w="5513" w:type="dxa"/>
          </w:tcPr>
          <w:p w14:paraId="5556B4E3" w14:textId="77777777" w:rsidR="00BC33BB" w:rsidRPr="00BC33BB" w:rsidRDefault="00BC33BB" w:rsidP="00BC33BB">
            <w:pPr>
              <w:jc w:val="right"/>
              <w:rPr>
                <w:snapToGrid w:val="0"/>
                <w:color w:val="000000"/>
                <w:sz w:val="20"/>
                <w:szCs w:val="20"/>
              </w:rPr>
            </w:pPr>
          </w:p>
        </w:tc>
        <w:tc>
          <w:tcPr>
            <w:tcW w:w="90" w:type="dxa"/>
          </w:tcPr>
          <w:p w14:paraId="7A664A18" w14:textId="77777777" w:rsidR="00BC33BB" w:rsidRPr="00BC33BB" w:rsidRDefault="00BC33BB" w:rsidP="00BC33BB">
            <w:pPr>
              <w:jc w:val="right"/>
              <w:rPr>
                <w:snapToGrid w:val="0"/>
                <w:color w:val="000000"/>
                <w:sz w:val="20"/>
                <w:szCs w:val="20"/>
              </w:rPr>
            </w:pPr>
          </w:p>
        </w:tc>
        <w:tc>
          <w:tcPr>
            <w:tcW w:w="1710" w:type="dxa"/>
            <w:tcBorders>
              <w:top w:val="single" w:sz="6" w:space="0" w:color="auto"/>
            </w:tcBorders>
          </w:tcPr>
          <w:p w14:paraId="41356E8F" w14:textId="77777777" w:rsidR="00BC33BB" w:rsidRPr="00BC33BB" w:rsidRDefault="00BC33BB" w:rsidP="00BC33BB">
            <w:pPr>
              <w:tabs>
                <w:tab w:val="decimal" w:pos="1320"/>
              </w:tabs>
              <w:rPr>
                <w:snapToGrid w:val="0"/>
                <w:color w:val="000000"/>
                <w:sz w:val="20"/>
                <w:szCs w:val="20"/>
              </w:rPr>
            </w:pPr>
          </w:p>
        </w:tc>
        <w:tc>
          <w:tcPr>
            <w:tcW w:w="270" w:type="dxa"/>
          </w:tcPr>
          <w:p w14:paraId="39DF36E5" w14:textId="77777777" w:rsidR="00BC33BB" w:rsidRPr="00BC33BB" w:rsidRDefault="00BC33BB" w:rsidP="00BC33BB">
            <w:pPr>
              <w:jc w:val="right"/>
              <w:rPr>
                <w:snapToGrid w:val="0"/>
                <w:color w:val="000000"/>
                <w:sz w:val="20"/>
                <w:szCs w:val="20"/>
              </w:rPr>
            </w:pPr>
          </w:p>
        </w:tc>
        <w:tc>
          <w:tcPr>
            <w:tcW w:w="1890" w:type="dxa"/>
            <w:tcBorders>
              <w:top w:val="single" w:sz="6" w:space="0" w:color="auto"/>
            </w:tcBorders>
          </w:tcPr>
          <w:p w14:paraId="4349CBF4" w14:textId="77777777" w:rsidR="00BC33BB" w:rsidRPr="00BC33BB" w:rsidRDefault="00BC33BB" w:rsidP="00BC33BB">
            <w:pPr>
              <w:tabs>
                <w:tab w:val="decimal" w:pos="1195"/>
              </w:tabs>
              <w:rPr>
                <w:snapToGrid w:val="0"/>
                <w:color w:val="000000"/>
                <w:sz w:val="20"/>
                <w:szCs w:val="20"/>
              </w:rPr>
            </w:pPr>
          </w:p>
        </w:tc>
      </w:tr>
      <w:tr w:rsidR="00BC33BB" w:rsidRPr="00BC33BB" w14:paraId="62895D3E" w14:textId="77777777" w:rsidTr="004F5282">
        <w:trPr>
          <w:trHeight w:hRule="exact" w:val="230"/>
        </w:trPr>
        <w:tc>
          <w:tcPr>
            <w:tcW w:w="6120" w:type="dxa"/>
            <w:gridSpan w:val="3"/>
          </w:tcPr>
          <w:p w14:paraId="15E06DE5" w14:textId="77777777" w:rsidR="00BC33BB" w:rsidRPr="00BC33BB" w:rsidRDefault="00BC33BB" w:rsidP="00BC33BB">
            <w:pPr>
              <w:rPr>
                <w:snapToGrid w:val="0"/>
                <w:color w:val="000000"/>
                <w:sz w:val="20"/>
                <w:szCs w:val="20"/>
              </w:rPr>
            </w:pPr>
            <w:r w:rsidRPr="00BC33BB">
              <w:rPr>
                <w:snapToGrid w:val="0"/>
                <w:color w:val="000000"/>
                <w:sz w:val="20"/>
                <w:szCs w:val="20"/>
              </w:rPr>
              <w:t>Total assets</w:t>
            </w:r>
          </w:p>
        </w:tc>
        <w:tc>
          <w:tcPr>
            <w:tcW w:w="90" w:type="dxa"/>
          </w:tcPr>
          <w:p w14:paraId="5DE4A0AA" w14:textId="77777777" w:rsidR="00BC33BB" w:rsidRPr="00BC33BB" w:rsidRDefault="00BC33BB" w:rsidP="00BC33BB">
            <w:pPr>
              <w:jc w:val="right"/>
              <w:rPr>
                <w:snapToGrid w:val="0"/>
                <w:color w:val="000000"/>
                <w:sz w:val="20"/>
                <w:szCs w:val="20"/>
              </w:rPr>
            </w:pPr>
          </w:p>
        </w:tc>
        <w:tc>
          <w:tcPr>
            <w:tcW w:w="1710" w:type="dxa"/>
            <w:tcBorders>
              <w:bottom w:val="double" w:sz="6" w:space="0" w:color="auto"/>
            </w:tcBorders>
          </w:tcPr>
          <w:p w14:paraId="26F48120" w14:textId="77777777" w:rsidR="00BC33BB" w:rsidRPr="00BC33BB" w:rsidRDefault="00BC33BB" w:rsidP="00BC33BB">
            <w:pPr>
              <w:tabs>
                <w:tab w:val="left" w:pos="115"/>
                <w:tab w:val="decimal" w:pos="132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11,797,064</w:t>
            </w:r>
          </w:p>
        </w:tc>
        <w:tc>
          <w:tcPr>
            <w:tcW w:w="270" w:type="dxa"/>
          </w:tcPr>
          <w:p w14:paraId="0D0A5EE0" w14:textId="77777777" w:rsidR="00BC33BB" w:rsidRPr="00BC33BB" w:rsidRDefault="00BC33BB" w:rsidP="00BC33BB">
            <w:pPr>
              <w:jc w:val="right"/>
              <w:rPr>
                <w:snapToGrid w:val="0"/>
                <w:color w:val="000000"/>
                <w:sz w:val="20"/>
                <w:szCs w:val="20"/>
              </w:rPr>
            </w:pPr>
          </w:p>
        </w:tc>
        <w:tc>
          <w:tcPr>
            <w:tcW w:w="1890" w:type="dxa"/>
            <w:tcBorders>
              <w:bottom w:val="double" w:sz="6" w:space="0" w:color="auto"/>
            </w:tcBorders>
          </w:tcPr>
          <w:p w14:paraId="61E67E55" w14:textId="77777777" w:rsidR="00BC33BB" w:rsidRPr="00BC33BB" w:rsidRDefault="00BC33BB" w:rsidP="00BC33BB">
            <w:pPr>
              <w:tabs>
                <w:tab w:val="left" w:pos="115"/>
                <w:tab w:val="decimal" w:pos="150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10,393,899</w:t>
            </w:r>
          </w:p>
        </w:tc>
      </w:tr>
      <w:tr w:rsidR="00BC33BB" w:rsidRPr="00BC33BB" w14:paraId="7B2B9CB9" w14:textId="77777777" w:rsidTr="004F5282">
        <w:trPr>
          <w:trHeight w:hRule="exact" w:val="230"/>
        </w:trPr>
        <w:tc>
          <w:tcPr>
            <w:tcW w:w="305" w:type="dxa"/>
          </w:tcPr>
          <w:p w14:paraId="4ACAEF9C" w14:textId="77777777" w:rsidR="00BC33BB" w:rsidRPr="00BC33BB" w:rsidRDefault="00BC33BB" w:rsidP="00BC33BB">
            <w:pPr>
              <w:jc w:val="right"/>
              <w:rPr>
                <w:snapToGrid w:val="0"/>
                <w:color w:val="000000"/>
                <w:sz w:val="20"/>
                <w:szCs w:val="20"/>
              </w:rPr>
            </w:pPr>
          </w:p>
        </w:tc>
        <w:tc>
          <w:tcPr>
            <w:tcW w:w="302" w:type="dxa"/>
          </w:tcPr>
          <w:p w14:paraId="66571693" w14:textId="77777777" w:rsidR="00BC33BB" w:rsidRPr="00BC33BB" w:rsidRDefault="00BC33BB" w:rsidP="00BC33BB">
            <w:pPr>
              <w:jc w:val="right"/>
              <w:rPr>
                <w:snapToGrid w:val="0"/>
                <w:color w:val="000000"/>
                <w:sz w:val="20"/>
                <w:szCs w:val="20"/>
              </w:rPr>
            </w:pPr>
          </w:p>
        </w:tc>
        <w:tc>
          <w:tcPr>
            <w:tcW w:w="5513" w:type="dxa"/>
          </w:tcPr>
          <w:p w14:paraId="3609FC9D" w14:textId="77777777" w:rsidR="00BC33BB" w:rsidRPr="00BC33BB" w:rsidRDefault="00BC33BB" w:rsidP="00BC33BB">
            <w:pPr>
              <w:jc w:val="right"/>
              <w:rPr>
                <w:snapToGrid w:val="0"/>
                <w:color w:val="000000"/>
                <w:sz w:val="20"/>
                <w:szCs w:val="20"/>
              </w:rPr>
            </w:pPr>
          </w:p>
        </w:tc>
        <w:tc>
          <w:tcPr>
            <w:tcW w:w="90" w:type="dxa"/>
          </w:tcPr>
          <w:p w14:paraId="382CEC80" w14:textId="77777777" w:rsidR="00BC33BB" w:rsidRPr="00BC33BB" w:rsidRDefault="00BC33BB" w:rsidP="00BC33BB">
            <w:pPr>
              <w:jc w:val="right"/>
              <w:rPr>
                <w:snapToGrid w:val="0"/>
                <w:color w:val="000000"/>
                <w:sz w:val="20"/>
                <w:szCs w:val="20"/>
              </w:rPr>
            </w:pPr>
          </w:p>
        </w:tc>
        <w:tc>
          <w:tcPr>
            <w:tcW w:w="1710" w:type="dxa"/>
          </w:tcPr>
          <w:p w14:paraId="2E79BFB2" w14:textId="77777777" w:rsidR="00BC33BB" w:rsidRPr="00BC33BB" w:rsidRDefault="00BC33BB" w:rsidP="00BC33BB">
            <w:pPr>
              <w:tabs>
                <w:tab w:val="decimal" w:pos="1195"/>
              </w:tabs>
              <w:jc w:val="right"/>
              <w:rPr>
                <w:snapToGrid w:val="0"/>
                <w:color w:val="000000"/>
                <w:sz w:val="20"/>
                <w:szCs w:val="20"/>
              </w:rPr>
            </w:pPr>
          </w:p>
        </w:tc>
        <w:tc>
          <w:tcPr>
            <w:tcW w:w="270" w:type="dxa"/>
          </w:tcPr>
          <w:p w14:paraId="0FBBD74C" w14:textId="77777777" w:rsidR="00BC33BB" w:rsidRPr="00BC33BB" w:rsidRDefault="00BC33BB" w:rsidP="00BC33BB">
            <w:pPr>
              <w:jc w:val="right"/>
              <w:rPr>
                <w:snapToGrid w:val="0"/>
                <w:color w:val="000000"/>
                <w:sz w:val="20"/>
                <w:szCs w:val="20"/>
              </w:rPr>
            </w:pPr>
          </w:p>
        </w:tc>
        <w:tc>
          <w:tcPr>
            <w:tcW w:w="1890" w:type="dxa"/>
          </w:tcPr>
          <w:p w14:paraId="343F4AF6" w14:textId="77777777" w:rsidR="00BC33BB" w:rsidRPr="00BC33BB" w:rsidRDefault="00BC33BB" w:rsidP="00BC33BB">
            <w:pPr>
              <w:tabs>
                <w:tab w:val="decimal" w:pos="1195"/>
              </w:tabs>
              <w:jc w:val="right"/>
              <w:rPr>
                <w:snapToGrid w:val="0"/>
                <w:color w:val="000000"/>
                <w:sz w:val="20"/>
                <w:szCs w:val="20"/>
              </w:rPr>
            </w:pPr>
          </w:p>
        </w:tc>
      </w:tr>
      <w:tr w:rsidR="00BC33BB" w:rsidRPr="00BC33BB" w14:paraId="504AC768" w14:textId="77777777" w:rsidTr="004F5282">
        <w:trPr>
          <w:trHeight w:hRule="exact" w:val="230"/>
        </w:trPr>
        <w:tc>
          <w:tcPr>
            <w:tcW w:w="305" w:type="dxa"/>
          </w:tcPr>
          <w:p w14:paraId="532871D9" w14:textId="77777777" w:rsidR="00BC33BB" w:rsidRPr="00BC33BB" w:rsidRDefault="00BC33BB" w:rsidP="00BC33BB">
            <w:pPr>
              <w:jc w:val="right"/>
              <w:rPr>
                <w:snapToGrid w:val="0"/>
                <w:color w:val="000000"/>
                <w:sz w:val="20"/>
                <w:szCs w:val="20"/>
              </w:rPr>
            </w:pPr>
          </w:p>
        </w:tc>
        <w:tc>
          <w:tcPr>
            <w:tcW w:w="302" w:type="dxa"/>
          </w:tcPr>
          <w:p w14:paraId="51A4696C" w14:textId="77777777" w:rsidR="00BC33BB" w:rsidRPr="00BC33BB" w:rsidRDefault="00BC33BB" w:rsidP="00BC33BB">
            <w:pPr>
              <w:jc w:val="right"/>
              <w:rPr>
                <w:snapToGrid w:val="0"/>
                <w:color w:val="000000"/>
                <w:sz w:val="20"/>
                <w:szCs w:val="20"/>
              </w:rPr>
            </w:pPr>
          </w:p>
        </w:tc>
        <w:tc>
          <w:tcPr>
            <w:tcW w:w="5513" w:type="dxa"/>
          </w:tcPr>
          <w:p w14:paraId="2B6D3B0A" w14:textId="77777777" w:rsidR="00BC33BB" w:rsidRPr="00BC33BB" w:rsidRDefault="00BC33BB" w:rsidP="00BC33BB">
            <w:pPr>
              <w:jc w:val="right"/>
              <w:rPr>
                <w:snapToGrid w:val="0"/>
                <w:color w:val="000000"/>
                <w:sz w:val="20"/>
                <w:szCs w:val="20"/>
              </w:rPr>
            </w:pPr>
          </w:p>
        </w:tc>
        <w:tc>
          <w:tcPr>
            <w:tcW w:w="90" w:type="dxa"/>
          </w:tcPr>
          <w:p w14:paraId="187EAA34" w14:textId="77777777" w:rsidR="00BC33BB" w:rsidRPr="00BC33BB" w:rsidRDefault="00BC33BB" w:rsidP="00BC33BB">
            <w:pPr>
              <w:jc w:val="right"/>
              <w:rPr>
                <w:snapToGrid w:val="0"/>
                <w:color w:val="000000"/>
                <w:sz w:val="20"/>
                <w:szCs w:val="20"/>
              </w:rPr>
            </w:pPr>
          </w:p>
        </w:tc>
        <w:tc>
          <w:tcPr>
            <w:tcW w:w="1710" w:type="dxa"/>
          </w:tcPr>
          <w:p w14:paraId="4E544FE0" w14:textId="77777777" w:rsidR="00BC33BB" w:rsidRPr="00BC33BB" w:rsidRDefault="00BC33BB" w:rsidP="00BC33BB">
            <w:pPr>
              <w:tabs>
                <w:tab w:val="decimal" w:pos="1195"/>
              </w:tabs>
              <w:jc w:val="right"/>
              <w:rPr>
                <w:snapToGrid w:val="0"/>
                <w:color w:val="000000"/>
                <w:sz w:val="20"/>
                <w:szCs w:val="20"/>
              </w:rPr>
            </w:pPr>
          </w:p>
        </w:tc>
        <w:tc>
          <w:tcPr>
            <w:tcW w:w="270" w:type="dxa"/>
          </w:tcPr>
          <w:p w14:paraId="13892D0E" w14:textId="77777777" w:rsidR="00BC33BB" w:rsidRPr="00BC33BB" w:rsidRDefault="00BC33BB" w:rsidP="00BC33BB">
            <w:pPr>
              <w:jc w:val="right"/>
              <w:rPr>
                <w:snapToGrid w:val="0"/>
                <w:color w:val="000000"/>
                <w:sz w:val="20"/>
                <w:szCs w:val="20"/>
              </w:rPr>
            </w:pPr>
          </w:p>
        </w:tc>
        <w:tc>
          <w:tcPr>
            <w:tcW w:w="1890" w:type="dxa"/>
          </w:tcPr>
          <w:p w14:paraId="10921C0D" w14:textId="77777777" w:rsidR="00BC33BB" w:rsidRPr="00BC33BB" w:rsidRDefault="00BC33BB" w:rsidP="00BC33BB">
            <w:pPr>
              <w:tabs>
                <w:tab w:val="decimal" w:pos="1195"/>
              </w:tabs>
              <w:jc w:val="right"/>
              <w:rPr>
                <w:snapToGrid w:val="0"/>
                <w:color w:val="000000"/>
                <w:sz w:val="20"/>
                <w:szCs w:val="20"/>
              </w:rPr>
            </w:pPr>
          </w:p>
        </w:tc>
      </w:tr>
      <w:tr w:rsidR="00BC33BB" w:rsidRPr="00BC33BB" w14:paraId="6ABDE8FB" w14:textId="77777777" w:rsidTr="004F5282">
        <w:trPr>
          <w:trHeight w:hRule="exact" w:val="230"/>
        </w:trPr>
        <w:tc>
          <w:tcPr>
            <w:tcW w:w="6120" w:type="dxa"/>
            <w:gridSpan w:val="3"/>
          </w:tcPr>
          <w:p w14:paraId="5FD0D2D2" w14:textId="77777777" w:rsidR="00BC33BB" w:rsidRPr="00BC33BB" w:rsidRDefault="00BC33BB" w:rsidP="00BC33BB">
            <w:pPr>
              <w:rPr>
                <w:snapToGrid w:val="0"/>
                <w:color w:val="000000"/>
                <w:sz w:val="20"/>
                <w:szCs w:val="20"/>
              </w:rPr>
            </w:pPr>
            <w:r w:rsidRPr="00BC33BB">
              <w:rPr>
                <w:snapToGrid w:val="0"/>
                <w:color w:val="000000"/>
                <w:sz w:val="20"/>
                <w:szCs w:val="20"/>
              </w:rPr>
              <w:t>LIABILITIES AND STOCKHOLDERS’ EQUITY</w:t>
            </w:r>
          </w:p>
        </w:tc>
        <w:tc>
          <w:tcPr>
            <w:tcW w:w="90" w:type="dxa"/>
          </w:tcPr>
          <w:p w14:paraId="6934ADA9" w14:textId="77777777" w:rsidR="00BC33BB" w:rsidRPr="00BC33BB" w:rsidRDefault="00BC33BB" w:rsidP="00BC33BB">
            <w:pPr>
              <w:jc w:val="right"/>
              <w:rPr>
                <w:snapToGrid w:val="0"/>
                <w:color w:val="000000"/>
                <w:sz w:val="20"/>
                <w:szCs w:val="20"/>
              </w:rPr>
            </w:pPr>
          </w:p>
        </w:tc>
        <w:tc>
          <w:tcPr>
            <w:tcW w:w="1710" w:type="dxa"/>
          </w:tcPr>
          <w:p w14:paraId="24F71166" w14:textId="77777777" w:rsidR="00BC33BB" w:rsidRPr="00BC33BB" w:rsidRDefault="00BC33BB" w:rsidP="00BC33BB">
            <w:pPr>
              <w:tabs>
                <w:tab w:val="decimal" w:pos="1195"/>
              </w:tabs>
              <w:jc w:val="right"/>
              <w:rPr>
                <w:snapToGrid w:val="0"/>
                <w:color w:val="000000"/>
                <w:sz w:val="20"/>
                <w:szCs w:val="20"/>
              </w:rPr>
            </w:pPr>
          </w:p>
        </w:tc>
        <w:tc>
          <w:tcPr>
            <w:tcW w:w="270" w:type="dxa"/>
          </w:tcPr>
          <w:p w14:paraId="35634A33" w14:textId="77777777" w:rsidR="00BC33BB" w:rsidRPr="00BC33BB" w:rsidRDefault="00BC33BB" w:rsidP="00BC33BB">
            <w:pPr>
              <w:jc w:val="right"/>
              <w:rPr>
                <w:snapToGrid w:val="0"/>
                <w:color w:val="000000"/>
                <w:sz w:val="20"/>
                <w:szCs w:val="20"/>
              </w:rPr>
            </w:pPr>
          </w:p>
        </w:tc>
        <w:tc>
          <w:tcPr>
            <w:tcW w:w="1890" w:type="dxa"/>
          </w:tcPr>
          <w:p w14:paraId="3D225FB1" w14:textId="77777777" w:rsidR="00BC33BB" w:rsidRPr="00BC33BB" w:rsidRDefault="00BC33BB" w:rsidP="00BC33BB">
            <w:pPr>
              <w:tabs>
                <w:tab w:val="decimal" w:pos="1195"/>
              </w:tabs>
              <w:jc w:val="right"/>
              <w:rPr>
                <w:snapToGrid w:val="0"/>
                <w:color w:val="000000"/>
                <w:sz w:val="20"/>
                <w:szCs w:val="20"/>
              </w:rPr>
            </w:pPr>
          </w:p>
        </w:tc>
      </w:tr>
      <w:tr w:rsidR="00BC33BB" w:rsidRPr="00BC33BB" w14:paraId="12F202D0" w14:textId="77777777" w:rsidTr="004F5282">
        <w:trPr>
          <w:trHeight w:hRule="exact" w:val="230"/>
        </w:trPr>
        <w:tc>
          <w:tcPr>
            <w:tcW w:w="6120" w:type="dxa"/>
            <w:gridSpan w:val="3"/>
          </w:tcPr>
          <w:p w14:paraId="129FE3AA" w14:textId="77777777" w:rsidR="00BC33BB" w:rsidRPr="00BC33BB" w:rsidRDefault="00BC33BB" w:rsidP="00BC33BB">
            <w:pPr>
              <w:rPr>
                <w:snapToGrid w:val="0"/>
                <w:color w:val="000000"/>
                <w:sz w:val="20"/>
                <w:szCs w:val="20"/>
              </w:rPr>
            </w:pPr>
            <w:r w:rsidRPr="00BC33BB">
              <w:rPr>
                <w:snapToGrid w:val="0"/>
                <w:color w:val="000000"/>
                <w:sz w:val="20"/>
                <w:szCs w:val="20"/>
              </w:rPr>
              <w:t>Current liabilities:</w:t>
            </w:r>
          </w:p>
        </w:tc>
        <w:tc>
          <w:tcPr>
            <w:tcW w:w="90" w:type="dxa"/>
          </w:tcPr>
          <w:p w14:paraId="1AEDBB9D" w14:textId="77777777" w:rsidR="00BC33BB" w:rsidRPr="00BC33BB" w:rsidRDefault="00BC33BB" w:rsidP="00BC33BB">
            <w:pPr>
              <w:jc w:val="right"/>
              <w:rPr>
                <w:snapToGrid w:val="0"/>
                <w:color w:val="000000"/>
                <w:sz w:val="20"/>
                <w:szCs w:val="20"/>
              </w:rPr>
            </w:pPr>
          </w:p>
        </w:tc>
        <w:tc>
          <w:tcPr>
            <w:tcW w:w="1710" w:type="dxa"/>
          </w:tcPr>
          <w:p w14:paraId="2D433B1F" w14:textId="77777777" w:rsidR="00BC33BB" w:rsidRPr="00BC33BB" w:rsidRDefault="00BC33BB" w:rsidP="00BC33BB">
            <w:pPr>
              <w:tabs>
                <w:tab w:val="decimal" w:pos="1195"/>
              </w:tabs>
              <w:jc w:val="right"/>
              <w:rPr>
                <w:snapToGrid w:val="0"/>
                <w:color w:val="000000"/>
                <w:sz w:val="20"/>
                <w:szCs w:val="20"/>
              </w:rPr>
            </w:pPr>
          </w:p>
        </w:tc>
        <w:tc>
          <w:tcPr>
            <w:tcW w:w="270" w:type="dxa"/>
          </w:tcPr>
          <w:p w14:paraId="073FD9E0" w14:textId="77777777" w:rsidR="00BC33BB" w:rsidRPr="00BC33BB" w:rsidRDefault="00BC33BB" w:rsidP="00BC33BB">
            <w:pPr>
              <w:jc w:val="right"/>
              <w:rPr>
                <w:snapToGrid w:val="0"/>
                <w:color w:val="000000"/>
                <w:sz w:val="20"/>
                <w:szCs w:val="20"/>
              </w:rPr>
            </w:pPr>
          </w:p>
        </w:tc>
        <w:tc>
          <w:tcPr>
            <w:tcW w:w="1890" w:type="dxa"/>
          </w:tcPr>
          <w:p w14:paraId="37961009" w14:textId="77777777" w:rsidR="00BC33BB" w:rsidRPr="00BC33BB" w:rsidRDefault="00BC33BB" w:rsidP="00BC33BB">
            <w:pPr>
              <w:tabs>
                <w:tab w:val="decimal" w:pos="1195"/>
              </w:tabs>
              <w:jc w:val="right"/>
              <w:rPr>
                <w:snapToGrid w:val="0"/>
                <w:color w:val="000000"/>
                <w:sz w:val="20"/>
                <w:szCs w:val="20"/>
              </w:rPr>
            </w:pPr>
          </w:p>
        </w:tc>
      </w:tr>
      <w:tr w:rsidR="00BC33BB" w:rsidRPr="00BC33BB" w14:paraId="74871EC0" w14:textId="77777777" w:rsidTr="004F5282">
        <w:trPr>
          <w:trHeight w:hRule="exact" w:val="230"/>
        </w:trPr>
        <w:tc>
          <w:tcPr>
            <w:tcW w:w="305" w:type="dxa"/>
          </w:tcPr>
          <w:p w14:paraId="69629B5C" w14:textId="77777777" w:rsidR="00BC33BB" w:rsidRPr="00BC33BB" w:rsidRDefault="00BC33BB" w:rsidP="00BC33BB">
            <w:pPr>
              <w:jc w:val="right"/>
              <w:rPr>
                <w:snapToGrid w:val="0"/>
                <w:color w:val="000000"/>
                <w:sz w:val="20"/>
                <w:szCs w:val="20"/>
              </w:rPr>
            </w:pPr>
          </w:p>
        </w:tc>
        <w:tc>
          <w:tcPr>
            <w:tcW w:w="5815" w:type="dxa"/>
            <w:gridSpan w:val="2"/>
          </w:tcPr>
          <w:p w14:paraId="06EF024D" w14:textId="77777777" w:rsidR="00BC33BB" w:rsidRPr="00BC33BB" w:rsidRDefault="00BC33BB" w:rsidP="00BC33BB">
            <w:pPr>
              <w:rPr>
                <w:b/>
                <w:snapToGrid w:val="0"/>
                <w:color w:val="000000"/>
                <w:sz w:val="20"/>
                <w:szCs w:val="20"/>
              </w:rPr>
            </w:pPr>
            <w:r w:rsidRPr="00BC33BB">
              <w:rPr>
                <w:snapToGrid w:val="0"/>
                <w:color w:val="000000"/>
                <w:sz w:val="20"/>
                <w:szCs w:val="20"/>
              </w:rPr>
              <w:t xml:space="preserve">Accounts payable </w:t>
            </w:r>
          </w:p>
        </w:tc>
        <w:tc>
          <w:tcPr>
            <w:tcW w:w="90" w:type="dxa"/>
          </w:tcPr>
          <w:p w14:paraId="1A37EA57" w14:textId="77777777" w:rsidR="00BC33BB" w:rsidRPr="00BC33BB" w:rsidRDefault="00BC33BB" w:rsidP="00BC33BB">
            <w:pPr>
              <w:jc w:val="right"/>
              <w:rPr>
                <w:snapToGrid w:val="0"/>
                <w:color w:val="000000"/>
                <w:sz w:val="20"/>
                <w:szCs w:val="20"/>
              </w:rPr>
            </w:pPr>
          </w:p>
        </w:tc>
        <w:tc>
          <w:tcPr>
            <w:tcW w:w="1710" w:type="dxa"/>
          </w:tcPr>
          <w:p w14:paraId="6E25BF14" w14:textId="77777777" w:rsidR="00BC33BB" w:rsidRPr="00BC33BB" w:rsidRDefault="00BC33BB" w:rsidP="00BC33BB">
            <w:pPr>
              <w:tabs>
                <w:tab w:val="left" w:pos="115"/>
                <w:tab w:val="decimal" w:pos="132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2,057,534</w:t>
            </w:r>
          </w:p>
        </w:tc>
        <w:tc>
          <w:tcPr>
            <w:tcW w:w="270" w:type="dxa"/>
          </w:tcPr>
          <w:p w14:paraId="39205A4D" w14:textId="77777777" w:rsidR="00BC33BB" w:rsidRPr="00BC33BB" w:rsidRDefault="00BC33BB" w:rsidP="00BC33BB">
            <w:pPr>
              <w:jc w:val="right"/>
              <w:rPr>
                <w:snapToGrid w:val="0"/>
                <w:color w:val="000000"/>
                <w:sz w:val="20"/>
                <w:szCs w:val="20"/>
              </w:rPr>
            </w:pPr>
          </w:p>
        </w:tc>
        <w:tc>
          <w:tcPr>
            <w:tcW w:w="1890" w:type="dxa"/>
          </w:tcPr>
          <w:p w14:paraId="29351584" w14:textId="77777777" w:rsidR="00BC33BB" w:rsidRPr="00BC33BB" w:rsidRDefault="00BC33BB" w:rsidP="00BC33BB">
            <w:pPr>
              <w:tabs>
                <w:tab w:val="left" w:pos="115"/>
                <w:tab w:val="decimal" w:pos="150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267,702</w:t>
            </w:r>
          </w:p>
        </w:tc>
      </w:tr>
      <w:tr w:rsidR="00BC33BB" w:rsidRPr="00BC33BB" w14:paraId="55BB5F44" w14:textId="77777777" w:rsidTr="004F5282">
        <w:trPr>
          <w:trHeight w:hRule="exact" w:val="230"/>
        </w:trPr>
        <w:tc>
          <w:tcPr>
            <w:tcW w:w="305" w:type="dxa"/>
          </w:tcPr>
          <w:p w14:paraId="7EB3959F" w14:textId="77777777" w:rsidR="00BC33BB" w:rsidRPr="00BC33BB" w:rsidRDefault="00BC33BB" w:rsidP="00BC33BB">
            <w:pPr>
              <w:jc w:val="right"/>
              <w:rPr>
                <w:snapToGrid w:val="0"/>
                <w:color w:val="000000"/>
                <w:sz w:val="20"/>
                <w:szCs w:val="20"/>
              </w:rPr>
            </w:pPr>
            <w:bookmarkStart w:id="67" w:name="_Hlk510617070"/>
          </w:p>
        </w:tc>
        <w:tc>
          <w:tcPr>
            <w:tcW w:w="5815" w:type="dxa"/>
            <w:gridSpan w:val="2"/>
          </w:tcPr>
          <w:p w14:paraId="4A7FE7ED" w14:textId="77777777" w:rsidR="00BC33BB" w:rsidRPr="00BC33BB" w:rsidRDefault="00BC33BB" w:rsidP="00BC33BB">
            <w:pPr>
              <w:rPr>
                <w:snapToGrid w:val="0"/>
                <w:color w:val="000000"/>
                <w:sz w:val="20"/>
                <w:szCs w:val="20"/>
              </w:rPr>
            </w:pPr>
            <w:r w:rsidRPr="00BC33BB">
              <w:rPr>
                <w:snapToGrid w:val="0"/>
                <w:color w:val="000000"/>
                <w:sz w:val="20"/>
                <w:szCs w:val="20"/>
              </w:rPr>
              <w:t>Accrued expenses</w:t>
            </w:r>
          </w:p>
        </w:tc>
        <w:tc>
          <w:tcPr>
            <w:tcW w:w="90" w:type="dxa"/>
          </w:tcPr>
          <w:p w14:paraId="27F14FFB" w14:textId="77777777" w:rsidR="00BC33BB" w:rsidRPr="00BC33BB" w:rsidRDefault="00BC33BB" w:rsidP="00BC33BB">
            <w:pPr>
              <w:jc w:val="right"/>
              <w:rPr>
                <w:snapToGrid w:val="0"/>
                <w:color w:val="000000"/>
                <w:sz w:val="20"/>
                <w:szCs w:val="20"/>
              </w:rPr>
            </w:pPr>
          </w:p>
        </w:tc>
        <w:tc>
          <w:tcPr>
            <w:tcW w:w="1710" w:type="dxa"/>
          </w:tcPr>
          <w:p w14:paraId="6F9624B3"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3,377,826</w:t>
            </w:r>
          </w:p>
        </w:tc>
        <w:tc>
          <w:tcPr>
            <w:tcW w:w="270" w:type="dxa"/>
          </w:tcPr>
          <w:p w14:paraId="6E0AE308" w14:textId="77777777" w:rsidR="00BC33BB" w:rsidRPr="00BC33BB" w:rsidRDefault="00BC33BB" w:rsidP="00BC33BB">
            <w:pPr>
              <w:jc w:val="right"/>
              <w:rPr>
                <w:snapToGrid w:val="0"/>
                <w:color w:val="000000"/>
                <w:sz w:val="20"/>
                <w:szCs w:val="20"/>
              </w:rPr>
            </w:pPr>
          </w:p>
        </w:tc>
        <w:tc>
          <w:tcPr>
            <w:tcW w:w="1890" w:type="dxa"/>
          </w:tcPr>
          <w:p w14:paraId="32B49B6C"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359,281</w:t>
            </w:r>
          </w:p>
        </w:tc>
      </w:tr>
      <w:bookmarkEnd w:id="67"/>
      <w:tr w:rsidR="00BC33BB" w:rsidRPr="00BC33BB" w14:paraId="6CDD1C94" w14:textId="77777777" w:rsidTr="004F5282">
        <w:trPr>
          <w:trHeight w:hRule="exact" w:val="230"/>
        </w:trPr>
        <w:tc>
          <w:tcPr>
            <w:tcW w:w="305" w:type="dxa"/>
          </w:tcPr>
          <w:p w14:paraId="1042962A" w14:textId="77777777" w:rsidR="00BC33BB" w:rsidRPr="00BC33BB" w:rsidRDefault="00BC33BB" w:rsidP="00BC33BB">
            <w:pPr>
              <w:jc w:val="right"/>
              <w:rPr>
                <w:snapToGrid w:val="0"/>
                <w:color w:val="000000"/>
                <w:sz w:val="20"/>
                <w:szCs w:val="20"/>
              </w:rPr>
            </w:pPr>
          </w:p>
        </w:tc>
        <w:tc>
          <w:tcPr>
            <w:tcW w:w="5815" w:type="dxa"/>
            <w:gridSpan w:val="2"/>
          </w:tcPr>
          <w:p w14:paraId="6587704B" w14:textId="77777777" w:rsidR="00BC33BB" w:rsidRPr="00BC33BB" w:rsidRDefault="00BC33BB" w:rsidP="00BC33BB">
            <w:pPr>
              <w:rPr>
                <w:snapToGrid w:val="0"/>
                <w:color w:val="000000"/>
                <w:sz w:val="20"/>
                <w:szCs w:val="20"/>
              </w:rPr>
            </w:pPr>
            <w:r w:rsidRPr="00BC33BB">
              <w:rPr>
                <w:snapToGrid w:val="0"/>
                <w:color w:val="000000"/>
                <w:sz w:val="20"/>
                <w:szCs w:val="20"/>
              </w:rPr>
              <w:t>Current portion of notes payable</w:t>
            </w:r>
          </w:p>
        </w:tc>
        <w:tc>
          <w:tcPr>
            <w:tcW w:w="90" w:type="dxa"/>
          </w:tcPr>
          <w:p w14:paraId="17EBDF71" w14:textId="77777777" w:rsidR="00BC33BB" w:rsidRPr="00BC33BB" w:rsidRDefault="00BC33BB" w:rsidP="00BC33BB">
            <w:pPr>
              <w:jc w:val="right"/>
              <w:rPr>
                <w:snapToGrid w:val="0"/>
                <w:color w:val="000000"/>
                <w:sz w:val="20"/>
                <w:szCs w:val="20"/>
              </w:rPr>
            </w:pPr>
          </w:p>
        </w:tc>
        <w:tc>
          <w:tcPr>
            <w:tcW w:w="1710" w:type="dxa"/>
            <w:tcBorders>
              <w:bottom w:val="single" w:sz="4" w:space="0" w:color="auto"/>
            </w:tcBorders>
          </w:tcPr>
          <w:p w14:paraId="4EE79EA2"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w:t>
            </w:r>
          </w:p>
        </w:tc>
        <w:tc>
          <w:tcPr>
            <w:tcW w:w="270" w:type="dxa"/>
          </w:tcPr>
          <w:p w14:paraId="26BD899D" w14:textId="77777777" w:rsidR="00BC33BB" w:rsidRPr="00BC33BB" w:rsidRDefault="00BC33BB" w:rsidP="00BC33BB">
            <w:pPr>
              <w:jc w:val="right"/>
              <w:rPr>
                <w:snapToGrid w:val="0"/>
                <w:color w:val="000000"/>
                <w:sz w:val="20"/>
                <w:szCs w:val="20"/>
              </w:rPr>
            </w:pPr>
          </w:p>
        </w:tc>
        <w:tc>
          <w:tcPr>
            <w:tcW w:w="1890" w:type="dxa"/>
            <w:tcBorders>
              <w:bottom w:val="single" w:sz="4" w:space="0" w:color="auto"/>
            </w:tcBorders>
          </w:tcPr>
          <w:p w14:paraId="505520EE" w14:textId="77777777" w:rsidR="00BC33BB" w:rsidRPr="00BC33BB" w:rsidRDefault="00BC33BB" w:rsidP="00BC33BB">
            <w:pPr>
              <w:tabs>
                <w:tab w:val="decimal" w:pos="1195"/>
              </w:tabs>
              <w:jc w:val="center"/>
              <w:rPr>
                <w:snapToGrid w:val="0"/>
                <w:color w:val="000000"/>
                <w:sz w:val="20"/>
                <w:szCs w:val="20"/>
              </w:rPr>
            </w:pPr>
            <w:r w:rsidRPr="00BC33BB">
              <w:rPr>
                <w:snapToGrid w:val="0"/>
                <w:color w:val="000000"/>
                <w:sz w:val="20"/>
                <w:szCs w:val="20"/>
              </w:rPr>
              <w:t>183,326</w:t>
            </w:r>
          </w:p>
        </w:tc>
      </w:tr>
      <w:tr w:rsidR="00BC33BB" w:rsidRPr="00BC33BB" w14:paraId="3784BB2C" w14:textId="77777777" w:rsidTr="004F5282">
        <w:trPr>
          <w:trHeight w:hRule="exact" w:val="230"/>
        </w:trPr>
        <w:tc>
          <w:tcPr>
            <w:tcW w:w="6120" w:type="dxa"/>
            <w:gridSpan w:val="3"/>
          </w:tcPr>
          <w:p w14:paraId="799E5CF6" w14:textId="77777777" w:rsidR="00BC33BB" w:rsidRPr="00BC33BB" w:rsidRDefault="00BC33BB" w:rsidP="00BC33BB">
            <w:pPr>
              <w:rPr>
                <w:snapToGrid w:val="0"/>
                <w:color w:val="000000"/>
                <w:sz w:val="20"/>
                <w:szCs w:val="20"/>
              </w:rPr>
            </w:pPr>
            <w:bookmarkStart w:id="68" w:name="_Hlk510617170"/>
            <w:r w:rsidRPr="00BC33BB">
              <w:rPr>
                <w:snapToGrid w:val="0"/>
                <w:color w:val="000000"/>
                <w:sz w:val="20"/>
                <w:szCs w:val="20"/>
              </w:rPr>
              <w:t>Total current liabilities</w:t>
            </w:r>
          </w:p>
        </w:tc>
        <w:tc>
          <w:tcPr>
            <w:tcW w:w="90" w:type="dxa"/>
          </w:tcPr>
          <w:p w14:paraId="4B614BAB" w14:textId="77777777" w:rsidR="00BC33BB" w:rsidRPr="00BC33BB" w:rsidRDefault="00BC33BB" w:rsidP="00BC33BB">
            <w:pPr>
              <w:jc w:val="right"/>
              <w:rPr>
                <w:snapToGrid w:val="0"/>
                <w:color w:val="000000"/>
                <w:sz w:val="20"/>
                <w:szCs w:val="20"/>
              </w:rPr>
            </w:pPr>
          </w:p>
        </w:tc>
        <w:tc>
          <w:tcPr>
            <w:tcW w:w="1710" w:type="dxa"/>
            <w:tcBorders>
              <w:top w:val="single" w:sz="4" w:space="0" w:color="auto"/>
            </w:tcBorders>
          </w:tcPr>
          <w:p w14:paraId="6EA0B42A"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5,435,360</w:t>
            </w:r>
          </w:p>
        </w:tc>
        <w:tc>
          <w:tcPr>
            <w:tcW w:w="270" w:type="dxa"/>
          </w:tcPr>
          <w:p w14:paraId="262C8F51" w14:textId="77777777" w:rsidR="00BC33BB" w:rsidRPr="00BC33BB" w:rsidRDefault="00BC33BB" w:rsidP="00BC33BB">
            <w:pPr>
              <w:jc w:val="right"/>
              <w:rPr>
                <w:snapToGrid w:val="0"/>
                <w:color w:val="000000"/>
                <w:sz w:val="20"/>
                <w:szCs w:val="20"/>
              </w:rPr>
            </w:pPr>
          </w:p>
        </w:tc>
        <w:tc>
          <w:tcPr>
            <w:tcW w:w="1890" w:type="dxa"/>
            <w:tcBorders>
              <w:top w:val="single" w:sz="4" w:space="0" w:color="auto"/>
            </w:tcBorders>
          </w:tcPr>
          <w:p w14:paraId="1682EB2C"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810,309</w:t>
            </w:r>
          </w:p>
        </w:tc>
      </w:tr>
      <w:tr w:rsidR="00BC33BB" w:rsidRPr="00BC33BB" w14:paraId="30AEAFF5" w14:textId="77777777" w:rsidTr="004F5282">
        <w:trPr>
          <w:trHeight w:hRule="exact" w:val="230"/>
        </w:trPr>
        <w:tc>
          <w:tcPr>
            <w:tcW w:w="6120" w:type="dxa"/>
            <w:gridSpan w:val="3"/>
          </w:tcPr>
          <w:p w14:paraId="7A0D45B2" w14:textId="77777777" w:rsidR="00BC33BB" w:rsidRPr="00BC33BB" w:rsidRDefault="00BC33BB" w:rsidP="00BC33BB">
            <w:pPr>
              <w:rPr>
                <w:snapToGrid w:val="0"/>
                <w:color w:val="000000"/>
                <w:sz w:val="20"/>
                <w:szCs w:val="20"/>
              </w:rPr>
            </w:pPr>
            <w:r w:rsidRPr="00BC33BB">
              <w:rPr>
                <w:snapToGrid w:val="0"/>
                <w:color w:val="000000"/>
                <w:sz w:val="20"/>
                <w:szCs w:val="20"/>
              </w:rPr>
              <w:t>Accrued expenses – noncurrent</w:t>
            </w:r>
          </w:p>
        </w:tc>
        <w:tc>
          <w:tcPr>
            <w:tcW w:w="90" w:type="dxa"/>
          </w:tcPr>
          <w:p w14:paraId="6A37BF23" w14:textId="77777777" w:rsidR="00BC33BB" w:rsidRPr="00BC33BB" w:rsidRDefault="00BC33BB" w:rsidP="00BC33BB">
            <w:pPr>
              <w:jc w:val="right"/>
              <w:rPr>
                <w:snapToGrid w:val="0"/>
                <w:color w:val="000000"/>
                <w:sz w:val="20"/>
                <w:szCs w:val="20"/>
              </w:rPr>
            </w:pPr>
          </w:p>
        </w:tc>
        <w:tc>
          <w:tcPr>
            <w:tcW w:w="1710" w:type="dxa"/>
          </w:tcPr>
          <w:p w14:paraId="77AC9D1E"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2,000,000</w:t>
            </w:r>
          </w:p>
        </w:tc>
        <w:tc>
          <w:tcPr>
            <w:tcW w:w="270" w:type="dxa"/>
          </w:tcPr>
          <w:p w14:paraId="34148E52" w14:textId="77777777" w:rsidR="00BC33BB" w:rsidRPr="00BC33BB" w:rsidRDefault="00BC33BB" w:rsidP="00BC33BB">
            <w:pPr>
              <w:jc w:val="right"/>
              <w:rPr>
                <w:snapToGrid w:val="0"/>
                <w:color w:val="000000"/>
                <w:sz w:val="20"/>
                <w:szCs w:val="20"/>
              </w:rPr>
            </w:pPr>
          </w:p>
        </w:tc>
        <w:tc>
          <w:tcPr>
            <w:tcW w:w="1890" w:type="dxa"/>
          </w:tcPr>
          <w:p w14:paraId="13A4B489"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w:t>
            </w:r>
          </w:p>
        </w:tc>
      </w:tr>
      <w:bookmarkEnd w:id="68"/>
      <w:tr w:rsidR="00BC33BB" w:rsidRPr="00BC33BB" w14:paraId="751227D7" w14:textId="77777777" w:rsidTr="004F5282">
        <w:trPr>
          <w:trHeight w:hRule="exact" w:val="230"/>
        </w:trPr>
        <w:tc>
          <w:tcPr>
            <w:tcW w:w="6120" w:type="dxa"/>
            <w:gridSpan w:val="3"/>
          </w:tcPr>
          <w:p w14:paraId="38A108B8" w14:textId="77777777" w:rsidR="00BC33BB" w:rsidRPr="00BC33BB" w:rsidRDefault="00BC33BB" w:rsidP="00BC33BB">
            <w:pPr>
              <w:rPr>
                <w:snapToGrid w:val="0"/>
                <w:color w:val="000000"/>
                <w:sz w:val="20"/>
                <w:szCs w:val="20"/>
              </w:rPr>
            </w:pPr>
            <w:r w:rsidRPr="00BC33BB">
              <w:rPr>
                <w:snapToGrid w:val="0"/>
                <w:color w:val="000000"/>
                <w:sz w:val="20"/>
                <w:szCs w:val="20"/>
              </w:rPr>
              <w:t>Note payable, net of current portion</w:t>
            </w:r>
          </w:p>
        </w:tc>
        <w:tc>
          <w:tcPr>
            <w:tcW w:w="90" w:type="dxa"/>
          </w:tcPr>
          <w:p w14:paraId="14D855F6" w14:textId="77777777" w:rsidR="00BC33BB" w:rsidRPr="00BC33BB" w:rsidRDefault="00BC33BB" w:rsidP="00BC33BB">
            <w:pPr>
              <w:jc w:val="right"/>
              <w:rPr>
                <w:snapToGrid w:val="0"/>
                <w:color w:val="000000"/>
                <w:sz w:val="20"/>
                <w:szCs w:val="20"/>
              </w:rPr>
            </w:pPr>
          </w:p>
        </w:tc>
        <w:tc>
          <w:tcPr>
            <w:tcW w:w="1710" w:type="dxa"/>
            <w:tcBorders>
              <w:bottom w:val="single" w:sz="4" w:space="0" w:color="auto"/>
            </w:tcBorders>
          </w:tcPr>
          <w:p w14:paraId="4A666D0C"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w:t>
            </w:r>
          </w:p>
        </w:tc>
        <w:tc>
          <w:tcPr>
            <w:tcW w:w="270" w:type="dxa"/>
          </w:tcPr>
          <w:p w14:paraId="5672456B" w14:textId="77777777" w:rsidR="00BC33BB" w:rsidRPr="00BC33BB" w:rsidRDefault="00BC33BB" w:rsidP="00BC33BB">
            <w:pPr>
              <w:jc w:val="right"/>
              <w:rPr>
                <w:snapToGrid w:val="0"/>
                <w:color w:val="000000"/>
                <w:sz w:val="20"/>
                <w:szCs w:val="20"/>
              </w:rPr>
            </w:pPr>
          </w:p>
        </w:tc>
        <w:tc>
          <w:tcPr>
            <w:tcW w:w="1890" w:type="dxa"/>
            <w:tcBorders>
              <w:bottom w:val="single" w:sz="4" w:space="0" w:color="auto"/>
            </w:tcBorders>
          </w:tcPr>
          <w:p w14:paraId="78DDEE76"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14,738</w:t>
            </w:r>
          </w:p>
        </w:tc>
      </w:tr>
      <w:tr w:rsidR="00BC33BB" w:rsidRPr="00BC33BB" w14:paraId="43B1E416" w14:textId="77777777" w:rsidTr="004F5282">
        <w:trPr>
          <w:trHeight w:hRule="exact" w:val="230"/>
        </w:trPr>
        <w:tc>
          <w:tcPr>
            <w:tcW w:w="6120" w:type="dxa"/>
            <w:gridSpan w:val="3"/>
          </w:tcPr>
          <w:p w14:paraId="548F506D" w14:textId="77777777" w:rsidR="00BC33BB" w:rsidRPr="00BC33BB" w:rsidRDefault="00BC33BB" w:rsidP="00BC33BB">
            <w:pPr>
              <w:rPr>
                <w:snapToGrid w:val="0"/>
                <w:color w:val="000000"/>
                <w:sz w:val="20"/>
                <w:szCs w:val="20"/>
              </w:rPr>
            </w:pPr>
            <w:r w:rsidRPr="00BC33BB">
              <w:rPr>
                <w:snapToGrid w:val="0"/>
                <w:color w:val="000000"/>
                <w:sz w:val="20"/>
                <w:szCs w:val="20"/>
              </w:rPr>
              <w:t>Total liabilities</w:t>
            </w:r>
          </w:p>
        </w:tc>
        <w:tc>
          <w:tcPr>
            <w:tcW w:w="90" w:type="dxa"/>
          </w:tcPr>
          <w:p w14:paraId="190D400A" w14:textId="77777777" w:rsidR="00BC33BB" w:rsidRPr="00BC33BB" w:rsidRDefault="00BC33BB" w:rsidP="00BC33BB">
            <w:pPr>
              <w:jc w:val="right"/>
              <w:rPr>
                <w:snapToGrid w:val="0"/>
                <w:color w:val="000000"/>
                <w:sz w:val="20"/>
                <w:szCs w:val="20"/>
              </w:rPr>
            </w:pPr>
          </w:p>
        </w:tc>
        <w:tc>
          <w:tcPr>
            <w:tcW w:w="1710" w:type="dxa"/>
            <w:tcBorders>
              <w:top w:val="single" w:sz="4" w:space="0" w:color="auto"/>
            </w:tcBorders>
          </w:tcPr>
          <w:p w14:paraId="2C5E7C54"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7,435,360</w:t>
            </w:r>
          </w:p>
        </w:tc>
        <w:tc>
          <w:tcPr>
            <w:tcW w:w="270" w:type="dxa"/>
          </w:tcPr>
          <w:p w14:paraId="3FD45AF0" w14:textId="77777777" w:rsidR="00BC33BB" w:rsidRPr="00BC33BB" w:rsidRDefault="00BC33BB" w:rsidP="00BC33BB">
            <w:pPr>
              <w:jc w:val="right"/>
              <w:rPr>
                <w:snapToGrid w:val="0"/>
                <w:color w:val="000000"/>
                <w:sz w:val="20"/>
                <w:szCs w:val="20"/>
              </w:rPr>
            </w:pPr>
          </w:p>
        </w:tc>
        <w:tc>
          <w:tcPr>
            <w:tcW w:w="1890" w:type="dxa"/>
            <w:tcBorders>
              <w:top w:val="single" w:sz="4" w:space="0" w:color="auto"/>
            </w:tcBorders>
          </w:tcPr>
          <w:p w14:paraId="50B17A69"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825,047</w:t>
            </w:r>
          </w:p>
        </w:tc>
      </w:tr>
      <w:tr w:rsidR="00BC33BB" w:rsidRPr="00BC33BB" w14:paraId="57B3ECA0" w14:textId="77777777" w:rsidTr="004F5282">
        <w:trPr>
          <w:trHeight w:hRule="exact" w:val="230"/>
        </w:trPr>
        <w:tc>
          <w:tcPr>
            <w:tcW w:w="305" w:type="dxa"/>
          </w:tcPr>
          <w:p w14:paraId="1A8806F2" w14:textId="77777777" w:rsidR="00BC33BB" w:rsidRPr="00BC33BB" w:rsidRDefault="00BC33BB" w:rsidP="00BC33BB">
            <w:pPr>
              <w:jc w:val="right"/>
              <w:rPr>
                <w:snapToGrid w:val="0"/>
                <w:color w:val="000000"/>
                <w:sz w:val="20"/>
                <w:szCs w:val="20"/>
              </w:rPr>
            </w:pPr>
          </w:p>
        </w:tc>
        <w:tc>
          <w:tcPr>
            <w:tcW w:w="302" w:type="dxa"/>
          </w:tcPr>
          <w:p w14:paraId="6F7F3B6B" w14:textId="77777777" w:rsidR="00BC33BB" w:rsidRPr="00BC33BB" w:rsidRDefault="00BC33BB" w:rsidP="00BC33BB">
            <w:pPr>
              <w:jc w:val="right"/>
              <w:rPr>
                <w:snapToGrid w:val="0"/>
                <w:color w:val="000000"/>
                <w:sz w:val="20"/>
                <w:szCs w:val="20"/>
              </w:rPr>
            </w:pPr>
          </w:p>
        </w:tc>
        <w:tc>
          <w:tcPr>
            <w:tcW w:w="5513" w:type="dxa"/>
          </w:tcPr>
          <w:p w14:paraId="7F1758FA" w14:textId="77777777" w:rsidR="00BC33BB" w:rsidRPr="00BC33BB" w:rsidRDefault="00BC33BB" w:rsidP="00BC33BB">
            <w:pPr>
              <w:rPr>
                <w:snapToGrid w:val="0"/>
                <w:color w:val="000000"/>
                <w:sz w:val="20"/>
                <w:szCs w:val="20"/>
              </w:rPr>
            </w:pPr>
          </w:p>
        </w:tc>
        <w:tc>
          <w:tcPr>
            <w:tcW w:w="90" w:type="dxa"/>
          </w:tcPr>
          <w:p w14:paraId="3DBD583F" w14:textId="77777777" w:rsidR="00BC33BB" w:rsidRPr="00BC33BB" w:rsidRDefault="00BC33BB" w:rsidP="00BC33BB">
            <w:pPr>
              <w:jc w:val="right"/>
              <w:rPr>
                <w:snapToGrid w:val="0"/>
                <w:color w:val="000000"/>
                <w:sz w:val="20"/>
                <w:szCs w:val="20"/>
              </w:rPr>
            </w:pPr>
          </w:p>
        </w:tc>
        <w:tc>
          <w:tcPr>
            <w:tcW w:w="1710" w:type="dxa"/>
          </w:tcPr>
          <w:p w14:paraId="23EF323E" w14:textId="77777777" w:rsidR="00BC33BB" w:rsidRPr="00BC33BB" w:rsidRDefault="00BC33BB" w:rsidP="00BC33BB">
            <w:pPr>
              <w:tabs>
                <w:tab w:val="decimal" w:pos="1320"/>
              </w:tabs>
              <w:rPr>
                <w:snapToGrid w:val="0"/>
                <w:color w:val="000000"/>
                <w:sz w:val="20"/>
                <w:szCs w:val="20"/>
              </w:rPr>
            </w:pPr>
          </w:p>
        </w:tc>
        <w:tc>
          <w:tcPr>
            <w:tcW w:w="270" w:type="dxa"/>
          </w:tcPr>
          <w:p w14:paraId="2A6747B2" w14:textId="77777777" w:rsidR="00BC33BB" w:rsidRPr="00BC33BB" w:rsidRDefault="00BC33BB" w:rsidP="00BC33BB">
            <w:pPr>
              <w:jc w:val="right"/>
              <w:rPr>
                <w:snapToGrid w:val="0"/>
                <w:color w:val="000000"/>
                <w:sz w:val="20"/>
                <w:szCs w:val="20"/>
              </w:rPr>
            </w:pPr>
          </w:p>
        </w:tc>
        <w:tc>
          <w:tcPr>
            <w:tcW w:w="1890" w:type="dxa"/>
          </w:tcPr>
          <w:p w14:paraId="573642F7" w14:textId="77777777" w:rsidR="00BC33BB" w:rsidRPr="00BC33BB" w:rsidRDefault="00BC33BB" w:rsidP="00BC33BB">
            <w:pPr>
              <w:tabs>
                <w:tab w:val="decimal" w:pos="1500"/>
              </w:tabs>
              <w:rPr>
                <w:snapToGrid w:val="0"/>
                <w:color w:val="000000"/>
                <w:sz w:val="20"/>
                <w:szCs w:val="20"/>
              </w:rPr>
            </w:pPr>
          </w:p>
        </w:tc>
      </w:tr>
      <w:tr w:rsidR="00BC33BB" w:rsidRPr="00BC33BB" w14:paraId="4C2AA0E8" w14:textId="77777777" w:rsidTr="004F5282">
        <w:trPr>
          <w:trHeight w:hRule="exact" w:val="230"/>
        </w:trPr>
        <w:tc>
          <w:tcPr>
            <w:tcW w:w="6120" w:type="dxa"/>
            <w:gridSpan w:val="3"/>
          </w:tcPr>
          <w:p w14:paraId="2C89895F" w14:textId="77777777" w:rsidR="00BC33BB" w:rsidRPr="00BC33BB" w:rsidRDefault="00BC33BB" w:rsidP="00BC33BB">
            <w:pPr>
              <w:rPr>
                <w:snapToGrid w:val="0"/>
                <w:color w:val="000000"/>
                <w:sz w:val="20"/>
                <w:szCs w:val="20"/>
              </w:rPr>
            </w:pPr>
            <w:r w:rsidRPr="00BC33BB">
              <w:rPr>
                <w:snapToGrid w:val="0"/>
                <w:color w:val="000000"/>
                <w:sz w:val="20"/>
                <w:szCs w:val="20"/>
              </w:rPr>
              <w:t>Commitments (Note 6)</w:t>
            </w:r>
          </w:p>
        </w:tc>
        <w:tc>
          <w:tcPr>
            <w:tcW w:w="90" w:type="dxa"/>
          </w:tcPr>
          <w:p w14:paraId="3367D3C9" w14:textId="77777777" w:rsidR="00BC33BB" w:rsidRPr="00BC33BB" w:rsidRDefault="00BC33BB" w:rsidP="00BC33BB">
            <w:pPr>
              <w:jc w:val="right"/>
              <w:rPr>
                <w:snapToGrid w:val="0"/>
                <w:color w:val="000000"/>
                <w:sz w:val="20"/>
                <w:szCs w:val="20"/>
              </w:rPr>
            </w:pPr>
          </w:p>
        </w:tc>
        <w:tc>
          <w:tcPr>
            <w:tcW w:w="1710" w:type="dxa"/>
          </w:tcPr>
          <w:p w14:paraId="31348A6E" w14:textId="77777777" w:rsidR="00BC33BB" w:rsidRPr="00BC33BB" w:rsidRDefault="00BC33BB" w:rsidP="00BC33BB">
            <w:pPr>
              <w:tabs>
                <w:tab w:val="decimal" w:pos="1195"/>
              </w:tabs>
              <w:jc w:val="right"/>
              <w:rPr>
                <w:snapToGrid w:val="0"/>
                <w:color w:val="000000"/>
                <w:sz w:val="20"/>
                <w:szCs w:val="20"/>
              </w:rPr>
            </w:pPr>
          </w:p>
        </w:tc>
        <w:tc>
          <w:tcPr>
            <w:tcW w:w="270" w:type="dxa"/>
          </w:tcPr>
          <w:p w14:paraId="47AF7195" w14:textId="77777777" w:rsidR="00BC33BB" w:rsidRPr="00BC33BB" w:rsidRDefault="00BC33BB" w:rsidP="00BC33BB">
            <w:pPr>
              <w:jc w:val="right"/>
              <w:rPr>
                <w:snapToGrid w:val="0"/>
                <w:color w:val="000000"/>
                <w:sz w:val="20"/>
                <w:szCs w:val="20"/>
              </w:rPr>
            </w:pPr>
          </w:p>
        </w:tc>
        <w:tc>
          <w:tcPr>
            <w:tcW w:w="1890" w:type="dxa"/>
          </w:tcPr>
          <w:p w14:paraId="30A52FE1" w14:textId="77777777" w:rsidR="00BC33BB" w:rsidRPr="00BC33BB" w:rsidRDefault="00BC33BB" w:rsidP="00BC33BB">
            <w:pPr>
              <w:tabs>
                <w:tab w:val="decimal" w:pos="1195"/>
              </w:tabs>
              <w:jc w:val="right"/>
              <w:rPr>
                <w:snapToGrid w:val="0"/>
                <w:color w:val="000000"/>
                <w:sz w:val="20"/>
                <w:szCs w:val="20"/>
              </w:rPr>
            </w:pPr>
          </w:p>
        </w:tc>
      </w:tr>
      <w:tr w:rsidR="00BC33BB" w:rsidRPr="00BC33BB" w14:paraId="37AB934D" w14:textId="77777777" w:rsidTr="004F5282">
        <w:trPr>
          <w:trHeight w:hRule="exact" w:val="230"/>
        </w:trPr>
        <w:tc>
          <w:tcPr>
            <w:tcW w:w="305" w:type="dxa"/>
          </w:tcPr>
          <w:p w14:paraId="1A6BB9C7" w14:textId="77777777" w:rsidR="00BC33BB" w:rsidRPr="00BC33BB" w:rsidRDefault="00BC33BB" w:rsidP="00BC33BB">
            <w:pPr>
              <w:jc w:val="right"/>
              <w:rPr>
                <w:snapToGrid w:val="0"/>
                <w:color w:val="000000"/>
                <w:sz w:val="20"/>
                <w:szCs w:val="20"/>
              </w:rPr>
            </w:pPr>
          </w:p>
        </w:tc>
        <w:tc>
          <w:tcPr>
            <w:tcW w:w="302" w:type="dxa"/>
          </w:tcPr>
          <w:p w14:paraId="31C2C470" w14:textId="77777777" w:rsidR="00BC33BB" w:rsidRPr="00BC33BB" w:rsidRDefault="00BC33BB" w:rsidP="00BC33BB">
            <w:pPr>
              <w:jc w:val="right"/>
              <w:rPr>
                <w:snapToGrid w:val="0"/>
                <w:color w:val="000000"/>
                <w:sz w:val="20"/>
                <w:szCs w:val="20"/>
              </w:rPr>
            </w:pPr>
          </w:p>
        </w:tc>
        <w:tc>
          <w:tcPr>
            <w:tcW w:w="5513" w:type="dxa"/>
          </w:tcPr>
          <w:p w14:paraId="17F6B88F" w14:textId="77777777" w:rsidR="00BC33BB" w:rsidRPr="00BC33BB" w:rsidRDefault="00BC33BB" w:rsidP="00BC33BB">
            <w:pPr>
              <w:jc w:val="right"/>
              <w:rPr>
                <w:snapToGrid w:val="0"/>
                <w:color w:val="000000"/>
                <w:sz w:val="20"/>
                <w:szCs w:val="20"/>
              </w:rPr>
            </w:pPr>
          </w:p>
        </w:tc>
        <w:tc>
          <w:tcPr>
            <w:tcW w:w="90" w:type="dxa"/>
          </w:tcPr>
          <w:p w14:paraId="6F12FE71" w14:textId="77777777" w:rsidR="00BC33BB" w:rsidRPr="00BC33BB" w:rsidRDefault="00BC33BB" w:rsidP="00BC33BB">
            <w:pPr>
              <w:jc w:val="right"/>
              <w:rPr>
                <w:snapToGrid w:val="0"/>
                <w:color w:val="000000"/>
                <w:sz w:val="20"/>
                <w:szCs w:val="20"/>
              </w:rPr>
            </w:pPr>
          </w:p>
        </w:tc>
        <w:tc>
          <w:tcPr>
            <w:tcW w:w="1710" w:type="dxa"/>
          </w:tcPr>
          <w:p w14:paraId="46B8339B" w14:textId="77777777" w:rsidR="00BC33BB" w:rsidRPr="00BC33BB" w:rsidRDefault="00BC33BB" w:rsidP="00BC33BB">
            <w:pPr>
              <w:tabs>
                <w:tab w:val="decimal" w:pos="1195"/>
              </w:tabs>
              <w:jc w:val="right"/>
              <w:rPr>
                <w:snapToGrid w:val="0"/>
                <w:color w:val="000000"/>
                <w:sz w:val="20"/>
                <w:szCs w:val="20"/>
              </w:rPr>
            </w:pPr>
          </w:p>
        </w:tc>
        <w:tc>
          <w:tcPr>
            <w:tcW w:w="270" w:type="dxa"/>
          </w:tcPr>
          <w:p w14:paraId="23A09335" w14:textId="77777777" w:rsidR="00BC33BB" w:rsidRPr="00BC33BB" w:rsidRDefault="00BC33BB" w:rsidP="00BC33BB">
            <w:pPr>
              <w:jc w:val="right"/>
              <w:rPr>
                <w:snapToGrid w:val="0"/>
                <w:color w:val="000000"/>
                <w:sz w:val="20"/>
                <w:szCs w:val="20"/>
              </w:rPr>
            </w:pPr>
          </w:p>
        </w:tc>
        <w:tc>
          <w:tcPr>
            <w:tcW w:w="1890" w:type="dxa"/>
          </w:tcPr>
          <w:p w14:paraId="623C202F" w14:textId="77777777" w:rsidR="00BC33BB" w:rsidRPr="00BC33BB" w:rsidRDefault="00BC33BB" w:rsidP="00BC33BB">
            <w:pPr>
              <w:tabs>
                <w:tab w:val="decimal" w:pos="1195"/>
              </w:tabs>
              <w:jc w:val="right"/>
              <w:rPr>
                <w:snapToGrid w:val="0"/>
                <w:color w:val="000000"/>
                <w:sz w:val="20"/>
                <w:szCs w:val="20"/>
              </w:rPr>
            </w:pPr>
          </w:p>
        </w:tc>
      </w:tr>
      <w:tr w:rsidR="00BC33BB" w:rsidRPr="00BC33BB" w14:paraId="4CB340C1" w14:textId="77777777" w:rsidTr="004F5282">
        <w:trPr>
          <w:trHeight w:hRule="exact" w:val="230"/>
        </w:trPr>
        <w:tc>
          <w:tcPr>
            <w:tcW w:w="6120" w:type="dxa"/>
            <w:gridSpan w:val="3"/>
          </w:tcPr>
          <w:p w14:paraId="4C3EBDD9" w14:textId="77777777" w:rsidR="00BC33BB" w:rsidRPr="00BC33BB" w:rsidRDefault="00BC33BB" w:rsidP="00BC33BB">
            <w:pPr>
              <w:rPr>
                <w:snapToGrid w:val="0"/>
                <w:color w:val="000000"/>
                <w:sz w:val="20"/>
                <w:szCs w:val="20"/>
              </w:rPr>
            </w:pPr>
            <w:r w:rsidRPr="00BC33BB">
              <w:rPr>
                <w:snapToGrid w:val="0"/>
                <w:color w:val="000000"/>
                <w:sz w:val="20"/>
                <w:szCs w:val="20"/>
              </w:rPr>
              <w:t>Stockholders’ equity:</w:t>
            </w:r>
          </w:p>
        </w:tc>
        <w:tc>
          <w:tcPr>
            <w:tcW w:w="90" w:type="dxa"/>
          </w:tcPr>
          <w:p w14:paraId="1E06159C" w14:textId="77777777" w:rsidR="00BC33BB" w:rsidRPr="00BC33BB" w:rsidRDefault="00BC33BB" w:rsidP="00BC33BB">
            <w:pPr>
              <w:jc w:val="right"/>
              <w:rPr>
                <w:snapToGrid w:val="0"/>
                <w:color w:val="000000"/>
                <w:sz w:val="20"/>
                <w:szCs w:val="20"/>
              </w:rPr>
            </w:pPr>
          </w:p>
        </w:tc>
        <w:tc>
          <w:tcPr>
            <w:tcW w:w="1710" w:type="dxa"/>
          </w:tcPr>
          <w:p w14:paraId="6A77CB19" w14:textId="77777777" w:rsidR="00BC33BB" w:rsidRPr="00BC33BB" w:rsidRDefault="00BC33BB" w:rsidP="00BC33BB">
            <w:pPr>
              <w:tabs>
                <w:tab w:val="decimal" w:pos="1195"/>
              </w:tabs>
              <w:jc w:val="right"/>
              <w:rPr>
                <w:snapToGrid w:val="0"/>
                <w:color w:val="000000"/>
                <w:sz w:val="20"/>
                <w:szCs w:val="20"/>
              </w:rPr>
            </w:pPr>
          </w:p>
        </w:tc>
        <w:tc>
          <w:tcPr>
            <w:tcW w:w="270" w:type="dxa"/>
          </w:tcPr>
          <w:p w14:paraId="10B77E96" w14:textId="77777777" w:rsidR="00BC33BB" w:rsidRPr="00BC33BB" w:rsidRDefault="00BC33BB" w:rsidP="00BC33BB">
            <w:pPr>
              <w:jc w:val="right"/>
              <w:rPr>
                <w:snapToGrid w:val="0"/>
                <w:color w:val="000000"/>
                <w:sz w:val="20"/>
                <w:szCs w:val="20"/>
              </w:rPr>
            </w:pPr>
          </w:p>
        </w:tc>
        <w:tc>
          <w:tcPr>
            <w:tcW w:w="1890" w:type="dxa"/>
          </w:tcPr>
          <w:p w14:paraId="6A8007AC" w14:textId="77777777" w:rsidR="00BC33BB" w:rsidRPr="00BC33BB" w:rsidRDefault="00BC33BB" w:rsidP="00BC33BB">
            <w:pPr>
              <w:tabs>
                <w:tab w:val="decimal" w:pos="1195"/>
              </w:tabs>
              <w:jc w:val="right"/>
              <w:rPr>
                <w:snapToGrid w:val="0"/>
                <w:color w:val="000000"/>
                <w:sz w:val="20"/>
                <w:szCs w:val="20"/>
              </w:rPr>
            </w:pPr>
          </w:p>
        </w:tc>
      </w:tr>
      <w:tr w:rsidR="00BC33BB" w:rsidRPr="00BC33BB" w14:paraId="459D28A1" w14:textId="77777777" w:rsidTr="004F5282">
        <w:trPr>
          <w:trHeight w:hRule="exact" w:val="230"/>
        </w:trPr>
        <w:tc>
          <w:tcPr>
            <w:tcW w:w="305" w:type="dxa"/>
          </w:tcPr>
          <w:p w14:paraId="13C7FBD7" w14:textId="77777777" w:rsidR="00BC33BB" w:rsidRPr="00BC33BB" w:rsidRDefault="00BC33BB" w:rsidP="00BC33BB">
            <w:pPr>
              <w:jc w:val="right"/>
              <w:rPr>
                <w:snapToGrid w:val="0"/>
                <w:color w:val="000000"/>
                <w:sz w:val="20"/>
                <w:szCs w:val="20"/>
              </w:rPr>
            </w:pPr>
          </w:p>
        </w:tc>
        <w:tc>
          <w:tcPr>
            <w:tcW w:w="5815" w:type="dxa"/>
            <w:gridSpan w:val="2"/>
          </w:tcPr>
          <w:p w14:paraId="7A1524C5" w14:textId="77777777" w:rsidR="00BC33BB" w:rsidRPr="00BC33BB" w:rsidRDefault="00BC33BB" w:rsidP="00BC33BB">
            <w:pPr>
              <w:rPr>
                <w:snapToGrid w:val="0"/>
                <w:color w:val="000000"/>
                <w:sz w:val="20"/>
                <w:szCs w:val="20"/>
              </w:rPr>
            </w:pPr>
            <w:r w:rsidRPr="00BC33BB">
              <w:rPr>
                <w:snapToGrid w:val="0"/>
                <w:color w:val="000000"/>
                <w:sz w:val="20"/>
                <w:szCs w:val="20"/>
              </w:rPr>
              <w:t>Preferred stock, $.01 par value:</w:t>
            </w:r>
          </w:p>
        </w:tc>
        <w:tc>
          <w:tcPr>
            <w:tcW w:w="90" w:type="dxa"/>
          </w:tcPr>
          <w:p w14:paraId="18308637" w14:textId="77777777" w:rsidR="00BC33BB" w:rsidRPr="00BC33BB" w:rsidRDefault="00BC33BB" w:rsidP="00BC33BB">
            <w:pPr>
              <w:jc w:val="right"/>
              <w:rPr>
                <w:snapToGrid w:val="0"/>
                <w:color w:val="000000"/>
                <w:sz w:val="20"/>
                <w:szCs w:val="20"/>
              </w:rPr>
            </w:pPr>
          </w:p>
        </w:tc>
        <w:tc>
          <w:tcPr>
            <w:tcW w:w="1710" w:type="dxa"/>
          </w:tcPr>
          <w:p w14:paraId="1899AE25" w14:textId="77777777" w:rsidR="00BC33BB" w:rsidRPr="00BC33BB" w:rsidRDefault="00BC33BB" w:rsidP="00BC33BB">
            <w:pPr>
              <w:tabs>
                <w:tab w:val="decimal" w:pos="1195"/>
              </w:tabs>
              <w:jc w:val="right"/>
              <w:rPr>
                <w:snapToGrid w:val="0"/>
                <w:color w:val="000000"/>
                <w:sz w:val="20"/>
                <w:szCs w:val="20"/>
              </w:rPr>
            </w:pPr>
          </w:p>
        </w:tc>
        <w:tc>
          <w:tcPr>
            <w:tcW w:w="270" w:type="dxa"/>
          </w:tcPr>
          <w:p w14:paraId="5ABA83D4" w14:textId="77777777" w:rsidR="00BC33BB" w:rsidRPr="00BC33BB" w:rsidRDefault="00BC33BB" w:rsidP="00BC33BB">
            <w:pPr>
              <w:jc w:val="right"/>
              <w:rPr>
                <w:snapToGrid w:val="0"/>
                <w:color w:val="000000"/>
                <w:sz w:val="20"/>
                <w:szCs w:val="20"/>
              </w:rPr>
            </w:pPr>
          </w:p>
        </w:tc>
        <w:tc>
          <w:tcPr>
            <w:tcW w:w="1890" w:type="dxa"/>
          </w:tcPr>
          <w:p w14:paraId="4060334F" w14:textId="77777777" w:rsidR="00BC33BB" w:rsidRPr="00BC33BB" w:rsidRDefault="00BC33BB" w:rsidP="00BC33BB">
            <w:pPr>
              <w:tabs>
                <w:tab w:val="decimal" w:pos="1195"/>
              </w:tabs>
              <w:jc w:val="right"/>
              <w:rPr>
                <w:snapToGrid w:val="0"/>
                <w:color w:val="000000"/>
                <w:sz w:val="20"/>
                <w:szCs w:val="20"/>
              </w:rPr>
            </w:pPr>
          </w:p>
        </w:tc>
      </w:tr>
      <w:tr w:rsidR="00BC33BB" w:rsidRPr="00BC33BB" w14:paraId="782B57D0" w14:textId="77777777" w:rsidTr="004F5282">
        <w:trPr>
          <w:trHeight w:hRule="exact" w:val="230"/>
        </w:trPr>
        <w:tc>
          <w:tcPr>
            <w:tcW w:w="305" w:type="dxa"/>
          </w:tcPr>
          <w:p w14:paraId="392C748B" w14:textId="77777777" w:rsidR="00BC33BB" w:rsidRPr="00BC33BB" w:rsidRDefault="00BC33BB" w:rsidP="00BC33BB">
            <w:pPr>
              <w:jc w:val="right"/>
              <w:rPr>
                <w:snapToGrid w:val="0"/>
                <w:color w:val="000000"/>
                <w:sz w:val="20"/>
                <w:szCs w:val="20"/>
              </w:rPr>
            </w:pPr>
          </w:p>
        </w:tc>
        <w:tc>
          <w:tcPr>
            <w:tcW w:w="302" w:type="dxa"/>
          </w:tcPr>
          <w:p w14:paraId="797FB9FB" w14:textId="77777777" w:rsidR="00BC33BB" w:rsidRPr="00BC33BB" w:rsidRDefault="00BC33BB" w:rsidP="00BC33BB">
            <w:pPr>
              <w:jc w:val="right"/>
              <w:rPr>
                <w:snapToGrid w:val="0"/>
                <w:color w:val="000000"/>
                <w:sz w:val="20"/>
                <w:szCs w:val="20"/>
              </w:rPr>
            </w:pPr>
          </w:p>
        </w:tc>
        <w:tc>
          <w:tcPr>
            <w:tcW w:w="5513" w:type="dxa"/>
          </w:tcPr>
          <w:p w14:paraId="340EC8F2" w14:textId="77777777" w:rsidR="00BC33BB" w:rsidRPr="00BC33BB" w:rsidRDefault="00BC33BB" w:rsidP="00BC33BB">
            <w:pPr>
              <w:tabs>
                <w:tab w:val="left" w:pos="203"/>
              </w:tabs>
              <w:rPr>
                <w:snapToGrid w:val="0"/>
                <w:color w:val="000000"/>
                <w:sz w:val="20"/>
                <w:szCs w:val="20"/>
              </w:rPr>
            </w:pPr>
            <w:r w:rsidRPr="00BC33BB">
              <w:rPr>
                <w:snapToGrid w:val="0"/>
                <w:color w:val="000000"/>
                <w:sz w:val="20"/>
                <w:szCs w:val="20"/>
              </w:rPr>
              <w:t>Authorized shares – 10,000,000</w:t>
            </w:r>
          </w:p>
        </w:tc>
        <w:tc>
          <w:tcPr>
            <w:tcW w:w="90" w:type="dxa"/>
          </w:tcPr>
          <w:p w14:paraId="363FC202" w14:textId="77777777" w:rsidR="00BC33BB" w:rsidRPr="00BC33BB" w:rsidRDefault="00BC33BB" w:rsidP="00BC33BB">
            <w:pPr>
              <w:jc w:val="right"/>
              <w:rPr>
                <w:snapToGrid w:val="0"/>
                <w:color w:val="000000"/>
                <w:sz w:val="20"/>
                <w:szCs w:val="20"/>
              </w:rPr>
            </w:pPr>
          </w:p>
        </w:tc>
        <w:tc>
          <w:tcPr>
            <w:tcW w:w="1710" w:type="dxa"/>
          </w:tcPr>
          <w:p w14:paraId="47029540" w14:textId="77777777" w:rsidR="00BC33BB" w:rsidRPr="00BC33BB" w:rsidRDefault="00BC33BB" w:rsidP="00BC33BB">
            <w:pPr>
              <w:tabs>
                <w:tab w:val="decimal" w:pos="1195"/>
              </w:tabs>
              <w:jc w:val="right"/>
              <w:rPr>
                <w:snapToGrid w:val="0"/>
                <w:color w:val="000000"/>
                <w:sz w:val="20"/>
                <w:szCs w:val="20"/>
              </w:rPr>
            </w:pPr>
          </w:p>
        </w:tc>
        <w:tc>
          <w:tcPr>
            <w:tcW w:w="270" w:type="dxa"/>
          </w:tcPr>
          <w:p w14:paraId="49249FE0" w14:textId="77777777" w:rsidR="00BC33BB" w:rsidRPr="00BC33BB" w:rsidRDefault="00BC33BB" w:rsidP="00BC33BB">
            <w:pPr>
              <w:jc w:val="right"/>
              <w:rPr>
                <w:snapToGrid w:val="0"/>
                <w:color w:val="000000"/>
                <w:sz w:val="20"/>
                <w:szCs w:val="20"/>
              </w:rPr>
            </w:pPr>
          </w:p>
        </w:tc>
        <w:tc>
          <w:tcPr>
            <w:tcW w:w="1890" w:type="dxa"/>
          </w:tcPr>
          <w:p w14:paraId="1D16363C" w14:textId="77777777" w:rsidR="00BC33BB" w:rsidRPr="00BC33BB" w:rsidRDefault="00BC33BB" w:rsidP="00BC33BB">
            <w:pPr>
              <w:tabs>
                <w:tab w:val="decimal" w:pos="1195"/>
              </w:tabs>
              <w:jc w:val="right"/>
              <w:rPr>
                <w:snapToGrid w:val="0"/>
                <w:color w:val="000000"/>
                <w:sz w:val="20"/>
                <w:szCs w:val="20"/>
              </w:rPr>
            </w:pPr>
          </w:p>
        </w:tc>
      </w:tr>
      <w:tr w:rsidR="00BC33BB" w:rsidRPr="00BC33BB" w14:paraId="6EDF0466" w14:textId="77777777" w:rsidTr="004F5282">
        <w:trPr>
          <w:trHeight w:hRule="exact" w:val="230"/>
        </w:trPr>
        <w:tc>
          <w:tcPr>
            <w:tcW w:w="305" w:type="dxa"/>
          </w:tcPr>
          <w:p w14:paraId="31D4B35C" w14:textId="77777777" w:rsidR="00BC33BB" w:rsidRPr="00BC33BB" w:rsidRDefault="00BC33BB" w:rsidP="00BC33BB">
            <w:pPr>
              <w:jc w:val="right"/>
              <w:rPr>
                <w:snapToGrid w:val="0"/>
                <w:color w:val="000000"/>
                <w:sz w:val="20"/>
                <w:szCs w:val="20"/>
              </w:rPr>
            </w:pPr>
          </w:p>
        </w:tc>
        <w:tc>
          <w:tcPr>
            <w:tcW w:w="302" w:type="dxa"/>
          </w:tcPr>
          <w:p w14:paraId="47F1A05F" w14:textId="77777777" w:rsidR="00BC33BB" w:rsidRPr="00BC33BB" w:rsidRDefault="00BC33BB" w:rsidP="00BC33BB">
            <w:pPr>
              <w:jc w:val="right"/>
              <w:rPr>
                <w:snapToGrid w:val="0"/>
                <w:color w:val="000000"/>
                <w:sz w:val="20"/>
                <w:szCs w:val="20"/>
              </w:rPr>
            </w:pPr>
          </w:p>
        </w:tc>
        <w:tc>
          <w:tcPr>
            <w:tcW w:w="5513" w:type="dxa"/>
          </w:tcPr>
          <w:p w14:paraId="1BA22F16" w14:textId="77777777" w:rsidR="00BC33BB" w:rsidRPr="00BC33BB" w:rsidRDefault="00BC33BB" w:rsidP="00BC33BB">
            <w:pPr>
              <w:tabs>
                <w:tab w:val="left" w:pos="203"/>
              </w:tabs>
              <w:rPr>
                <w:snapToGrid w:val="0"/>
                <w:color w:val="000000"/>
                <w:sz w:val="20"/>
                <w:szCs w:val="20"/>
              </w:rPr>
            </w:pPr>
            <w:r w:rsidRPr="00BC33BB">
              <w:rPr>
                <w:snapToGrid w:val="0"/>
                <w:color w:val="000000"/>
                <w:sz w:val="20"/>
                <w:szCs w:val="20"/>
              </w:rPr>
              <w:t>Series B convertible preferred stock, $1,000 stated value;</w:t>
            </w:r>
          </w:p>
        </w:tc>
        <w:tc>
          <w:tcPr>
            <w:tcW w:w="90" w:type="dxa"/>
          </w:tcPr>
          <w:p w14:paraId="37F518EA" w14:textId="77777777" w:rsidR="00BC33BB" w:rsidRPr="00BC33BB" w:rsidRDefault="00BC33BB" w:rsidP="00BC33BB">
            <w:pPr>
              <w:jc w:val="right"/>
              <w:rPr>
                <w:snapToGrid w:val="0"/>
                <w:color w:val="000000"/>
                <w:sz w:val="20"/>
                <w:szCs w:val="20"/>
              </w:rPr>
            </w:pPr>
          </w:p>
        </w:tc>
        <w:tc>
          <w:tcPr>
            <w:tcW w:w="1710" w:type="dxa"/>
          </w:tcPr>
          <w:p w14:paraId="50C98C25" w14:textId="77777777" w:rsidR="00BC33BB" w:rsidRPr="00BC33BB" w:rsidRDefault="00BC33BB" w:rsidP="00BC33BB">
            <w:pPr>
              <w:tabs>
                <w:tab w:val="decimal" w:pos="1195"/>
              </w:tabs>
              <w:jc w:val="right"/>
              <w:rPr>
                <w:snapToGrid w:val="0"/>
                <w:color w:val="000000"/>
                <w:sz w:val="20"/>
                <w:szCs w:val="20"/>
              </w:rPr>
            </w:pPr>
          </w:p>
        </w:tc>
        <w:tc>
          <w:tcPr>
            <w:tcW w:w="270" w:type="dxa"/>
          </w:tcPr>
          <w:p w14:paraId="5F1237B0" w14:textId="77777777" w:rsidR="00BC33BB" w:rsidRPr="00BC33BB" w:rsidRDefault="00BC33BB" w:rsidP="00BC33BB">
            <w:pPr>
              <w:jc w:val="right"/>
              <w:rPr>
                <w:snapToGrid w:val="0"/>
                <w:color w:val="000000"/>
                <w:sz w:val="20"/>
                <w:szCs w:val="20"/>
              </w:rPr>
            </w:pPr>
          </w:p>
        </w:tc>
        <w:tc>
          <w:tcPr>
            <w:tcW w:w="1890" w:type="dxa"/>
          </w:tcPr>
          <w:p w14:paraId="58EF4961" w14:textId="77777777" w:rsidR="00BC33BB" w:rsidRPr="00BC33BB" w:rsidRDefault="00BC33BB" w:rsidP="00BC33BB">
            <w:pPr>
              <w:tabs>
                <w:tab w:val="decimal" w:pos="1195"/>
              </w:tabs>
              <w:jc w:val="right"/>
              <w:rPr>
                <w:snapToGrid w:val="0"/>
                <w:color w:val="000000"/>
                <w:sz w:val="20"/>
                <w:szCs w:val="20"/>
              </w:rPr>
            </w:pPr>
          </w:p>
        </w:tc>
      </w:tr>
      <w:tr w:rsidR="00BC33BB" w:rsidRPr="00BC33BB" w14:paraId="18912B7E" w14:textId="77777777" w:rsidTr="004F5282">
        <w:trPr>
          <w:trHeight w:hRule="exact" w:val="230"/>
        </w:trPr>
        <w:tc>
          <w:tcPr>
            <w:tcW w:w="305" w:type="dxa"/>
          </w:tcPr>
          <w:p w14:paraId="7CB8A80D" w14:textId="77777777" w:rsidR="00BC33BB" w:rsidRPr="00BC33BB" w:rsidRDefault="00BC33BB" w:rsidP="00BC33BB">
            <w:pPr>
              <w:jc w:val="right"/>
              <w:rPr>
                <w:snapToGrid w:val="0"/>
                <w:color w:val="000000"/>
                <w:sz w:val="20"/>
                <w:szCs w:val="20"/>
              </w:rPr>
            </w:pPr>
          </w:p>
        </w:tc>
        <w:tc>
          <w:tcPr>
            <w:tcW w:w="302" w:type="dxa"/>
          </w:tcPr>
          <w:p w14:paraId="5313E33F" w14:textId="77777777" w:rsidR="00BC33BB" w:rsidRPr="00BC33BB" w:rsidRDefault="00BC33BB" w:rsidP="00BC33BB">
            <w:pPr>
              <w:jc w:val="right"/>
              <w:rPr>
                <w:snapToGrid w:val="0"/>
                <w:color w:val="000000"/>
                <w:sz w:val="20"/>
                <w:szCs w:val="20"/>
              </w:rPr>
            </w:pPr>
          </w:p>
        </w:tc>
        <w:tc>
          <w:tcPr>
            <w:tcW w:w="5513" w:type="dxa"/>
          </w:tcPr>
          <w:p w14:paraId="3D01D0B6" w14:textId="77777777" w:rsidR="00BC33BB" w:rsidRPr="00BC33BB" w:rsidRDefault="00BC33BB" w:rsidP="00BC33BB">
            <w:pPr>
              <w:tabs>
                <w:tab w:val="left" w:pos="203"/>
              </w:tabs>
              <w:rPr>
                <w:snapToGrid w:val="0"/>
                <w:color w:val="000000"/>
                <w:sz w:val="20"/>
                <w:szCs w:val="20"/>
              </w:rPr>
            </w:pPr>
            <w:r w:rsidRPr="00BC33BB">
              <w:rPr>
                <w:snapToGrid w:val="0"/>
                <w:color w:val="000000"/>
                <w:sz w:val="20"/>
                <w:szCs w:val="20"/>
              </w:rPr>
              <w:t>-0- and 100 shares issued and outstanding at</w:t>
            </w:r>
          </w:p>
        </w:tc>
        <w:tc>
          <w:tcPr>
            <w:tcW w:w="90" w:type="dxa"/>
          </w:tcPr>
          <w:p w14:paraId="09B0B461" w14:textId="77777777" w:rsidR="00BC33BB" w:rsidRPr="00BC33BB" w:rsidRDefault="00BC33BB" w:rsidP="00BC33BB">
            <w:pPr>
              <w:jc w:val="right"/>
              <w:rPr>
                <w:snapToGrid w:val="0"/>
                <w:color w:val="000000"/>
                <w:sz w:val="20"/>
                <w:szCs w:val="20"/>
              </w:rPr>
            </w:pPr>
          </w:p>
        </w:tc>
        <w:tc>
          <w:tcPr>
            <w:tcW w:w="1710" w:type="dxa"/>
          </w:tcPr>
          <w:p w14:paraId="5B04B40B" w14:textId="77777777" w:rsidR="00BC33BB" w:rsidRPr="00BC33BB" w:rsidRDefault="00BC33BB" w:rsidP="00BC33BB">
            <w:pPr>
              <w:tabs>
                <w:tab w:val="decimal" w:pos="1195"/>
              </w:tabs>
              <w:jc w:val="right"/>
              <w:rPr>
                <w:snapToGrid w:val="0"/>
                <w:color w:val="000000"/>
                <w:sz w:val="20"/>
                <w:szCs w:val="20"/>
              </w:rPr>
            </w:pPr>
          </w:p>
        </w:tc>
        <w:tc>
          <w:tcPr>
            <w:tcW w:w="270" w:type="dxa"/>
          </w:tcPr>
          <w:p w14:paraId="5E7BFCC9" w14:textId="77777777" w:rsidR="00BC33BB" w:rsidRPr="00BC33BB" w:rsidRDefault="00BC33BB" w:rsidP="00BC33BB">
            <w:pPr>
              <w:jc w:val="right"/>
              <w:rPr>
                <w:snapToGrid w:val="0"/>
                <w:color w:val="000000"/>
                <w:sz w:val="20"/>
                <w:szCs w:val="20"/>
              </w:rPr>
            </w:pPr>
          </w:p>
        </w:tc>
        <w:tc>
          <w:tcPr>
            <w:tcW w:w="1890" w:type="dxa"/>
          </w:tcPr>
          <w:p w14:paraId="559D8F59" w14:textId="77777777" w:rsidR="00BC33BB" w:rsidRPr="00BC33BB" w:rsidRDefault="00BC33BB" w:rsidP="00BC33BB">
            <w:pPr>
              <w:tabs>
                <w:tab w:val="decimal" w:pos="1195"/>
              </w:tabs>
              <w:jc w:val="right"/>
              <w:rPr>
                <w:snapToGrid w:val="0"/>
                <w:color w:val="000000"/>
                <w:sz w:val="20"/>
                <w:szCs w:val="20"/>
              </w:rPr>
            </w:pPr>
          </w:p>
        </w:tc>
      </w:tr>
      <w:tr w:rsidR="00BC33BB" w:rsidRPr="00BC33BB" w14:paraId="7592A6A7" w14:textId="77777777" w:rsidTr="004F5282">
        <w:trPr>
          <w:trHeight w:hRule="exact" w:val="230"/>
        </w:trPr>
        <w:tc>
          <w:tcPr>
            <w:tcW w:w="305" w:type="dxa"/>
          </w:tcPr>
          <w:p w14:paraId="143E324E" w14:textId="77777777" w:rsidR="00BC33BB" w:rsidRPr="00BC33BB" w:rsidRDefault="00BC33BB" w:rsidP="00BC33BB">
            <w:pPr>
              <w:jc w:val="right"/>
              <w:rPr>
                <w:snapToGrid w:val="0"/>
                <w:color w:val="000000"/>
                <w:sz w:val="20"/>
                <w:szCs w:val="20"/>
              </w:rPr>
            </w:pPr>
          </w:p>
        </w:tc>
        <w:tc>
          <w:tcPr>
            <w:tcW w:w="302" w:type="dxa"/>
          </w:tcPr>
          <w:p w14:paraId="311C9049" w14:textId="77777777" w:rsidR="00BC33BB" w:rsidRPr="00BC33BB" w:rsidRDefault="00BC33BB" w:rsidP="00BC33BB">
            <w:pPr>
              <w:jc w:val="right"/>
              <w:rPr>
                <w:snapToGrid w:val="0"/>
                <w:color w:val="000000"/>
                <w:sz w:val="20"/>
                <w:szCs w:val="20"/>
              </w:rPr>
            </w:pPr>
          </w:p>
        </w:tc>
        <w:tc>
          <w:tcPr>
            <w:tcW w:w="5513" w:type="dxa"/>
          </w:tcPr>
          <w:p w14:paraId="2FD811F8" w14:textId="77777777" w:rsidR="00BC33BB" w:rsidRPr="00BC33BB" w:rsidRDefault="00BC33BB" w:rsidP="00BC33BB">
            <w:pPr>
              <w:tabs>
                <w:tab w:val="left" w:pos="203"/>
              </w:tabs>
              <w:rPr>
                <w:snapToGrid w:val="0"/>
                <w:color w:val="000000"/>
                <w:sz w:val="20"/>
                <w:szCs w:val="20"/>
              </w:rPr>
            </w:pPr>
            <w:r w:rsidRPr="00BC33BB">
              <w:rPr>
                <w:snapToGrid w:val="0"/>
                <w:color w:val="000000"/>
                <w:sz w:val="20"/>
                <w:szCs w:val="20"/>
              </w:rPr>
              <w:tab/>
              <w:t>December 31, 2021 and 2020, respectively</w:t>
            </w:r>
          </w:p>
        </w:tc>
        <w:tc>
          <w:tcPr>
            <w:tcW w:w="90" w:type="dxa"/>
          </w:tcPr>
          <w:p w14:paraId="0F361B95" w14:textId="77777777" w:rsidR="00BC33BB" w:rsidRPr="00BC33BB" w:rsidRDefault="00BC33BB" w:rsidP="00BC33BB">
            <w:pPr>
              <w:jc w:val="right"/>
              <w:rPr>
                <w:snapToGrid w:val="0"/>
                <w:color w:val="000000"/>
                <w:sz w:val="20"/>
                <w:szCs w:val="20"/>
              </w:rPr>
            </w:pPr>
          </w:p>
        </w:tc>
        <w:tc>
          <w:tcPr>
            <w:tcW w:w="1710" w:type="dxa"/>
          </w:tcPr>
          <w:p w14:paraId="29CCD75B"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w:t>
            </w:r>
          </w:p>
        </w:tc>
        <w:tc>
          <w:tcPr>
            <w:tcW w:w="270" w:type="dxa"/>
          </w:tcPr>
          <w:p w14:paraId="326E88B0" w14:textId="77777777" w:rsidR="00BC33BB" w:rsidRPr="00BC33BB" w:rsidRDefault="00BC33BB" w:rsidP="00BC33BB">
            <w:pPr>
              <w:jc w:val="right"/>
              <w:rPr>
                <w:snapToGrid w:val="0"/>
                <w:color w:val="000000"/>
                <w:sz w:val="20"/>
                <w:szCs w:val="20"/>
              </w:rPr>
            </w:pPr>
          </w:p>
        </w:tc>
        <w:tc>
          <w:tcPr>
            <w:tcW w:w="1890" w:type="dxa"/>
          </w:tcPr>
          <w:p w14:paraId="557E9E7B"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76,095</w:t>
            </w:r>
          </w:p>
        </w:tc>
      </w:tr>
      <w:tr w:rsidR="00BC33BB" w:rsidRPr="00BC33BB" w14:paraId="7C86DA76" w14:textId="77777777" w:rsidTr="004F5282">
        <w:trPr>
          <w:trHeight w:hRule="exact" w:val="230"/>
        </w:trPr>
        <w:tc>
          <w:tcPr>
            <w:tcW w:w="305" w:type="dxa"/>
          </w:tcPr>
          <w:p w14:paraId="161049EF" w14:textId="77777777" w:rsidR="00BC33BB" w:rsidRPr="00BC33BB" w:rsidRDefault="00BC33BB" w:rsidP="00BC33BB">
            <w:pPr>
              <w:jc w:val="right"/>
              <w:rPr>
                <w:snapToGrid w:val="0"/>
                <w:color w:val="000000"/>
                <w:sz w:val="20"/>
                <w:szCs w:val="20"/>
              </w:rPr>
            </w:pPr>
          </w:p>
        </w:tc>
        <w:tc>
          <w:tcPr>
            <w:tcW w:w="5815" w:type="dxa"/>
            <w:gridSpan w:val="2"/>
          </w:tcPr>
          <w:p w14:paraId="09F113A5" w14:textId="77777777" w:rsidR="00BC33BB" w:rsidRPr="00BC33BB" w:rsidRDefault="00BC33BB" w:rsidP="00BC33BB">
            <w:pPr>
              <w:rPr>
                <w:snapToGrid w:val="0"/>
                <w:color w:val="000000"/>
                <w:sz w:val="20"/>
                <w:szCs w:val="20"/>
              </w:rPr>
            </w:pPr>
            <w:r w:rsidRPr="00BC33BB">
              <w:rPr>
                <w:snapToGrid w:val="0"/>
                <w:color w:val="000000"/>
                <w:sz w:val="20"/>
                <w:szCs w:val="20"/>
              </w:rPr>
              <w:t>Common stock, $.001 par value:</w:t>
            </w:r>
          </w:p>
        </w:tc>
        <w:tc>
          <w:tcPr>
            <w:tcW w:w="90" w:type="dxa"/>
          </w:tcPr>
          <w:p w14:paraId="008B4ECD" w14:textId="77777777" w:rsidR="00BC33BB" w:rsidRPr="00BC33BB" w:rsidRDefault="00BC33BB" w:rsidP="00BC33BB">
            <w:pPr>
              <w:jc w:val="right"/>
              <w:rPr>
                <w:snapToGrid w:val="0"/>
                <w:color w:val="000000"/>
                <w:sz w:val="20"/>
                <w:szCs w:val="20"/>
              </w:rPr>
            </w:pPr>
          </w:p>
        </w:tc>
        <w:tc>
          <w:tcPr>
            <w:tcW w:w="1710" w:type="dxa"/>
          </w:tcPr>
          <w:p w14:paraId="7B5AC83D" w14:textId="77777777" w:rsidR="00BC33BB" w:rsidRPr="00BC33BB" w:rsidRDefault="00BC33BB" w:rsidP="00BC33BB">
            <w:pPr>
              <w:tabs>
                <w:tab w:val="decimal" w:pos="1320"/>
              </w:tabs>
              <w:jc w:val="right"/>
              <w:rPr>
                <w:snapToGrid w:val="0"/>
                <w:color w:val="000000"/>
                <w:sz w:val="20"/>
                <w:szCs w:val="20"/>
              </w:rPr>
            </w:pPr>
          </w:p>
        </w:tc>
        <w:tc>
          <w:tcPr>
            <w:tcW w:w="270" w:type="dxa"/>
          </w:tcPr>
          <w:p w14:paraId="64C0CE16" w14:textId="77777777" w:rsidR="00BC33BB" w:rsidRPr="00BC33BB" w:rsidRDefault="00BC33BB" w:rsidP="00BC33BB">
            <w:pPr>
              <w:jc w:val="right"/>
              <w:rPr>
                <w:snapToGrid w:val="0"/>
                <w:color w:val="000000"/>
                <w:sz w:val="20"/>
                <w:szCs w:val="20"/>
              </w:rPr>
            </w:pPr>
          </w:p>
        </w:tc>
        <w:tc>
          <w:tcPr>
            <w:tcW w:w="1890" w:type="dxa"/>
          </w:tcPr>
          <w:p w14:paraId="53AF0605" w14:textId="77777777" w:rsidR="00BC33BB" w:rsidRPr="00BC33BB" w:rsidRDefault="00BC33BB" w:rsidP="00BC33BB">
            <w:pPr>
              <w:tabs>
                <w:tab w:val="decimal" w:pos="1500"/>
              </w:tabs>
              <w:jc w:val="right"/>
              <w:rPr>
                <w:snapToGrid w:val="0"/>
                <w:color w:val="000000"/>
                <w:sz w:val="20"/>
                <w:szCs w:val="20"/>
              </w:rPr>
            </w:pPr>
          </w:p>
        </w:tc>
      </w:tr>
      <w:tr w:rsidR="00BC33BB" w:rsidRPr="00BC33BB" w14:paraId="2521C442" w14:textId="77777777" w:rsidTr="004F5282">
        <w:trPr>
          <w:trHeight w:hRule="exact" w:val="230"/>
        </w:trPr>
        <w:tc>
          <w:tcPr>
            <w:tcW w:w="305" w:type="dxa"/>
          </w:tcPr>
          <w:p w14:paraId="5C77C93E" w14:textId="77777777" w:rsidR="00BC33BB" w:rsidRPr="00BC33BB" w:rsidRDefault="00BC33BB" w:rsidP="00BC33BB">
            <w:pPr>
              <w:jc w:val="right"/>
              <w:rPr>
                <w:snapToGrid w:val="0"/>
                <w:color w:val="000000"/>
                <w:sz w:val="20"/>
                <w:szCs w:val="20"/>
              </w:rPr>
            </w:pPr>
          </w:p>
        </w:tc>
        <w:tc>
          <w:tcPr>
            <w:tcW w:w="302" w:type="dxa"/>
          </w:tcPr>
          <w:p w14:paraId="7A702A69" w14:textId="77777777" w:rsidR="00BC33BB" w:rsidRPr="00BC33BB" w:rsidRDefault="00BC33BB" w:rsidP="00BC33BB">
            <w:pPr>
              <w:jc w:val="right"/>
              <w:rPr>
                <w:snapToGrid w:val="0"/>
                <w:color w:val="000000"/>
                <w:sz w:val="20"/>
                <w:szCs w:val="20"/>
              </w:rPr>
            </w:pPr>
          </w:p>
        </w:tc>
        <w:tc>
          <w:tcPr>
            <w:tcW w:w="5513" w:type="dxa"/>
          </w:tcPr>
          <w:p w14:paraId="3C17E4A6" w14:textId="77777777" w:rsidR="00BC33BB" w:rsidRPr="00BC33BB" w:rsidRDefault="00BC33BB" w:rsidP="00BC33BB">
            <w:pPr>
              <w:tabs>
                <w:tab w:val="left" w:pos="203"/>
              </w:tabs>
              <w:rPr>
                <w:snapToGrid w:val="0"/>
                <w:color w:val="000000"/>
                <w:sz w:val="20"/>
                <w:szCs w:val="20"/>
              </w:rPr>
            </w:pPr>
            <w:r w:rsidRPr="00BC33BB">
              <w:rPr>
                <w:snapToGrid w:val="0"/>
                <w:color w:val="000000"/>
                <w:sz w:val="20"/>
                <w:szCs w:val="20"/>
              </w:rPr>
              <w:t>Authorized shares – 600,000,000</w:t>
            </w:r>
          </w:p>
          <w:p w14:paraId="7BAB7A5C" w14:textId="77777777" w:rsidR="00BC33BB" w:rsidRPr="00BC33BB" w:rsidRDefault="00BC33BB" w:rsidP="00BC33BB">
            <w:pPr>
              <w:tabs>
                <w:tab w:val="left" w:pos="203"/>
              </w:tabs>
              <w:rPr>
                <w:snapToGrid w:val="0"/>
                <w:color w:val="000000"/>
                <w:sz w:val="20"/>
                <w:szCs w:val="20"/>
              </w:rPr>
            </w:pPr>
          </w:p>
        </w:tc>
        <w:tc>
          <w:tcPr>
            <w:tcW w:w="90" w:type="dxa"/>
          </w:tcPr>
          <w:p w14:paraId="7C821540" w14:textId="77777777" w:rsidR="00BC33BB" w:rsidRPr="00BC33BB" w:rsidRDefault="00BC33BB" w:rsidP="00BC33BB">
            <w:pPr>
              <w:jc w:val="right"/>
              <w:rPr>
                <w:snapToGrid w:val="0"/>
                <w:color w:val="000000"/>
                <w:sz w:val="20"/>
                <w:szCs w:val="20"/>
              </w:rPr>
            </w:pPr>
          </w:p>
        </w:tc>
        <w:tc>
          <w:tcPr>
            <w:tcW w:w="1710" w:type="dxa"/>
          </w:tcPr>
          <w:p w14:paraId="257645F1" w14:textId="77777777" w:rsidR="00BC33BB" w:rsidRPr="00BC33BB" w:rsidRDefault="00BC33BB" w:rsidP="00BC33BB">
            <w:pPr>
              <w:tabs>
                <w:tab w:val="decimal" w:pos="1320"/>
              </w:tabs>
              <w:jc w:val="right"/>
              <w:rPr>
                <w:snapToGrid w:val="0"/>
                <w:color w:val="000000"/>
                <w:sz w:val="20"/>
                <w:szCs w:val="20"/>
              </w:rPr>
            </w:pPr>
          </w:p>
        </w:tc>
        <w:tc>
          <w:tcPr>
            <w:tcW w:w="270" w:type="dxa"/>
          </w:tcPr>
          <w:p w14:paraId="4565F49C" w14:textId="77777777" w:rsidR="00BC33BB" w:rsidRPr="00BC33BB" w:rsidRDefault="00BC33BB" w:rsidP="00BC33BB">
            <w:pPr>
              <w:jc w:val="right"/>
              <w:rPr>
                <w:snapToGrid w:val="0"/>
                <w:color w:val="000000"/>
                <w:sz w:val="20"/>
                <w:szCs w:val="20"/>
              </w:rPr>
            </w:pPr>
          </w:p>
        </w:tc>
        <w:tc>
          <w:tcPr>
            <w:tcW w:w="1890" w:type="dxa"/>
          </w:tcPr>
          <w:p w14:paraId="7365D824" w14:textId="77777777" w:rsidR="00BC33BB" w:rsidRPr="00BC33BB" w:rsidRDefault="00BC33BB" w:rsidP="00BC33BB">
            <w:pPr>
              <w:tabs>
                <w:tab w:val="decimal" w:pos="1500"/>
              </w:tabs>
              <w:jc w:val="right"/>
              <w:rPr>
                <w:snapToGrid w:val="0"/>
                <w:color w:val="000000"/>
                <w:sz w:val="20"/>
                <w:szCs w:val="20"/>
              </w:rPr>
            </w:pPr>
          </w:p>
        </w:tc>
      </w:tr>
      <w:tr w:rsidR="00BC33BB" w:rsidRPr="00BC33BB" w14:paraId="7135F50B" w14:textId="77777777" w:rsidTr="004F5282">
        <w:trPr>
          <w:trHeight w:hRule="exact" w:val="230"/>
        </w:trPr>
        <w:tc>
          <w:tcPr>
            <w:tcW w:w="305" w:type="dxa"/>
          </w:tcPr>
          <w:p w14:paraId="1B72D01A" w14:textId="77777777" w:rsidR="00BC33BB" w:rsidRPr="00BC33BB" w:rsidRDefault="00BC33BB" w:rsidP="00BC33BB">
            <w:pPr>
              <w:jc w:val="right"/>
              <w:rPr>
                <w:snapToGrid w:val="0"/>
                <w:color w:val="000000"/>
                <w:sz w:val="20"/>
                <w:szCs w:val="20"/>
              </w:rPr>
            </w:pPr>
          </w:p>
        </w:tc>
        <w:tc>
          <w:tcPr>
            <w:tcW w:w="302" w:type="dxa"/>
          </w:tcPr>
          <w:p w14:paraId="1EA62ACC" w14:textId="77777777" w:rsidR="00BC33BB" w:rsidRPr="00BC33BB" w:rsidRDefault="00BC33BB" w:rsidP="00BC33BB">
            <w:pPr>
              <w:jc w:val="right"/>
              <w:rPr>
                <w:snapToGrid w:val="0"/>
                <w:color w:val="000000"/>
                <w:sz w:val="20"/>
                <w:szCs w:val="20"/>
              </w:rPr>
            </w:pPr>
          </w:p>
        </w:tc>
        <w:tc>
          <w:tcPr>
            <w:tcW w:w="5513" w:type="dxa"/>
          </w:tcPr>
          <w:p w14:paraId="67C4942C" w14:textId="77777777" w:rsidR="00BC33BB" w:rsidRPr="00BC33BB" w:rsidRDefault="00BC33BB" w:rsidP="00BC33BB">
            <w:pPr>
              <w:tabs>
                <w:tab w:val="left" w:pos="203"/>
              </w:tabs>
              <w:rPr>
                <w:snapToGrid w:val="0"/>
                <w:color w:val="000000"/>
                <w:sz w:val="20"/>
                <w:szCs w:val="20"/>
              </w:rPr>
            </w:pPr>
            <w:r w:rsidRPr="00BC33BB">
              <w:rPr>
                <w:snapToGrid w:val="0"/>
                <w:color w:val="000000"/>
                <w:sz w:val="20"/>
                <w:szCs w:val="20"/>
              </w:rPr>
              <w:t>Issued and outstanding shares – 6,381,541 and 3,834,095 at</w:t>
            </w:r>
          </w:p>
        </w:tc>
        <w:tc>
          <w:tcPr>
            <w:tcW w:w="90" w:type="dxa"/>
          </w:tcPr>
          <w:p w14:paraId="7B75416F" w14:textId="77777777" w:rsidR="00BC33BB" w:rsidRPr="00BC33BB" w:rsidRDefault="00BC33BB" w:rsidP="00BC33BB">
            <w:pPr>
              <w:jc w:val="right"/>
              <w:rPr>
                <w:snapToGrid w:val="0"/>
                <w:color w:val="000000"/>
                <w:sz w:val="20"/>
                <w:szCs w:val="20"/>
              </w:rPr>
            </w:pPr>
          </w:p>
        </w:tc>
        <w:tc>
          <w:tcPr>
            <w:tcW w:w="1710" w:type="dxa"/>
          </w:tcPr>
          <w:p w14:paraId="5C5C3D47" w14:textId="77777777" w:rsidR="00BC33BB" w:rsidRPr="00BC33BB" w:rsidRDefault="00BC33BB" w:rsidP="00BC33BB">
            <w:pPr>
              <w:tabs>
                <w:tab w:val="decimal" w:pos="1320"/>
              </w:tabs>
              <w:jc w:val="right"/>
              <w:rPr>
                <w:snapToGrid w:val="0"/>
                <w:color w:val="000000"/>
                <w:sz w:val="20"/>
                <w:szCs w:val="20"/>
              </w:rPr>
            </w:pPr>
          </w:p>
        </w:tc>
        <w:tc>
          <w:tcPr>
            <w:tcW w:w="270" w:type="dxa"/>
          </w:tcPr>
          <w:p w14:paraId="59A7B3AB" w14:textId="77777777" w:rsidR="00BC33BB" w:rsidRPr="00BC33BB" w:rsidRDefault="00BC33BB" w:rsidP="00BC33BB">
            <w:pPr>
              <w:jc w:val="right"/>
              <w:rPr>
                <w:snapToGrid w:val="0"/>
                <w:color w:val="000000"/>
                <w:sz w:val="20"/>
                <w:szCs w:val="20"/>
              </w:rPr>
            </w:pPr>
          </w:p>
        </w:tc>
        <w:tc>
          <w:tcPr>
            <w:tcW w:w="1890" w:type="dxa"/>
          </w:tcPr>
          <w:p w14:paraId="11A49006" w14:textId="77777777" w:rsidR="00BC33BB" w:rsidRPr="00BC33BB" w:rsidRDefault="00BC33BB" w:rsidP="00BC33BB">
            <w:pPr>
              <w:tabs>
                <w:tab w:val="decimal" w:pos="1500"/>
              </w:tabs>
              <w:jc w:val="right"/>
              <w:rPr>
                <w:snapToGrid w:val="0"/>
                <w:color w:val="000000"/>
                <w:sz w:val="20"/>
                <w:szCs w:val="20"/>
              </w:rPr>
            </w:pPr>
          </w:p>
        </w:tc>
      </w:tr>
      <w:tr w:rsidR="00BC33BB" w:rsidRPr="00BC33BB" w14:paraId="1ED268D0" w14:textId="77777777" w:rsidTr="004F5282">
        <w:trPr>
          <w:trHeight w:hRule="exact" w:val="230"/>
        </w:trPr>
        <w:tc>
          <w:tcPr>
            <w:tcW w:w="305" w:type="dxa"/>
          </w:tcPr>
          <w:p w14:paraId="3E06900C" w14:textId="77777777" w:rsidR="00BC33BB" w:rsidRPr="00BC33BB" w:rsidRDefault="00BC33BB" w:rsidP="00BC33BB">
            <w:pPr>
              <w:jc w:val="right"/>
              <w:rPr>
                <w:snapToGrid w:val="0"/>
                <w:color w:val="000000"/>
                <w:sz w:val="20"/>
                <w:szCs w:val="20"/>
              </w:rPr>
            </w:pPr>
          </w:p>
        </w:tc>
        <w:tc>
          <w:tcPr>
            <w:tcW w:w="302" w:type="dxa"/>
          </w:tcPr>
          <w:p w14:paraId="1CD0E950" w14:textId="77777777" w:rsidR="00BC33BB" w:rsidRPr="00BC33BB" w:rsidRDefault="00BC33BB" w:rsidP="00BC33BB">
            <w:pPr>
              <w:jc w:val="right"/>
              <w:rPr>
                <w:snapToGrid w:val="0"/>
                <w:color w:val="000000"/>
                <w:sz w:val="20"/>
                <w:szCs w:val="20"/>
              </w:rPr>
            </w:pPr>
          </w:p>
        </w:tc>
        <w:tc>
          <w:tcPr>
            <w:tcW w:w="5513" w:type="dxa"/>
          </w:tcPr>
          <w:p w14:paraId="15936A72" w14:textId="77777777" w:rsidR="00BC33BB" w:rsidRPr="00BC33BB" w:rsidRDefault="00BC33BB" w:rsidP="00BC33BB">
            <w:pPr>
              <w:tabs>
                <w:tab w:val="left" w:pos="203"/>
              </w:tabs>
              <w:rPr>
                <w:snapToGrid w:val="0"/>
                <w:color w:val="000000"/>
                <w:sz w:val="20"/>
                <w:szCs w:val="20"/>
              </w:rPr>
            </w:pPr>
            <w:r w:rsidRPr="00BC33BB">
              <w:rPr>
                <w:snapToGrid w:val="0"/>
                <w:color w:val="000000"/>
                <w:sz w:val="20"/>
                <w:szCs w:val="20"/>
              </w:rPr>
              <w:tab/>
              <w:t>December 31, 2021 and 2020, respectively</w:t>
            </w:r>
          </w:p>
        </w:tc>
        <w:tc>
          <w:tcPr>
            <w:tcW w:w="90" w:type="dxa"/>
          </w:tcPr>
          <w:p w14:paraId="53675CB9" w14:textId="77777777" w:rsidR="00BC33BB" w:rsidRPr="00BC33BB" w:rsidRDefault="00BC33BB" w:rsidP="00BC33BB">
            <w:pPr>
              <w:jc w:val="right"/>
              <w:rPr>
                <w:snapToGrid w:val="0"/>
                <w:color w:val="000000"/>
                <w:sz w:val="20"/>
                <w:szCs w:val="20"/>
              </w:rPr>
            </w:pPr>
          </w:p>
        </w:tc>
        <w:tc>
          <w:tcPr>
            <w:tcW w:w="1710" w:type="dxa"/>
          </w:tcPr>
          <w:p w14:paraId="3F5CFFB9"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6,382</w:t>
            </w:r>
          </w:p>
        </w:tc>
        <w:tc>
          <w:tcPr>
            <w:tcW w:w="270" w:type="dxa"/>
          </w:tcPr>
          <w:p w14:paraId="6DCB1FDD" w14:textId="77777777" w:rsidR="00BC33BB" w:rsidRPr="00BC33BB" w:rsidRDefault="00BC33BB" w:rsidP="00BC33BB">
            <w:pPr>
              <w:jc w:val="right"/>
              <w:rPr>
                <w:snapToGrid w:val="0"/>
                <w:color w:val="000000"/>
                <w:sz w:val="20"/>
                <w:szCs w:val="20"/>
              </w:rPr>
            </w:pPr>
          </w:p>
        </w:tc>
        <w:tc>
          <w:tcPr>
            <w:tcW w:w="1890" w:type="dxa"/>
          </w:tcPr>
          <w:p w14:paraId="24926250"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3,834</w:t>
            </w:r>
          </w:p>
        </w:tc>
      </w:tr>
      <w:tr w:rsidR="00BC33BB" w:rsidRPr="00BC33BB" w14:paraId="19EDC5AA" w14:textId="77777777" w:rsidTr="004F5282">
        <w:trPr>
          <w:trHeight w:hRule="exact" w:val="230"/>
        </w:trPr>
        <w:tc>
          <w:tcPr>
            <w:tcW w:w="305" w:type="dxa"/>
          </w:tcPr>
          <w:p w14:paraId="090BAD90" w14:textId="77777777" w:rsidR="00BC33BB" w:rsidRPr="00BC33BB" w:rsidRDefault="00BC33BB" w:rsidP="00BC33BB">
            <w:pPr>
              <w:jc w:val="right"/>
              <w:rPr>
                <w:snapToGrid w:val="0"/>
                <w:color w:val="000000"/>
                <w:sz w:val="20"/>
                <w:szCs w:val="20"/>
              </w:rPr>
            </w:pPr>
          </w:p>
        </w:tc>
        <w:tc>
          <w:tcPr>
            <w:tcW w:w="5815" w:type="dxa"/>
            <w:gridSpan w:val="2"/>
          </w:tcPr>
          <w:p w14:paraId="200E110E" w14:textId="77777777" w:rsidR="00BC33BB" w:rsidRPr="00BC33BB" w:rsidRDefault="00BC33BB" w:rsidP="00BC33BB">
            <w:pPr>
              <w:rPr>
                <w:snapToGrid w:val="0"/>
                <w:color w:val="000000"/>
                <w:sz w:val="20"/>
                <w:szCs w:val="20"/>
              </w:rPr>
            </w:pPr>
            <w:r w:rsidRPr="00BC33BB">
              <w:rPr>
                <w:snapToGrid w:val="0"/>
                <w:color w:val="000000"/>
                <w:sz w:val="20"/>
                <w:szCs w:val="20"/>
              </w:rPr>
              <w:t>Additional paid-in capital</w:t>
            </w:r>
          </w:p>
        </w:tc>
        <w:tc>
          <w:tcPr>
            <w:tcW w:w="90" w:type="dxa"/>
          </w:tcPr>
          <w:p w14:paraId="56B11236" w14:textId="77777777" w:rsidR="00BC33BB" w:rsidRPr="00BC33BB" w:rsidRDefault="00BC33BB" w:rsidP="00BC33BB">
            <w:pPr>
              <w:jc w:val="right"/>
              <w:rPr>
                <w:snapToGrid w:val="0"/>
                <w:color w:val="000000"/>
                <w:sz w:val="20"/>
                <w:szCs w:val="20"/>
              </w:rPr>
            </w:pPr>
          </w:p>
        </w:tc>
        <w:tc>
          <w:tcPr>
            <w:tcW w:w="1710" w:type="dxa"/>
          </w:tcPr>
          <w:p w14:paraId="6214906F"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68,731,220</w:t>
            </w:r>
          </w:p>
        </w:tc>
        <w:tc>
          <w:tcPr>
            <w:tcW w:w="270" w:type="dxa"/>
          </w:tcPr>
          <w:p w14:paraId="49F5E4F7" w14:textId="77777777" w:rsidR="00BC33BB" w:rsidRPr="00BC33BB" w:rsidRDefault="00BC33BB" w:rsidP="00BC33BB">
            <w:pPr>
              <w:jc w:val="right"/>
              <w:rPr>
                <w:snapToGrid w:val="0"/>
                <w:color w:val="000000"/>
                <w:sz w:val="20"/>
                <w:szCs w:val="20"/>
              </w:rPr>
            </w:pPr>
          </w:p>
        </w:tc>
        <w:tc>
          <w:tcPr>
            <w:tcW w:w="1890" w:type="dxa"/>
          </w:tcPr>
          <w:p w14:paraId="795DAE1F"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55,294,504</w:t>
            </w:r>
          </w:p>
        </w:tc>
      </w:tr>
      <w:tr w:rsidR="00BC33BB" w:rsidRPr="00BC33BB" w14:paraId="58DB568B" w14:textId="77777777" w:rsidTr="004F5282">
        <w:trPr>
          <w:trHeight w:hRule="exact" w:val="230"/>
        </w:trPr>
        <w:tc>
          <w:tcPr>
            <w:tcW w:w="305" w:type="dxa"/>
          </w:tcPr>
          <w:p w14:paraId="51C4BB89" w14:textId="77777777" w:rsidR="00BC33BB" w:rsidRPr="00BC33BB" w:rsidRDefault="00BC33BB" w:rsidP="00BC33BB">
            <w:pPr>
              <w:jc w:val="right"/>
              <w:rPr>
                <w:snapToGrid w:val="0"/>
                <w:color w:val="000000"/>
                <w:sz w:val="20"/>
                <w:szCs w:val="20"/>
              </w:rPr>
            </w:pPr>
          </w:p>
        </w:tc>
        <w:tc>
          <w:tcPr>
            <w:tcW w:w="5815" w:type="dxa"/>
            <w:gridSpan w:val="2"/>
          </w:tcPr>
          <w:p w14:paraId="035B5A21" w14:textId="77777777" w:rsidR="00BC33BB" w:rsidRPr="00BC33BB" w:rsidRDefault="00BC33BB" w:rsidP="00BC33BB">
            <w:pPr>
              <w:rPr>
                <w:snapToGrid w:val="0"/>
                <w:color w:val="000000"/>
                <w:sz w:val="20"/>
                <w:szCs w:val="20"/>
              </w:rPr>
            </w:pPr>
            <w:r w:rsidRPr="00BC33BB">
              <w:rPr>
                <w:snapToGrid w:val="0"/>
                <w:color w:val="000000"/>
                <w:sz w:val="20"/>
                <w:szCs w:val="20"/>
              </w:rPr>
              <w:t>Accumulated deficit</w:t>
            </w:r>
          </w:p>
        </w:tc>
        <w:tc>
          <w:tcPr>
            <w:tcW w:w="90" w:type="dxa"/>
          </w:tcPr>
          <w:p w14:paraId="629D51EB" w14:textId="77777777" w:rsidR="00BC33BB" w:rsidRPr="00BC33BB" w:rsidRDefault="00BC33BB" w:rsidP="00BC33BB">
            <w:pPr>
              <w:jc w:val="right"/>
              <w:rPr>
                <w:snapToGrid w:val="0"/>
                <w:color w:val="000000"/>
                <w:sz w:val="20"/>
                <w:szCs w:val="20"/>
              </w:rPr>
            </w:pPr>
          </w:p>
        </w:tc>
        <w:tc>
          <w:tcPr>
            <w:tcW w:w="1710" w:type="dxa"/>
            <w:tcBorders>
              <w:bottom w:val="single" w:sz="4" w:space="0" w:color="auto"/>
            </w:tcBorders>
          </w:tcPr>
          <w:p w14:paraId="485C8B79"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(64,375,898)</w:t>
            </w:r>
          </w:p>
        </w:tc>
        <w:tc>
          <w:tcPr>
            <w:tcW w:w="270" w:type="dxa"/>
          </w:tcPr>
          <w:p w14:paraId="215F7867" w14:textId="77777777" w:rsidR="00BC33BB" w:rsidRPr="00BC33BB" w:rsidRDefault="00BC33BB" w:rsidP="00BC33BB">
            <w:pPr>
              <w:jc w:val="right"/>
              <w:rPr>
                <w:snapToGrid w:val="0"/>
                <w:color w:val="000000"/>
                <w:sz w:val="20"/>
                <w:szCs w:val="20"/>
              </w:rPr>
            </w:pPr>
          </w:p>
        </w:tc>
        <w:tc>
          <w:tcPr>
            <w:tcW w:w="1890" w:type="dxa"/>
            <w:tcBorders>
              <w:bottom w:val="single" w:sz="4" w:space="0" w:color="auto"/>
            </w:tcBorders>
          </w:tcPr>
          <w:p w14:paraId="669AB9EB"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(45,805,581)</w:t>
            </w:r>
          </w:p>
        </w:tc>
      </w:tr>
      <w:tr w:rsidR="00BC33BB" w:rsidRPr="00BC33BB" w14:paraId="574EB578" w14:textId="77777777" w:rsidTr="004F5282">
        <w:trPr>
          <w:trHeight w:hRule="exact" w:val="230"/>
        </w:trPr>
        <w:tc>
          <w:tcPr>
            <w:tcW w:w="6120" w:type="dxa"/>
            <w:gridSpan w:val="3"/>
          </w:tcPr>
          <w:p w14:paraId="7193FB18" w14:textId="77777777" w:rsidR="00BC33BB" w:rsidRPr="00BC33BB" w:rsidRDefault="00BC33BB" w:rsidP="00BC33BB">
            <w:pPr>
              <w:rPr>
                <w:snapToGrid w:val="0"/>
                <w:color w:val="000000"/>
                <w:sz w:val="20"/>
                <w:szCs w:val="20"/>
              </w:rPr>
            </w:pPr>
            <w:r w:rsidRPr="00BC33BB">
              <w:rPr>
                <w:snapToGrid w:val="0"/>
                <w:color w:val="000000"/>
                <w:sz w:val="20"/>
                <w:szCs w:val="20"/>
              </w:rPr>
              <w:t>Total stockholders’ equity</w:t>
            </w:r>
          </w:p>
        </w:tc>
        <w:tc>
          <w:tcPr>
            <w:tcW w:w="90" w:type="dxa"/>
          </w:tcPr>
          <w:p w14:paraId="5514B770" w14:textId="77777777" w:rsidR="00BC33BB" w:rsidRPr="00BC33BB" w:rsidRDefault="00BC33BB" w:rsidP="00BC33BB">
            <w:pPr>
              <w:jc w:val="right"/>
              <w:rPr>
                <w:snapToGrid w:val="0"/>
                <w:color w:val="000000"/>
                <w:sz w:val="20"/>
                <w:szCs w:val="20"/>
              </w:rPr>
            </w:pPr>
          </w:p>
        </w:tc>
        <w:tc>
          <w:tcPr>
            <w:tcW w:w="1710" w:type="dxa"/>
            <w:tcBorders>
              <w:bottom w:val="single" w:sz="4" w:space="0" w:color="auto"/>
            </w:tcBorders>
          </w:tcPr>
          <w:p w14:paraId="16CE16F0"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4,361,704</w:t>
            </w:r>
          </w:p>
        </w:tc>
        <w:tc>
          <w:tcPr>
            <w:tcW w:w="270" w:type="dxa"/>
          </w:tcPr>
          <w:p w14:paraId="7B52A118" w14:textId="77777777" w:rsidR="00BC33BB" w:rsidRPr="00BC33BB" w:rsidRDefault="00BC33BB" w:rsidP="00BC33BB">
            <w:pPr>
              <w:jc w:val="right"/>
              <w:rPr>
                <w:snapToGrid w:val="0"/>
                <w:color w:val="000000"/>
                <w:sz w:val="20"/>
                <w:szCs w:val="20"/>
              </w:rPr>
            </w:pPr>
          </w:p>
        </w:tc>
        <w:tc>
          <w:tcPr>
            <w:tcW w:w="1890" w:type="dxa"/>
            <w:tcBorders>
              <w:bottom w:val="single" w:sz="4" w:space="0" w:color="auto"/>
            </w:tcBorders>
          </w:tcPr>
          <w:p w14:paraId="2BFB007E"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9,568,852</w:t>
            </w:r>
          </w:p>
        </w:tc>
      </w:tr>
      <w:tr w:rsidR="00BC33BB" w:rsidRPr="00BC33BB" w14:paraId="1EAE607F" w14:textId="77777777" w:rsidTr="004F5282">
        <w:trPr>
          <w:trHeight w:hRule="exact" w:val="230"/>
        </w:trPr>
        <w:tc>
          <w:tcPr>
            <w:tcW w:w="305" w:type="dxa"/>
          </w:tcPr>
          <w:p w14:paraId="01949251" w14:textId="77777777" w:rsidR="00BC33BB" w:rsidRPr="00BC33BB" w:rsidRDefault="00BC33BB" w:rsidP="00BC33BB">
            <w:pPr>
              <w:jc w:val="right"/>
              <w:rPr>
                <w:snapToGrid w:val="0"/>
                <w:color w:val="000000"/>
                <w:sz w:val="20"/>
                <w:szCs w:val="20"/>
              </w:rPr>
            </w:pPr>
          </w:p>
        </w:tc>
        <w:tc>
          <w:tcPr>
            <w:tcW w:w="302" w:type="dxa"/>
          </w:tcPr>
          <w:p w14:paraId="3BBDD91C" w14:textId="77777777" w:rsidR="00BC33BB" w:rsidRPr="00BC33BB" w:rsidRDefault="00BC33BB" w:rsidP="00BC33BB">
            <w:pPr>
              <w:jc w:val="right"/>
              <w:rPr>
                <w:snapToGrid w:val="0"/>
                <w:color w:val="000000"/>
                <w:sz w:val="20"/>
                <w:szCs w:val="20"/>
              </w:rPr>
            </w:pPr>
          </w:p>
        </w:tc>
        <w:tc>
          <w:tcPr>
            <w:tcW w:w="5513" w:type="dxa"/>
          </w:tcPr>
          <w:p w14:paraId="7D3EDD0A" w14:textId="77777777" w:rsidR="00BC33BB" w:rsidRPr="00BC33BB" w:rsidRDefault="00BC33BB" w:rsidP="00BC33BB">
            <w:pPr>
              <w:jc w:val="right"/>
              <w:rPr>
                <w:snapToGrid w:val="0"/>
                <w:color w:val="000000"/>
                <w:sz w:val="20"/>
                <w:szCs w:val="20"/>
              </w:rPr>
            </w:pPr>
          </w:p>
        </w:tc>
        <w:tc>
          <w:tcPr>
            <w:tcW w:w="90" w:type="dxa"/>
          </w:tcPr>
          <w:p w14:paraId="6FB2B414" w14:textId="77777777" w:rsidR="00BC33BB" w:rsidRPr="00BC33BB" w:rsidRDefault="00BC33BB" w:rsidP="00BC33BB">
            <w:pPr>
              <w:jc w:val="right"/>
              <w:rPr>
                <w:snapToGrid w:val="0"/>
                <w:color w:val="000000"/>
                <w:sz w:val="20"/>
                <w:szCs w:val="20"/>
              </w:rPr>
            </w:pPr>
          </w:p>
        </w:tc>
        <w:tc>
          <w:tcPr>
            <w:tcW w:w="1710" w:type="dxa"/>
            <w:tcBorders>
              <w:top w:val="single" w:sz="4" w:space="0" w:color="auto"/>
            </w:tcBorders>
          </w:tcPr>
          <w:p w14:paraId="35B34F63" w14:textId="77777777" w:rsidR="00BC33BB" w:rsidRPr="00BC33BB" w:rsidRDefault="00BC33BB" w:rsidP="00BC33BB">
            <w:pPr>
              <w:tabs>
                <w:tab w:val="decimal" w:pos="1320"/>
              </w:tabs>
              <w:rPr>
                <w:snapToGrid w:val="0"/>
                <w:color w:val="000000"/>
                <w:sz w:val="20"/>
                <w:szCs w:val="20"/>
              </w:rPr>
            </w:pPr>
          </w:p>
        </w:tc>
        <w:tc>
          <w:tcPr>
            <w:tcW w:w="270" w:type="dxa"/>
          </w:tcPr>
          <w:p w14:paraId="3AF96700" w14:textId="77777777" w:rsidR="00BC33BB" w:rsidRPr="00BC33BB" w:rsidRDefault="00BC33BB" w:rsidP="00BC33BB">
            <w:pPr>
              <w:jc w:val="right"/>
              <w:rPr>
                <w:snapToGrid w:val="0"/>
                <w:color w:val="000000"/>
                <w:sz w:val="20"/>
                <w:szCs w:val="20"/>
              </w:rPr>
            </w:pPr>
          </w:p>
        </w:tc>
        <w:tc>
          <w:tcPr>
            <w:tcW w:w="1890" w:type="dxa"/>
            <w:tcBorders>
              <w:top w:val="single" w:sz="4" w:space="0" w:color="auto"/>
            </w:tcBorders>
          </w:tcPr>
          <w:p w14:paraId="0CF14345" w14:textId="77777777" w:rsidR="00BC33BB" w:rsidRPr="00BC33BB" w:rsidRDefault="00BC33BB" w:rsidP="00BC33BB">
            <w:pPr>
              <w:tabs>
                <w:tab w:val="decimal" w:pos="1195"/>
              </w:tabs>
              <w:jc w:val="right"/>
              <w:rPr>
                <w:snapToGrid w:val="0"/>
                <w:color w:val="000000"/>
                <w:sz w:val="20"/>
                <w:szCs w:val="20"/>
              </w:rPr>
            </w:pPr>
          </w:p>
        </w:tc>
      </w:tr>
      <w:tr w:rsidR="00BC33BB" w:rsidRPr="00BC33BB" w14:paraId="102FFCA9" w14:textId="77777777" w:rsidTr="004F5282">
        <w:trPr>
          <w:trHeight w:hRule="exact" w:val="230"/>
        </w:trPr>
        <w:tc>
          <w:tcPr>
            <w:tcW w:w="6120" w:type="dxa"/>
            <w:gridSpan w:val="3"/>
          </w:tcPr>
          <w:p w14:paraId="22B8A4FB" w14:textId="77777777" w:rsidR="00BC33BB" w:rsidRPr="00BC33BB" w:rsidRDefault="00BC33BB" w:rsidP="00BC33BB">
            <w:pPr>
              <w:rPr>
                <w:snapToGrid w:val="0"/>
                <w:color w:val="000000"/>
                <w:sz w:val="20"/>
                <w:szCs w:val="20"/>
              </w:rPr>
            </w:pPr>
            <w:r w:rsidRPr="00BC33BB">
              <w:rPr>
                <w:snapToGrid w:val="0"/>
                <w:color w:val="000000"/>
                <w:sz w:val="20"/>
                <w:szCs w:val="20"/>
              </w:rPr>
              <w:t>Total liabilities and stockholders’ equity</w:t>
            </w:r>
          </w:p>
        </w:tc>
        <w:tc>
          <w:tcPr>
            <w:tcW w:w="90" w:type="dxa"/>
          </w:tcPr>
          <w:p w14:paraId="209DF78B" w14:textId="77777777" w:rsidR="00BC33BB" w:rsidRPr="00BC33BB" w:rsidRDefault="00BC33BB" w:rsidP="00BC33BB">
            <w:pPr>
              <w:jc w:val="right"/>
              <w:rPr>
                <w:snapToGrid w:val="0"/>
                <w:color w:val="000000"/>
                <w:sz w:val="20"/>
                <w:szCs w:val="20"/>
              </w:rPr>
            </w:pPr>
          </w:p>
        </w:tc>
        <w:tc>
          <w:tcPr>
            <w:tcW w:w="1710" w:type="dxa"/>
          </w:tcPr>
          <w:p w14:paraId="672E5879" w14:textId="77777777" w:rsidR="00BC33BB" w:rsidRPr="00BC33BB" w:rsidRDefault="00BC33BB" w:rsidP="00BC33BB">
            <w:pPr>
              <w:tabs>
                <w:tab w:val="left" w:pos="115"/>
                <w:tab w:val="decimal" w:pos="132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11,797,064</w:t>
            </w:r>
          </w:p>
        </w:tc>
        <w:tc>
          <w:tcPr>
            <w:tcW w:w="270" w:type="dxa"/>
          </w:tcPr>
          <w:p w14:paraId="78051702" w14:textId="77777777" w:rsidR="00BC33BB" w:rsidRPr="00BC33BB" w:rsidRDefault="00BC33BB" w:rsidP="00BC33BB">
            <w:pPr>
              <w:jc w:val="right"/>
              <w:rPr>
                <w:snapToGrid w:val="0"/>
                <w:color w:val="000000"/>
                <w:sz w:val="20"/>
                <w:szCs w:val="20"/>
              </w:rPr>
            </w:pPr>
          </w:p>
        </w:tc>
        <w:tc>
          <w:tcPr>
            <w:tcW w:w="1890" w:type="dxa"/>
          </w:tcPr>
          <w:p w14:paraId="7650ADFF" w14:textId="77777777" w:rsidR="00BC33BB" w:rsidRPr="00BC33BB" w:rsidRDefault="00BC33BB" w:rsidP="00BC33BB">
            <w:pPr>
              <w:tabs>
                <w:tab w:val="left" w:pos="115"/>
                <w:tab w:val="decimal" w:pos="150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10,393,899</w:t>
            </w:r>
          </w:p>
        </w:tc>
      </w:tr>
      <w:tr w:rsidR="00BC33BB" w:rsidRPr="00BC33BB" w14:paraId="228B0352" w14:textId="77777777" w:rsidTr="004F5282">
        <w:trPr>
          <w:trHeight w:hRule="exact" w:val="230"/>
        </w:trPr>
        <w:tc>
          <w:tcPr>
            <w:tcW w:w="305" w:type="dxa"/>
          </w:tcPr>
          <w:p w14:paraId="1BFC9DF6" w14:textId="77777777" w:rsidR="00BC33BB" w:rsidRPr="00BC33BB" w:rsidRDefault="00BC33BB" w:rsidP="00BC33BB">
            <w:pPr>
              <w:jc w:val="right"/>
              <w:rPr>
                <w:snapToGrid w:val="0"/>
                <w:color w:val="000000"/>
                <w:sz w:val="20"/>
                <w:szCs w:val="20"/>
              </w:rPr>
            </w:pPr>
          </w:p>
        </w:tc>
        <w:tc>
          <w:tcPr>
            <w:tcW w:w="302" w:type="dxa"/>
          </w:tcPr>
          <w:p w14:paraId="4544B38B" w14:textId="77777777" w:rsidR="00BC33BB" w:rsidRPr="00BC33BB" w:rsidRDefault="00BC33BB" w:rsidP="00BC33BB">
            <w:pPr>
              <w:jc w:val="right"/>
              <w:rPr>
                <w:snapToGrid w:val="0"/>
                <w:color w:val="000000"/>
                <w:sz w:val="20"/>
                <w:szCs w:val="20"/>
              </w:rPr>
            </w:pPr>
          </w:p>
        </w:tc>
        <w:tc>
          <w:tcPr>
            <w:tcW w:w="5513" w:type="dxa"/>
          </w:tcPr>
          <w:p w14:paraId="77A8B8C7" w14:textId="77777777" w:rsidR="00BC33BB" w:rsidRPr="00BC33BB" w:rsidRDefault="00BC33BB" w:rsidP="00BC33BB">
            <w:pPr>
              <w:jc w:val="right"/>
              <w:rPr>
                <w:snapToGrid w:val="0"/>
                <w:color w:val="000000"/>
                <w:sz w:val="20"/>
                <w:szCs w:val="20"/>
              </w:rPr>
            </w:pPr>
          </w:p>
        </w:tc>
        <w:tc>
          <w:tcPr>
            <w:tcW w:w="90" w:type="dxa"/>
          </w:tcPr>
          <w:p w14:paraId="1EC5AFF8" w14:textId="77777777" w:rsidR="00BC33BB" w:rsidRPr="00BC33BB" w:rsidRDefault="00BC33BB" w:rsidP="00BC33BB">
            <w:pPr>
              <w:jc w:val="right"/>
              <w:rPr>
                <w:snapToGrid w:val="0"/>
                <w:color w:val="000000"/>
                <w:sz w:val="20"/>
                <w:szCs w:val="20"/>
              </w:rPr>
            </w:pPr>
          </w:p>
        </w:tc>
        <w:tc>
          <w:tcPr>
            <w:tcW w:w="1710" w:type="dxa"/>
            <w:tcBorders>
              <w:top w:val="double" w:sz="6" w:space="0" w:color="auto"/>
            </w:tcBorders>
          </w:tcPr>
          <w:p w14:paraId="20FC725F" w14:textId="77777777" w:rsidR="00BC33BB" w:rsidRPr="00BC33BB" w:rsidRDefault="00BC33BB" w:rsidP="00BC33BB">
            <w:pPr>
              <w:jc w:val="right"/>
              <w:rPr>
                <w:snapToGrid w:val="0"/>
                <w:color w:val="000000"/>
                <w:sz w:val="20"/>
                <w:szCs w:val="20"/>
              </w:rPr>
            </w:pPr>
          </w:p>
        </w:tc>
        <w:tc>
          <w:tcPr>
            <w:tcW w:w="270" w:type="dxa"/>
          </w:tcPr>
          <w:p w14:paraId="0FBC5F9C" w14:textId="77777777" w:rsidR="00BC33BB" w:rsidRPr="00BC33BB" w:rsidRDefault="00BC33BB" w:rsidP="00BC33BB">
            <w:pPr>
              <w:jc w:val="right"/>
              <w:rPr>
                <w:snapToGrid w:val="0"/>
                <w:color w:val="000000"/>
                <w:sz w:val="20"/>
                <w:szCs w:val="20"/>
              </w:rPr>
            </w:pPr>
          </w:p>
        </w:tc>
        <w:tc>
          <w:tcPr>
            <w:tcW w:w="1890" w:type="dxa"/>
            <w:tcBorders>
              <w:top w:val="double" w:sz="6" w:space="0" w:color="auto"/>
            </w:tcBorders>
          </w:tcPr>
          <w:p w14:paraId="48ACA6E2" w14:textId="77777777" w:rsidR="00BC33BB" w:rsidRPr="00BC33BB" w:rsidRDefault="00BC33BB" w:rsidP="00BC33BB">
            <w:pPr>
              <w:jc w:val="right"/>
              <w:rPr>
                <w:snapToGrid w:val="0"/>
                <w:color w:val="000000"/>
                <w:sz w:val="20"/>
                <w:szCs w:val="20"/>
              </w:rPr>
            </w:pPr>
          </w:p>
        </w:tc>
      </w:tr>
    </w:tbl>
    <w:p w14:paraId="4A0B24C0" w14:textId="77777777" w:rsidR="00BC33BB" w:rsidRPr="00BC33BB" w:rsidRDefault="00BC33BB" w:rsidP="00BC33BB">
      <w:pPr>
        <w:tabs>
          <w:tab w:val="left" w:pos="1080"/>
          <w:tab w:val="left" w:pos="1260"/>
          <w:tab w:val="left" w:pos="2340"/>
          <w:tab w:val="right" w:pos="9180"/>
        </w:tabs>
        <w:ind w:right="-360"/>
        <w:rPr>
          <w:sz w:val="20"/>
          <w:szCs w:val="20"/>
        </w:rPr>
      </w:pPr>
    </w:p>
    <w:p w14:paraId="288DA9ED" w14:textId="77777777" w:rsidR="00BC33BB" w:rsidRPr="00BC33BB" w:rsidRDefault="00BC33BB" w:rsidP="00BC33BB">
      <w:pPr>
        <w:tabs>
          <w:tab w:val="left" w:pos="1080"/>
          <w:tab w:val="left" w:pos="1260"/>
          <w:tab w:val="left" w:pos="2340"/>
          <w:tab w:val="right" w:pos="9180"/>
        </w:tabs>
        <w:ind w:left="-180" w:right="54"/>
        <w:jc w:val="center"/>
        <w:rPr>
          <w:snapToGrid w:val="0"/>
          <w:color w:val="000000"/>
          <w:sz w:val="20"/>
          <w:szCs w:val="20"/>
        </w:rPr>
      </w:pPr>
      <w:r w:rsidRPr="00BC33BB">
        <w:rPr>
          <w:snapToGrid w:val="0"/>
          <w:color w:val="000000"/>
          <w:sz w:val="20"/>
          <w:szCs w:val="20"/>
        </w:rPr>
        <w:t>See accompanying notes to consolidated financial statements.</w:t>
      </w:r>
    </w:p>
    <w:p w14:paraId="5994F479" w14:textId="77777777" w:rsidR="008A3183" w:rsidRDefault="008A3183" w:rsidP="008A3183">
      <w:pPr>
        <w:ind w:left="144" w:right="144"/>
        <w:rPr>
          <w:sz w:val="20"/>
          <w:szCs w:val="20"/>
        </w:rPr>
      </w:pPr>
      <w:r>
        <w:rPr>
          <w:sz w:val="20"/>
          <w:szCs w:val="20"/>
        </w:rPr>
        <w:t> </w:t>
      </w:r>
    </w:p>
    <w:p w14:paraId="427398C1" w14:textId="77777777" w:rsidR="008A3183" w:rsidRDefault="008A3183" w:rsidP="008A3183">
      <w:pPr>
        <w:ind w:left="144" w:right="144"/>
        <w:rPr>
          <w:sz w:val="20"/>
          <w:szCs w:val="20"/>
        </w:rPr>
      </w:pPr>
      <w:r>
        <w:rPr>
          <w:sz w:val="20"/>
          <w:szCs w:val="20"/>
        </w:rPr>
        <w:t> </w:t>
      </w:r>
    </w:p>
    <w:p w14:paraId="67B7F2F0" w14:textId="77777777" w:rsidR="008A3183" w:rsidRDefault="008A3183" w:rsidP="008A3183">
      <w:pPr>
        <w:ind w:left="144" w:right="144"/>
        <w:rPr>
          <w:sz w:val="20"/>
          <w:szCs w:val="20"/>
        </w:rPr>
      </w:pPr>
      <w:r>
        <w:rPr>
          <w:sz w:val="20"/>
          <w:szCs w:val="20"/>
        </w:rPr>
        <w:t> </w:t>
      </w:r>
    </w:p>
    <w:p w14:paraId="16EFBE54" w14:textId="77777777" w:rsidR="008A3183" w:rsidRDefault="008A3183">
      <w:pPr>
        <w:rPr>
          <w:b/>
          <w:bCs/>
          <w:sz w:val="20"/>
          <w:szCs w:val="20"/>
        </w:rPr>
      </w:pPr>
      <w:r>
        <w:rPr>
          <w:b/>
          <w:bCs/>
          <w:sz w:val="20"/>
          <w:szCs w:val="20"/>
        </w:rPr>
        <w:br w:type="page"/>
      </w:r>
    </w:p>
    <w:tbl>
      <w:tblPr>
        <w:tblW w:w="0" w:type="auto"/>
        <w:tblInd w:w="180" w:type="dxa"/>
        <w:tblLayout w:type="fixed"/>
        <w:tblCellMar>
          <w:left w:w="30" w:type="dxa"/>
          <w:right w:w="30" w:type="dxa"/>
        </w:tblCellMar>
        <w:tblLook w:val="0000" w:firstRow="0" w:lastRow="0" w:firstColumn="0" w:lastColumn="0" w:noHBand="0" w:noVBand="0"/>
      </w:tblPr>
      <w:tblGrid>
        <w:gridCol w:w="305"/>
        <w:gridCol w:w="302"/>
        <w:gridCol w:w="5513"/>
        <w:gridCol w:w="90"/>
        <w:gridCol w:w="1710"/>
        <w:gridCol w:w="270"/>
        <w:gridCol w:w="1890"/>
      </w:tblGrid>
      <w:tr w:rsidR="00BC33BB" w:rsidRPr="00BC33BB" w14:paraId="7377A7BC" w14:textId="77777777" w:rsidTr="004F5282">
        <w:trPr>
          <w:trHeight w:hRule="exact" w:val="230"/>
        </w:trPr>
        <w:tc>
          <w:tcPr>
            <w:tcW w:w="10080" w:type="dxa"/>
            <w:gridSpan w:val="7"/>
          </w:tcPr>
          <w:p w14:paraId="56F4413D" w14:textId="77777777" w:rsidR="00BC33BB" w:rsidRPr="00BC33BB" w:rsidRDefault="00BC33BB" w:rsidP="00BC33BB">
            <w:pPr>
              <w:jc w:val="center"/>
              <w:rPr>
                <w:snapToGrid w:val="0"/>
                <w:color w:val="000000"/>
                <w:sz w:val="20"/>
                <w:szCs w:val="20"/>
              </w:rPr>
            </w:pPr>
            <w:r w:rsidRPr="00BC33BB">
              <w:rPr>
                <w:b/>
              </w:rPr>
              <w:lastRenderedPageBreak/>
              <w:t>GEOVAX LABS. INC.</w:t>
            </w:r>
          </w:p>
        </w:tc>
      </w:tr>
      <w:tr w:rsidR="00BC33BB" w:rsidRPr="00BC33BB" w14:paraId="2BEE914A" w14:textId="77777777" w:rsidTr="004F5282">
        <w:trPr>
          <w:trHeight w:hRule="exact" w:val="230"/>
        </w:trPr>
        <w:tc>
          <w:tcPr>
            <w:tcW w:w="10080" w:type="dxa"/>
            <w:gridSpan w:val="7"/>
          </w:tcPr>
          <w:p w14:paraId="506ACAB0" w14:textId="77777777" w:rsidR="00BC33BB" w:rsidRPr="00BC33BB" w:rsidRDefault="00BC33BB" w:rsidP="00BC33BB">
            <w:pPr>
              <w:jc w:val="center"/>
              <w:rPr>
                <w:snapToGrid w:val="0"/>
                <w:color w:val="000000"/>
                <w:sz w:val="20"/>
                <w:szCs w:val="20"/>
              </w:rPr>
            </w:pPr>
            <w:r w:rsidRPr="00BC33BB">
              <w:rPr>
                <w:b/>
              </w:rPr>
              <w:t>CONSOLIDATED STATEMENTS OF OPERATIONS</w:t>
            </w:r>
          </w:p>
        </w:tc>
      </w:tr>
      <w:tr w:rsidR="00BC33BB" w:rsidRPr="00BC33BB" w14:paraId="0B082943" w14:textId="77777777" w:rsidTr="004F5282">
        <w:trPr>
          <w:trHeight w:hRule="exact" w:val="230"/>
        </w:trPr>
        <w:tc>
          <w:tcPr>
            <w:tcW w:w="305" w:type="dxa"/>
          </w:tcPr>
          <w:p w14:paraId="7A488511" w14:textId="77777777" w:rsidR="00BC33BB" w:rsidRPr="00BC33BB" w:rsidRDefault="00BC33BB" w:rsidP="00BC33BB">
            <w:pPr>
              <w:jc w:val="right"/>
              <w:rPr>
                <w:snapToGrid w:val="0"/>
                <w:color w:val="000000"/>
                <w:sz w:val="20"/>
                <w:szCs w:val="20"/>
              </w:rPr>
            </w:pPr>
          </w:p>
        </w:tc>
        <w:tc>
          <w:tcPr>
            <w:tcW w:w="302" w:type="dxa"/>
          </w:tcPr>
          <w:p w14:paraId="4B25DE6D" w14:textId="77777777" w:rsidR="00BC33BB" w:rsidRPr="00BC33BB" w:rsidRDefault="00BC33BB" w:rsidP="00BC33BB">
            <w:pPr>
              <w:jc w:val="right"/>
              <w:rPr>
                <w:snapToGrid w:val="0"/>
                <w:color w:val="000000"/>
                <w:sz w:val="20"/>
                <w:szCs w:val="20"/>
              </w:rPr>
            </w:pPr>
          </w:p>
        </w:tc>
        <w:tc>
          <w:tcPr>
            <w:tcW w:w="5513" w:type="dxa"/>
          </w:tcPr>
          <w:p w14:paraId="06D2E22E" w14:textId="77777777" w:rsidR="00BC33BB" w:rsidRPr="00BC33BB" w:rsidRDefault="00BC33BB" w:rsidP="00BC33BB">
            <w:pPr>
              <w:jc w:val="right"/>
              <w:rPr>
                <w:snapToGrid w:val="0"/>
                <w:color w:val="000000"/>
                <w:sz w:val="20"/>
                <w:szCs w:val="20"/>
              </w:rPr>
            </w:pPr>
          </w:p>
        </w:tc>
        <w:tc>
          <w:tcPr>
            <w:tcW w:w="90" w:type="dxa"/>
          </w:tcPr>
          <w:p w14:paraId="633BA55F" w14:textId="77777777" w:rsidR="00BC33BB" w:rsidRPr="00BC33BB" w:rsidRDefault="00BC33BB" w:rsidP="00BC33BB">
            <w:pPr>
              <w:jc w:val="right"/>
              <w:rPr>
                <w:snapToGrid w:val="0"/>
                <w:color w:val="000000"/>
                <w:sz w:val="20"/>
                <w:szCs w:val="20"/>
              </w:rPr>
            </w:pPr>
          </w:p>
        </w:tc>
        <w:tc>
          <w:tcPr>
            <w:tcW w:w="3870" w:type="dxa"/>
            <w:gridSpan w:val="3"/>
          </w:tcPr>
          <w:p w14:paraId="0244233A" w14:textId="77777777" w:rsidR="00BC33BB" w:rsidRPr="00BC33BB" w:rsidRDefault="00BC33BB" w:rsidP="00BC33BB">
            <w:pPr>
              <w:jc w:val="center"/>
              <w:rPr>
                <w:snapToGrid w:val="0"/>
                <w:color w:val="000000"/>
                <w:sz w:val="20"/>
                <w:szCs w:val="20"/>
              </w:rPr>
            </w:pPr>
          </w:p>
        </w:tc>
      </w:tr>
      <w:tr w:rsidR="00BC33BB" w:rsidRPr="00BC33BB" w14:paraId="52626277" w14:textId="77777777" w:rsidTr="004F5282">
        <w:trPr>
          <w:trHeight w:hRule="exact" w:val="230"/>
        </w:trPr>
        <w:tc>
          <w:tcPr>
            <w:tcW w:w="305" w:type="dxa"/>
          </w:tcPr>
          <w:p w14:paraId="5323A3DE" w14:textId="77777777" w:rsidR="00BC33BB" w:rsidRPr="00BC33BB" w:rsidRDefault="00BC33BB" w:rsidP="00BC33BB">
            <w:pPr>
              <w:jc w:val="right"/>
              <w:rPr>
                <w:snapToGrid w:val="0"/>
                <w:color w:val="000000"/>
                <w:sz w:val="20"/>
                <w:szCs w:val="20"/>
              </w:rPr>
            </w:pPr>
          </w:p>
        </w:tc>
        <w:tc>
          <w:tcPr>
            <w:tcW w:w="302" w:type="dxa"/>
          </w:tcPr>
          <w:p w14:paraId="195252C9" w14:textId="77777777" w:rsidR="00BC33BB" w:rsidRPr="00BC33BB" w:rsidRDefault="00BC33BB" w:rsidP="00BC33BB">
            <w:pPr>
              <w:jc w:val="right"/>
              <w:rPr>
                <w:snapToGrid w:val="0"/>
                <w:color w:val="000000"/>
                <w:sz w:val="20"/>
                <w:szCs w:val="20"/>
              </w:rPr>
            </w:pPr>
          </w:p>
        </w:tc>
        <w:tc>
          <w:tcPr>
            <w:tcW w:w="5513" w:type="dxa"/>
          </w:tcPr>
          <w:p w14:paraId="063E96BB" w14:textId="77777777" w:rsidR="00BC33BB" w:rsidRPr="00BC33BB" w:rsidRDefault="00BC33BB" w:rsidP="00BC33BB">
            <w:pPr>
              <w:jc w:val="right"/>
              <w:rPr>
                <w:snapToGrid w:val="0"/>
                <w:color w:val="000000"/>
                <w:sz w:val="20"/>
                <w:szCs w:val="20"/>
              </w:rPr>
            </w:pPr>
          </w:p>
        </w:tc>
        <w:tc>
          <w:tcPr>
            <w:tcW w:w="90" w:type="dxa"/>
          </w:tcPr>
          <w:p w14:paraId="2A292FC5" w14:textId="77777777" w:rsidR="00BC33BB" w:rsidRPr="00BC33BB" w:rsidRDefault="00BC33BB" w:rsidP="00BC33BB">
            <w:pPr>
              <w:jc w:val="right"/>
              <w:rPr>
                <w:snapToGrid w:val="0"/>
                <w:color w:val="000000"/>
                <w:sz w:val="20"/>
                <w:szCs w:val="20"/>
              </w:rPr>
            </w:pPr>
          </w:p>
        </w:tc>
        <w:tc>
          <w:tcPr>
            <w:tcW w:w="3870" w:type="dxa"/>
            <w:gridSpan w:val="3"/>
          </w:tcPr>
          <w:p w14:paraId="091A5603" w14:textId="77777777" w:rsidR="00BC33BB" w:rsidRPr="00BC33BB" w:rsidRDefault="00BC33BB" w:rsidP="00BC33BB">
            <w:pPr>
              <w:jc w:val="center"/>
              <w:rPr>
                <w:snapToGrid w:val="0"/>
                <w:color w:val="000000"/>
                <w:sz w:val="20"/>
                <w:szCs w:val="20"/>
              </w:rPr>
            </w:pPr>
          </w:p>
        </w:tc>
      </w:tr>
      <w:tr w:rsidR="00BC33BB" w:rsidRPr="00BC33BB" w14:paraId="7E34A614" w14:textId="77777777" w:rsidTr="004F5282">
        <w:trPr>
          <w:trHeight w:hRule="exact" w:val="230"/>
        </w:trPr>
        <w:tc>
          <w:tcPr>
            <w:tcW w:w="305" w:type="dxa"/>
          </w:tcPr>
          <w:p w14:paraId="236863F9" w14:textId="77777777" w:rsidR="00BC33BB" w:rsidRPr="00BC33BB" w:rsidRDefault="00BC33BB" w:rsidP="00BC33BB">
            <w:pPr>
              <w:jc w:val="right"/>
              <w:rPr>
                <w:snapToGrid w:val="0"/>
                <w:color w:val="000000"/>
                <w:sz w:val="20"/>
                <w:szCs w:val="20"/>
              </w:rPr>
            </w:pPr>
          </w:p>
        </w:tc>
        <w:tc>
          <w:tcPr>
            <w:tcW w:w="302" w:type="dxa"/>
          </w:tcPr>
          <w:p w14:paraId="76CFFAC8" w14:textId="77777777" w:rsidR="00BC33BB" w:rsidRPr="00BC33BB" w:rsidRDefault="00BC33BB" w:rsidP="00BC33BB">
            <w:pPr>
              <w:jc w:val="right"/>
              <w:rPr>
                <w:snapToGrid w:val="0"/>
                <w:color w:val="000000"/>
                <w:sz w:val="20"/>
                <w:szCs w:val="20"/>
              </w:rPr>
            </w:pPr>
          </w:p>
        </w:tc>
        <w:tc>
          <w:tcPr>
            <w:tcW w:w="5513" w:type="dxa"/>
          </w:tcPr>
          <w:p w14:paraId="23D4B4C2" w14:textId="77777777" w:rsidR="00BC33BB" w:rsidRPr="00BC33BB" w:rsidRDefault="00BC33BB" w:rsidP="00BC33BB">
            <w:pPr>
              <w:jc w:val="right"/>
              <w:rPr>
                <w:snapToGrid w:val="0"/>
                <w:color w:val="000000"/>
                <w:sz w:val="20"/>
                <w:szCs w:val="20"/>
              </w:rPr>
            </w:pPr>
          </w:p>
        </w:tc>
        <w:tc>
          <w:tcPr>
            <w:tcW w:w="90" w:type="dxa"/>
          </w:tcPr>
          <w:p w14:paraId="322731BF" w14:textId="77777777" w:rsidR="00BC33BB" w:rsidRPr="00BC33BB" w:rsidRDefault="00BC33BB" w:rsidP="00BC33BB">
            <w:pPr>
              <w:jc w:val="right"/>
              <w:rPr>
                <w:snapToGrid w:val="0"/>
                <w:color w:val="000000"/>
                <w:sz w:val="20"/>
                <w:szCs w:val="20"/>
              </w:rPr>
            </w:pPr>
          </w:p>
        </w:tc>
        <w:tc>
          <w:tcPr>
            <w:tcW w:w="3870" w:type="dxa"/>
            <w:gridSpan w:val="3"/>
          </w:tcPr>
          <w:p w14:paraId="24AC39DD" w14:textId="77777777" w:rsidR="00BC33BB" w:rsidRPr="00BC33BB" w:rsidRDefault="00BC33BB" w:rsidP="00BC33BB">
            <w:pPr>
              <w:jc w:val="center"/>
              <w:rPr>
                <w:snapToGrid w:val="0"/>
                <w:color w:val="000000"/>
                <w:sz w:val="20"/>
                <w:szCs w:val="20"/>
              </w:rPr>
            </w:pPr>
          </w:p>
        </w:tc>
      </w:tr>
      <w:tr w:rsidR="00BC33BB" w:rsidRPr="00BC33BB" w14:paraId="04342C27" w14:textId="77777777" w:rsidTr="004F5282">
        <w:trPr>
          <w:trHeight w:hRule="exact" w:val="230"/>
        </w:trPr>
        <w:tc>
          <w:tcPr>
            <w:tcW w:w="305" w:type="dxa"/>
          </w:tcPr>
          <w:p w14:paraId="44D44274" w14:textId="77777777" w:rsidR="00BC33BB" w:rsidRPr="00BC33BB" w:rsidRDefault="00BC33BB" w:rsidP="00BC33BB">
            <w:pPr>
              <w:jc w:val="right"/>
              <w:rPr>
                <w:snapToGrid w:val="0"/>
                <w:color w:val="000000"/>
                <w:sz w:val="20"/>
                <w:szCs w:val="20"/>
              </w:rPr>
            </w:pPr>
          </w:p>
        </w:tc>
        <w:tc>
          <w:tcPr>
            <w:tcW w:w="302" w:type="dxa"/>
          </w:tcPr>
          <w:p w14:paraId="1E063947" w14:textId="77777777" w:rsidR="00BC33BB" w:rsidRPr="00BC33BB" w:rsidRDefault="00BC33BB" w:rsidP="00BC33BB">
            <w:pPr>
              <w:jc w:val="right"/>
              <w:rPr>
                <w:snapToGrid w:val="0"/>
                <w:color w:val="000000"/>
                <w:sz w:val="20"/>
                <w:szCs w:val="20"/>
              </w:rPr>
            </w:pPr>
          </w:p>
        </w:tc>
        <w:tc>
          <w:tcPr>
            <w:tcW w:w="5513" w:type="dxa"/>
          </w:tcPr>
          <w:p w14:paraId="6FD02A2A" w14:textId="77777777" w:rsidR="00BC33BB" w:rsidRPr="00BC33BB" w:rsidRDefault="00BC33BB" w:rsidP="00BC33BB">
            <w:pPr>
              <w:jc w:val="right"/>
              <w:rPr>
                <w:snapToGrid w:val="0"/>
                <w:color w:val="000000"/>
                <w:sz w:val="20"/>
                <w:szCs w:val="20"/>
              </w:rPr>
            </w:pPr>
          </w:p>
        </w:tc>
        <w:tc>
          <w:tcPr>
            <w:tcW w:w="90" w:type="dxa"/>
          </w:tcPr>
          <w:p w14:paraId="1FEE7124" w14:textId="77777777" w:rsidR="00BC33BB" w:rsidRPr="00BC33BB" w:rsidRDefault="00BC33BB" w:rsidP="00BC33BB">
            <w:pPr>
              <w:jc w:val="right"/>
              <w:rPr>
                <w:snapToGrid w:val="0"/>
                <w:color w:val="000000"/>
                <w:sz w:val="20"/>
                <w:szCs w:val="20"/>
              </w:rPr>
            </w:pPr>
          </w:p>
        </w:tc>
        <w:tc>
          <w:tcPr>
            <w:tcW w:w="3870" w:type="dxa"/>
            <w:gridSpan w:val="3"/>
            <w:tcBorders>
              <w:bottom w:val="single" w:sz="4" w:space="0" w:color="auto"/>
            </w:tcBorders>
          </w:tcPr>
          <w:p w14:paraId="19772A80" w14:textId="77777777" w:rsidR="00BC33BB" w:rsidRPr="00BC33BB" w:rsidRDefault="00BC33BB" w:rsidP="00BC33BB">
            <w:pPr>
              <w:jc w:val="center"/>
              <w:rPr>
                <w:snapToGrid w:val="0"/>
                <w:color w:val="000000"/>
                <w:sz w:val="20"/>
                <w:szCs w:val="20"/>
              </w:rPr>
            </w:pPr>
            <w:r w:rsidRPr="00BC33BB">
              <w:rPr>
                <w:snapToGrid w:val="0"/>
                <w:color w:val="000000"/>
                <w:sz w:val="20"/>
                <w:szCs w:val="20"/>
              </w:rPr>
              <w:t>Years Ended December 31,</w:t>
            </w:r>
          </w:p>
          <w:p w14:paraId="0BA641BA" w14:textId="77777777" w:rsidR="00BC33BB" w:rsidRPr="00BC33BB" w:rsidRDefault="00BC33BB" w:rsidP="00BC33BB">
            <w:pPr>
              <w:jc w:val="center"/>
              <w:rPr>
                <w:snapToGrid w:val="0"/>
                <w:color w:val="000000"/>
                <w:sz w:val="20"/>
                <w:szCs w:val="20"/>
              </w:rPr>
            </w:pPr>
            <w:r w:rsidRPr="00BC33BB">
              <w:rPr>
                <w:snapToGrid w:val="0"/>
                <w:color w:val="000000"/>
                <w:sz w:val="20"/>
                <w:szCs w:val="20"/>
              </w:rPr>
              <w:t>December 31,</w:t>
            </w:r>
          </w:p>
        </w:tc>
      </w:tr>
      <w:tr w:rsidR="00BC33BB" w:rsidRPr="00BC33BB" w14:paraId="50B46E7C" w14:textId="77777777" w:rsidTr="004F5282">
        <w:trPr>
          <w:trHeight w:hRule="exact" w:val="230"/>
        </w:trPr>
        <w:tc>
          <w:tcPr>
            <w:tcW w:w="305" w:type="dxa"/>
          </w:tcPr>
          <w:p w14:paraId="608E94C1" w14:textId="77777777" w:rsidR="00BC33BB" w:rsidRPr="00BC33BB" w:rsidRDefault="00BC33BB" w:rsidP="00BC33BB">
            <w:pPr>
              <w:jc w:val="right"/>
              <w:rPr>
                <w:snapToGrid w:val="0"/>
                <w:color w:val="000000"/>
                <w:sz w:val="20"/>
                <w:szCs w:val="20"/>
              </w:rPr>
            </w:pPr>
          </w:p>
        </w:tc>
        <w:tc>
          <w:tcPr>
            <w:tcW w:w="302" w:type="dxa"/>
          </w:tcPr>
          <w:p w14:paraId="58ED9FFB" w14:textId="77777777" w:rsidR="00BC33BB" w:rsidRPr="00BC33BB" w:rsidRDefault="00BC33BB" w:rsidP="00BC33BB">
            <w:pPr>
              <w:jc w:val="right"/>
              <w:rPr>
                <w:snapToGrid w:val="0"/>
                <w:color w:val="000000"/>
                <w:sz w:val="20"/>
                <w:szCs w:val="20"/>
              </w:rPr>
            </w:pPr>
          </w:p>
        </w:tc>
        <w:tc>
          <w:tcPr>
            <w:tcW w:w="5513" w:type="dxa"/>
          </w:tcPr>
          <w:p w14:paraId="2F1F414B" w14:textId="77777777" w:rsidR="00BC33BB" w:rsidRPr="00BC33BB" w:rsidRDefault="00BC33BB" w:rsidP="00BC33BB">
            <w:pPr>
              <w:jc w:val="right"/>
              <w:rPr>
                <w:snapToGrid w:val="0"/>
                <w:color w:val="000000"/>
                <w:sz w:val="20"/>
                <w:szCs w:val="20"/>
              </w:rPr>
            </w:pPr>
          </w:p>
        </w:tc>
        <w:tc>
          <w:tcPr>
            <w:tcW w:w="90" w:type="dxa"/>
          </w:tcPr>
          <w:p w14:paraId="5D189D4E" w14:textId="77777777" w:rsidR="00BC33BB" w:rsidRPr="00BC33BB" w:rsidRDefault="00BC33BB" w:rsidP="00BC33BB">
            <w:pPr>
              <w:jc w:val="right"/>
              <w:rPr>
                <w:snapToGrid w:val="0"/>
                <w:color w:val="000000"/>
                <w:sz w:val="20"/>
                <w:szCs w:val="20"/>
              </w:rPr>
            </w:pPr>
          </w:p>
        </w:tc>
        <w:tc>
          <w:tcPr>
            <w:tcW w:w="1710" w:type="dxa"/>
            <w:tcBorders>
              <w:top w:val="single" w:sz="4" w:space="0" w:color="auto"/>
              <w:bottom w:val="single" w:sz="6" w:space="0" w:color="auto"/>
            </w:tcBorders>
          </w:tcPr>
          <w:p w14:paraId="1457A8FB" w14:textId="77777777" w:rsidR="00BC33BB" w:rsidRPr="00BC33BB" w:rsidRDefault="00BC33BB" w:rsidP="00BC33BB">
            <w:pPr>
              <w:jc w:val="center"/>
              <w:rPr>
                <w:snapToGrid w:val="0"/>
                <w:color w:val="000000"/>
                <w:sz w:val="20"/>
                <w:szCs w:val="20"/>
              </w:rPr>
            </w:pPr>
            <w:r w:rsidRPr="00BC33BB">
              <w:rPr>
                <w:snapToGrid w:val="0"/>
                <w:color w:val="000000"/>
                <w:sz w:val="20"/>
                <w:szCs w:val="20"/>
              </w:rPr>
              <w:t>2021</w:t>
            </w:r>
          </w:p>
        </w:tc>
        <w:tc>
          <w:tcPr>
            <w:tcW w:w="270" w:type="dxa"/>
            <w:tcBorders>
              <w:top w:val="single" w:sz="4" w:space="0" w:color="auto"/>
            </w:tcBorders>
          </w:tcPr>
          <w:p w14:paraId="01FA7164" w14:textId="77777777" w:rsidR="00BC33BB" w:rsidRPr="00BC33BB" w:rsidRDefault="00BC33BB" w:rsidP="00BC33BB">
            <w:pPr>
              <w:jc w:val="right"/>
              <w:rPr>
                <w:snapToGrid w:val="0"/>
                <w:color w:val="000000"/>
                <w:sz w:val="20"/>
                <w:szCs w:val="20"/>
              </w:rPr>
            </w:pPr>
          </w:p>
        </w:tc>
        <w:tc>
          <w:tcPr>
            <w:tcW w:w="1890" w:type="dxa"/>
            <w:tcBorders>
              <w:top w:val="single" w:sz="4" w:space="0" w:color="auto"/>
              <w:bottom w:val="single" w:sz="6" w:space="0" w:color="auto"/>
            </w:tcBorders>
          </w:tcPr>
          <w:p w14:paraId="7FDCB263" w14:textId="77777777" w:rsidR="00BC33BB" w:rsidRPr="00BC33BB" w:rsidRDefault="00BC33BB" w:rsidP="00BC33BB">
            <w:pPr>
              <w:jc w:val="center"/>
              <w:rPr>
                <w:snapToGrid w:val="0"/>
                <w:color w:val="000000"/>
                <w:sz w:val="20"/>
                <w:szCs w:val="20"/>
              </w:rPr>
            </w:pPr>
            <w:r w:rsidRPr="00BC33BB">
              <w:rPr>
                <w:snapToGrid w:val="0"/>
                <w:color w:val="000000"/>
                <w:sz w:val="20"/>
                <w:szCs w:val="20"/>
              </w:rPr>
              <w:t>2020</w:t>
            </w:r>
          </w:p>
        </w:tc>
      </w:tr>
      <w:tr w:rsidR="00BC33BB" w:rsidRPr="00BC33BB" w14:paraId="6B6E9445" w14:textId="77777777" w:rsidTr="004F5282">
        <w:trPr>
          <w:trHeight w:hRule="exact" w:val="230"/>
        </w:trPr>
        <w:tc>
          <w:tcPr>
            <w:tcW w:w="6120" w:type="dxa"/>
            <w:gridSpan w:val="3"/>
          </w:tcPr>
          <w:p w14:paraId="34FF78D1" w14:textId="77777777" w:rsidR="00BC33BB" w:rsidRPr="00BC33BB" w:rsidRDefault="00BC33BB" w:rsidP="00BC33BB">
            <w:pPr>
              <w:rPr>
                <w:b/>
                <w:snapToGrid w:val="0"/>
                <w:color w:val="000000"/>
                <w:sz w:val="20"/>
                <w:szCs w:val="20"/>
              </w:rPr>
            </w:pPr>
            <w:r w:rsidRPr="00BC33BB">
              <w:rPr>
                <w:snapToGrid w:val="0"/>
                <w:color w:val="000000"/>
                <w:sz w:val="20"/>
                <w:szCs w:val="20"/>
              </w:rPr>
              <w:t>Grant and collaboration revenue</w:t>
            </w:r>
          </w:p>
        </w:tc>
        <w:tc>
          <w:tcPr>
            <w:tcW w:w="90" w:type="dxa"/>
          </w:tcPr>
          <w:p w14:paraId="47CAC7BC" w14:textId="77777777" w:rsidR="00BC33BB" w:rsidRPr="00BC33BB" w:rsidRDefault="00BC33BB" w:rsidP="00BC33BB">
            <w:pPr>
              <w:jc w:val="right"/>
              <w:rPr>
                <w:snapToGrid w:val="0"/>
                <w:color w:val="000000"/>
                <w:sz w:val="20"/>
                <w:szCs w:val="20"/>
              </w:rPr>
            </w:pPr>
          </w:p>
        </w:tc>
        <w:tc>
          <w:tcPr>
            <w:tcW w:w="1710" w:type="dxa"/>
          </w:tcPr>
          <w:p w14:paraId="495D6105" w14:textId="77777777" w:rsidR="00BC33BB" w:rsidRPr="00BC33BB" w:rsidRDefault="00BC33BB" w:rsidP="00BC33BB">
            <w:pPr>
              <w:tabs>
                <w:tab w:val="left" w:pos="115"/>
                <w:tab w:val="decimal" w:pos="132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385,501</w:t>
            </w:r>
          </w:p>
        </w:tc>
        <w:tc>
          <w:tcPr>
            <w:tcW w:w="270" w:type="dxa"/>
          </w:tcPr>
          <w:p w14:paraId="1E5FE1F9" w14:textId="77777777" w:rsidR="00BC33BB" w:rsidRPr="00BC33BB" w:rsidRDefault="00BC33BB" w:rsidP="00BC33BB">
            <w:pPr>
              <w:jc w:val="right"/>
              <w:rPr>
                <w:snapToGrid w:val="0"/>
                <w:color w:val="000000"/>
                <w:sz w:val="20"/>
                <w:szCs w:val="20"/>
              </w:rPr>
            </w:pPr>
          </w:p>
        </w:tc>
        <w:tc>
          <w:tcPr>
            <w:tcW w:w="1890" w:type="dxa"/>
          </w:tcPr>
          <w:p w14:paraId="5F6CC92C" w14:textId="77777777" w:rsidR="00BC33BB" w:rsidRPr="00BC33BB" w:rsidRDefault="00BC33BB" w:rsidP="00BC33BB">
            <w:pPr>
              <w:tabs>
                <w:tab w:val="left" w:pos="115"/>
                <w:tab w:val="decimal" w:pos="150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1,823,658</w:t>
            </w:r>
          </w:p>
        </w:tc>
      </w:tr>
      <w:tr w:rsidR="00BC33BB" w:rsidRPr="00BC33BB" w14:paraId="4342E6EC" w14:textId="77777777" w:rsidTr="004F5282">
        <w:trPr>
          <w:trHeight w:hRule="exact" w:val="230"/>
        </w:trPr>
        <w:tc>
          <w:tcPr>
            <w:tcW w:w="6120" w:type="dxa"/>
            <w:gridSpan w:val="3"/>
          </w:tcPr>
          <w:p w14:paraId="0C3AFB81" w14:textId="77777777" w:rsidR="00BC33BB" w:rsidRPr="00BC33BB" w:rsidRDefault="00BC33BB" w:rsidP="00BC33BB">
            <w:pPr>
              <w:rPr>
                <w:snapToGrid w:val="0"/>
                <w:color w:val="000000"/>
                <w:sz w:val="20"/>
                <w:szCs w:val="20"/>
              </w:rPr>
            </w:pPr>
          </w:p>
        </w:tc>
        <w:tc>
          <w:tcPr>
            <w:tcW w:w="90" w:type="dxa"/>
          </w:tcPr>
          <w:p w14:paraId="4DCF2EA6" w14:textId="77777777" w:rsidR="00BC33BB" w:rsidRPr="00BC33BB" w:rsidRDefault="00BC33BB" w:rsidP="00BC33BB">
            <w:pPr>
              <w:jc w:val="right"/>
              <w:rPr>
                <w:snapToGrid w:val="0"/>
                <w:color w:val="000000"/>
                <w:sz w:val="20"/>
                <w:szCs w:val="20"/>
              </w:rPr>
            </w:pPr>
          </w:p>
        </w:tc>
        <w:tc>
          <w:tcPr>
            <w:tcW w:w="1710" w:type="dxa"/>
          </w:tcPr>
          <w:p w14:paraId="203D6548" w14:textId="77777777" w:rsidR="00BC33BB" w:rsidRPr="00BC33BB" w:rsidRDefault="00BC33BB" w:rsidP="00BC33BB">
            <w:pPr>
              <w:jc w:val="right"/>
              <w:rPr>
                <w:snapToGrid w:val="0"/>
                <w:color w:val="000000"/>
                <w:sz w:val="20"/>
                <w:szCs w:val="20"/>
              </w:rPr>
            </w:pPr>
          </w:p>
        </w:tc>
        <w:tc>
          <w:tcPr>
            <w:tcW w:w="270" w:type="dxa"/>
          </w:tcPr>
          <w:p w14:paraId="6E633FDD" w14:textId="77777777" w:rsidR="00BC33BB" w:rsidRPr="00BC33BB" w:rsidRDefault="00BC33BB" w:rsidP="00BC33BB">
            <w:pPr>
              <w:jc w:val="right"/>
              <w:rPr>
                <w:snapToGrid w:val="0"/>
                <w:color w:val="000000"/>
                <w:sz w:val="20"/>
                <w:szCs w:val="20"/>
              </w:rPr>
            </w:pPr>
          </w:p>
        </w:tc>
        <w:tc>
          <w:tcPr>
            <w:tcW w:w="1890" w:type="dxa"/>
          </w:tcPr>
          <w:p w14:paraId="7095F0C7" w14:textId="77777777" w:rsidR="00BC33BB" w:rsidRPr="00BC33BB" w:rsidRDefault="00BC33BB" w:rsidP="00BC33BB">
            <w:pPr>
              <w:jc w:val="right"/>
              <w:rPr>
                <w:snapToGrid w:val="0"/>
                <w:color w:val="000000"/>
                <w:sz w:val="20"/>
                <w:szCs w:val="20"/>
              </w:rPr>
            </w:pPr>
          </w:p>
        </w:tc>
      </w:tr>
      <w:tr w:rsidR="00BC33BB" w:rsidRPr="00BC33BB" w14:paraId="7ED18B28" w14:textId="77777777" w:rsidTr="004F5282">
        <w:trPr>
          <w:trHeight w:hRule="exact" w:val="230"/>
        </w:trPr>
        <w:tc>
          <w:tcPr>
            <w:tcW w:w="6120" w:type="dxa"/>
            <w:gridSpan w:val="3"/>
          </w:tcPr>
          <w:p w14:paraId="78A1C379" w14:textId="77777777" w:rsidR="00BC33BB" w:rsidRPr="00BC33BB" w:rsidRDefault="00BC33BB" w:rsidP="00BC33BB">
            <w:pPr>
              <w:rPr>
                <w:snapToGrid w:val="0"/>
                <w:color w:val="000000"/>
                <w:sz w:val="20"/>
                <w:szCs w:val="20"/>
              </w:rPr>
            </w:pPr>
            <w:bookmarkStart w:id="69" w:name="_Hlk34051954"/>
            <w:r w:rsidRPr="00BC33BB">
              <w:rPr>
                <w:snapToGrid w:val="0"/>
                <w:color w:val="000000"/>
                <w:sz w:val="20"/>
                <w:szCs w:val="20"/>
              </w:rPr>
              <w:t>Operating expenses:</w:t>
            </w:r>
          </w:p>
        </w:tc>
        <w:tc>
          <w:tcPr>
            <w:tcW w:w="90" w:type="dxa"/>
          </w:tcPr>
          <w:p w14:paraId="70D4EDB1" w14:textId="77777777" w:rsidR="00BC33BB" w:rsidRPr="00BC33BB" w:rsidRDefault="00BC33BB" w:rsidP="00BC33BB">
            <w:pPr>
              <w:jc w:val="right"/>
              <w:rPr>
                <w:snapToGrid w:val="0"/>
                <w:color w:val="000000"/>
                <w:sz w:val="20"/>
                <w:szCs w:val="20"/>
              </w:rPr>
            </w:pPr>
          </w:p>
        </w:tc>
        <w:tc>
          <w:tcPr>
            <w:tcW w:w="1710" w:type="dxa"/>
          </w:tcPr>
          <w:p w14:paraId="33AF9F81" w14:textId="77777777" w:rsidR="00BC33BB" w:rsidRPr="00BC33BB" w:rsidRDefault="00BC33BB" w:rsidP="00BC33BB">
            <w:pPr>
              <w:jc w:val="right"/>
              <w:rPr>
                <w:snapToGrid w:val="0"/>
                <w:color w:val="000000"/>
                <w:sz w:val="20"/>
                <w:szCs w:val="20"/>
              </w:rPr>
            </w:pPr>
          </w:p>
        </w:tc>
        <w:tc>
          <w:tcPr>
            <w:tcW w:w="270" w:type="dxa"/>
          </w:tcPr>
          <w:p w14:paraId="7386E99B" w14:textId="77777777" w:rsidR="00BC33BB" w:rsidRPr="00BC33BB" w:rsidRDefault="00BC33BB" w:rsidP="00BC33BB">
            <w:pPr>
              <w:jc w:val="right"/>
              <w:rPr>
                <w:snapToGrid w:val="0"/>
                <w:color w:val="000000"/>
                <w:sz w:val="20"/>
                <w:szCs w:val="20"/>
              </w:rPr>
            </w:pPr>
          </w:p>
        </w:tc>
        <w:tc>
          <w:tcPr>
            <w:tcW w:w="1890" w:type="dxa"/>
          </w:tcPr>
          <w:p w14:paraId="19BCE608" w14:textId="77777777" w:rsidR="00BC33BB" w:rsidRPr="00BC33BB" w:rsidRDefault="00BC33BB" w:rsidP="00BC33BB">
            <w:pPr>
              <w:jc w:val="right"/>
              <w:rPr>
                <w:snapToGrid w:val="0"/>
                <w:color w:val="000000"/>
                <w:sz w:val="20"/>
                <w:szCs w:val="20"/>
              </w:rPr>
            </w:pPr>
          </w:p>
        </w:tc>
      </w:tr>
      <w:tr w:rsidR="00BC33BB" w:rsidRPr="00BC33BB" w14:paraId="7A72D5E1" w14:textId="77777777" w:rsidTr="004F5282">
        <w:trPr>
          <w:trHeight w:hRule="exact" w:val="230"/>
        </w:trPr>
        <w:tc>
          <w:tcPr>
            <w:tcW w:w="305" w:type="dxa"/>
          </w:tcPr>
          <w:p w14:paraId="47D47DF5" w14:textId="77777777" w:rsidR="00BC33BB" w:rsidRPr="00BC33BB" w:rsidRDefault="00BC33BB" w:rsidP="00BC33BB">
            <w:pPr>
              <w:rPr>
                <w:snapToGrid w:val="0"/>
                <w:color w:val="000000"/>
                <w:sz w:val="20"/>
                <w:szCs w:val="20"/>
              </w:rPr>
            </w:pPr>
            <w:bookmarkStart w:id="70" w:name="_Hlk34051658"/>
          </w:p>
        </w:tc>
        <w:tc>
          <w:tcPr>
            <w:tcW w:w="5815" w:type="dxa"/>
            <w:gridSpan w:val="2"/>
          </w:tcPr>
          <w:p w14:paraId="3DF106BB" w14:textId="77777777" w:rsidR="00BC33BB" w:rsidRPr="00BC33BB" w:rsidRDefault="00BC33BB" w:rsidP="00BC33BB">
            <w:pPr>
              <w:rPr>
                <w:b/>
                <w:snapToGrid w:val="0"/>
                <w:color w:val="000000"/>
                <w:sz w:val="20"/>
                <w:szCs w:val="20"/>
              </w:rPr>
            </w:pPr>
            <w:r w:rsidRPr="00BC33BB">
              <w:rPr>
                <w:snapToGrid w:val="0"/>
                <w:color w:val="000000"/>
                <w:sz w:val="20"/>
                <w:szCs w:val="20"/>
              </w:rPr>
              <w:t>Research and development</w:t>
            </w:r>
          </w:p>
        </w:tc>
        <w:tc>
          <w:tcPr>
            <w:tcW w:w="90" w:type="dxa"/>
          </w:tcPr>
          <w:p w14:paraId="629C0EE5" w14:textId="77777777" w:rsidR="00BC33BB" w:rsidRPr="00BC33BB" w:rsidRDefault="00BC33BB" w:rsidP="00BC33BB">
            <w:pPr>
              <w:jc w:val="right"/>
              <w:rPr>
                <w:snapToGrid w:val="0"/>
                <w:color w:val="000000"/>
                <w:sz w:val="20"/>
                <w:szCs w:val="20"/>
              </w:rPr>
            </w:pPr>
          </w:p>
        </w:tc>
        <w:tc>
          <w:tcPr>
            <w:tcW w:w="1710" w:type="dxa"/>
          </w:tcPr>
          <w:p w14:paraId="17F454AA" w14:textId="77777777" w:rsidR="00BC33BB" w:rsidRPr="00BC33BB" w:rsidRDefault="00BC33BB" w:rsidP="00BC33BB">
            <w:pPr>
              <w:tabs>
                <w:tab w:val="left" w:pos="115"/>
                <w:tab w:val="decimal" w:pos="1320"/>
              </w:tabs>
              <w:rPr>
                <w:snapToGrid w:val="0"/>
                <w:color w:val="000000"/>
                <w:sz w:val="20"/>
                <w:szCs w:val="20"/>
              </w:rPr>
            </w:pPr>
            <w:r w:rsidRPr="00BC33BB">
              <w:rPr>
                <w:snapToGrid w:val="0"/>
                <w:color w:val="000000"/>
                <w:sz w:val="20"/>
                <w:szCs w:val="20"/>
              </w:rPr>
              <w:tab/>
            </w:r>
            <w:r w:rsidRPr="00BC33BB">
              <w:rPr>
                <w:snapToGrid w:val="0"/>
                <w:color w:val="000000"/>
                <w:sz w:val="20"/>
                <w:szCs w:val="20"/>
              </w:rPr>
              <w:tab/>
              <w:t>15,554,171</w:t>
            </w:r>
          </w:p>
        </w:tc>
        <w:tc>
          <w:tcPr>
            <w:tcW w:w="270" w:type="dxa"/>
          </w:tcPr>
          <w:p w14:paraId="1360BFB3" w14:textId="77777777" w:rsidR="00BC33BB" w:rsidRPr="00BC33BB" w:rsidRDefault="00BC33BB" w:rsidP="00BC33BB">
            <w:pPr>
              <w:jc w:val="right"/>
              <w:rPr>
                <w:snapToGrid w:val="0"/>
                <w:color w:val="000000"/>
                <w:sz w:val="20"/>
                <w:szCs w:val="20"/>
              </w:rPr>
            </w:pPr>
          </w:p>
        </w:tc>
        <w:tc>
          <w:tcPr>
            <w:tcW w:w="1890" w:type="dxa"/>
          </w:tcPr>
          <w:p w14:paraId="01A6E383" w14:textId="77777777" w:rsidR="00BC33BB" w:rsidRPr="00BC33BB" w:rsidRDefault="00BC33BB" w:rsidP="00BC33BB">
            <w:pPr>
              <w:tabs>
                <w:tab w:val="left" w:pos="115"/>
                <w:tab w:val="decimal" w:pos="1500"/>
              </w:tabs>
              <w:rPr>
                <w:snapToGrid w:val="0"/>
                <w:color w:val="000000"/>
                <w:sz w:val="20"/>
                <w:szCs w:val="20"/>
              </w:rPr>
            </w:pPr>
            <w:r w:rsidRPr="00BC33BB">
              <w:rPr>
                <w:snapToGrid w:val="0"/>
                <w:color w:val="000000"/>
                <w:sz w:val="20"/>
                <w:szCs w:val="20"/>
              </w:rPr>
              <w:tab/>
            </w:r>
            <w:r w:rsidRPr="00BC33BB">
              <w:rPr>
                <w:snapToGrid w:val="0"/>
                <w:color w:val="000000"/>
                <w:sz w:val="20"/>
                <w:szCs w:val="20"/>
              </w:rPr>
              <w:tab/>
              <w:t>2,444,459</w:t>
            </w:r>
          </w:p>
        </w:tc>
      </w:tr>
      <w:bookmarkEnd w:id="70"/>
      <w:tr w:rsidR="00BC33BB" w:rsidRPr="00BC33BB" w14:paraId="52C42939" w14:textId="77777777" w:rsidTr="004F5282">
        <w:trPr>
          <w:trHeight w:hRule="exact" w:val="230"/>
        </w:trPr>
        <w:tc>
          <w:tcPr>
            <w:tcW w:w="305" w:type="dxa"/>
          </w:tcPr>
          <w:p w14:paraId="228408E9" w14:textId="77777777" w:rsidR="00BC33BB" w:rsidRPr="00BC33BB" w:rsidRDefault="00BC33BB" w:rsidP="00BC33BB">
            <w:pPr>
              <w:jc w:val="right"/>
              <w:rPr>
                <w:snapToGrid w:val="0"/>
                <w:color w:val="000000"/>
                <w:sz w:val="20"/>
                <w:szCs w:val="20"/>
              </w:rPr>
            </w:pPr>
          </w:p>
        </w:tc>
        <w:tc>
          <w:tcPr>
            <w:tcW w:w="5815" w:type="dxa"/>
            <w:gridSpan w:val="2"/>
          </w:tcPr>
          <w:p w14:paraId="3E568E83" w14:textId="77777777" w:rsidR="00BC33BB" w:rsidRPr="00BC33BB" w:rsidRDefault="00BC33BB" w:rsidP="00BC33BB">
            <w:pPr>
              <w:rPr>
                <w:snapToGrid w:val="0"/>
                <w:color w:val="000000"/>
                <w:sz w:val="20"/>
                <w:szCs w:val="20"/>
              </w:rPr>
            </w:pPr>
            <w:r w:rsidRPr="00BC33BB">
              <w:rPr>
                <w:snapToGrid w:val="0"/>
                <w:color w:val="000000"/>
                <w:sz w:val="20"/>
                <w:szCs w:val="20"/>
              </w:rPr>
              <w:t>General and administrative</w:t>
            </w:r>
          </w:p>
        </w:tc>
        <w:tc>
          <w:tcPr>
            <w:tcW w:w="90" w:type="dxa"/>
          </w:tcPr>
          <w:p w14:paraId="19A61674" w14:textId="77777777" w:rsidR="00BC33BB" w:rsidRPr="00BC33BB" w:rsidRDefault="00BC33BB" w:rsidP="00BC33BB">
            <w:pPr>
              <w:jc w:val="right"/>
              <w:rPr>
                <w:snapToGrid w:val="0"/>
                <w:color w:val="000000"/>
                <w:sz w:val="20"/>
                <w:szCs w:val="20"/>
              </w:rPr>
            </w:pPr>
          </w:p>
        </w:tc>
        <w:tc>
          <w:tcPr>
            <w:tcW w:w="1710" w:type="dxa"/>
            <w:tcBorders>
              <w:bottom w:val="single" w:sz="4" w:space="0" w:color="auto"/>
            </w:tcBorders>
          </w:tcPr>
          <w:p w14:paraId="13B811F9"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3,577,153</w:t>
            </w:r>
          </w:p>
        </w:tc>
        <w:tc>
          <w:tcPr>
            <w:tcW w:w="270" w:type="dxa"/>
          </w:tcPr>
          <w:p w14:paraId="179628EB" w14:textId="77777777" w:rsidR="00BC33BB" w:rsidRPr="00BC33BB" w:rsidRDefault="00BC33BB" w:rsidP="00BC33BB">
            <w:pPr>
              <w:jc w:val="right"/>
              <w:rPr>
                <w:snapToGrid w:val="0"/>
                <w:color w:val="000000"/>
                <w:sz w:val="20"/>
                <w:szCs w:val="20"/>
              </w:rPr>
            </w:pPr>
          </w:p>
        </w:tc>
        <w:tc>
          <w:tcPr>
            <w:tcW w:w="1890" w:type="dxa"/>
            <w:tcBorders>
              <w:bottom w:val="single" w:sz="4" w:space="0" w:color="auto"/>
            </w:tcBorders>
          </w:tcPr>
          <w:p w14:paraId="76AC8055"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2,196,014</w:t>
            </w:r>
          </w:p>
        </w:tc>
      </w:tr>
      <w:tr w:rsidR="00BC33BB" w:rsidRPr="00BC33BB" w14:paraId="5D550AAF" w14:textId="77777777" w:rsidTr="004F5282">
        <w:trPr>
          <w:trHeight w:hRule="exact" w:val="230"/>
        </w:trPr>
        <w:tc>
          <w:tcPr>
            <w:tcW w:w="305" w:type="dxa"/>
          </w:tcPr>
          <w:p w14:paraId="4A6E62B9" w14:textId="77777777" w:rsidR="00BC33BB" w:rsidRPr="00BC33BB" w:rsidRDefault="00BC33BB" w:rsidP="00BC33BB">
            <w:pPr>
              <w:jc w:val="right"/>
              <w:rPr>
                <w:snapToGrid w:val="0"/>
                <w:color w:val="000000"/>
                <w:sz w:val="20"/>
                <w:szCs w:val="20"/>
              </w:rPr>
            </w:pPr>
          </w:p>
        </w:tc>
        <w:tc>
          <w:tcPr>
            <w:tcW w:w="5815" w:type="dxa"/>
            <w:gridSpan w:val="2"/>
          </w:tcPr>
          <w:p w14:paraId="07CE2615" w14:textId="77777777" w:rsidR="00BC33BB" w:rsidRPr="00BC33BB" w:rsidRDefault="00BC33BB" w:rsidP="00BC33BB">
            <w:pPr>
              <w:rPr>
                <w:b/>
                <w:snapToGrid w:val="0"/>
                <w:color w:val="000000"/>
                <w:sz w:val="20"/>
                <w:szCs w:val="20"/>
              </w:rPr>
            </w:pPr>
            <w:r w:rsidRPr="00BC33BB">
              <w:rPr>
                <w:snapToGrid w:val="0"/>
                <w:color w:val="000000"/>
                <w:sz w:val="20"/>
                <w:szCs w:val="20"/>
              </w:rPr>
              <w:t>Total operating expenses</w:t>
            </w:r>
          </w:p>
        </w:tc>
        <w:tc>
          <w:tcPr>
            <w:tcW w:w="90" w:type="dxa"/>
          </w:tcPr>
          <w:p w14:paraId="0A97A310" w14:textId="77777777" w:rsidR="00BC33BB" w:rsidRPr="00BC33BB" w:rsidRDefault="00BC33BB" w:rsidP="00BC33BB">
            <w:pPr>
              <w:jc w:val="right"/>
              <w:rPr>
                <w:snapToGrid w:val="0"/>
                <w:color w:val="000000"/>
                <w:sz w:val="20"/>
                <w:szCs w:val="20"/>
              </w:rPr>
            </w:pPr>
          </w:p>
        </w:tc>
        <w:tc>
          <w:tcPr>
            <w:tcW w:w="1710" w:type="dxa"/>
            <w:tcBorders>
              <w:top w:val="single" w:sz="4" w:space="0" w:color="auto"/>
              <w:bottom w:val="single" w:sz="4" w:space="0" w:color="auto"/>
            </w:tcBorders>
          </w:tcPr>
          <w:p w14:paraId="76574F76"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19,131,324</w:t>
            </w:r>
          </w:p>
        </w:tc>
        <w:tc>
          <w:tcPr>
            <w:tcW w:w="270" w:type="dxa"/>
          </w:tcPr>
          <w:p w14:paraId="0E9059FB" w14:textId="77777777" w:rsidR="00BC33BB" w:rsidRPr="00BC33BB" w:rsidRDefault="00BC33BB" w:rsidP="00BC33BB">
            <w:pPr>
              <w:jc w:val="right"/>
              <w:rPr>
                <w:snapToGrid w:val="0"/>
                <w:color w:val="000000"/>
                <w:sz w:val="20"/>
                <w:szCs w:val="20"/>
              </w:rPr>
            </w:pPr>
          </w:p>
        </w:tc>
        <w:tc>
          <w:tcPr>
            <w:tcW w:w="1890" w:type="dxa"/>
            <w:tcBorders>
              <w:top w:val="single" w:sz="4" w:space="0" w:color="auto"/>
              <w:bottom w:val="single" w:sz="4" w:space="0" w:color="auto"/>
            </w:tcBorders>
          </w:tcPr>
          <w:p w14:paraId="52D8AC41"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4,640,473</w:t>
            </w:r>
          </w:p>
        </w:tc>
      </w:tr>
      <w:bookmarkEnd w:id="69"/>
      <w:tr w:rsidR="00BC33BB" w:rsidRPr="00BC33BB" w14:paraId="33B85C81" w14:textId="77777777" w:rsidTr="004F5282">
        <w:trPr>
          <w:trHeight w:hRule="exact" w:val="230"/>
        </w:trPr>
        <w:tc>
          <w:tcPr>
            <w:tcW w:w="6120" w:type="dxa"/>
            <w:gridSpan w:val="3"/>
          </w:tcPr>
          <w:p w14:paraId="2287C9F2" w14:textId="77777777" w:rsidR="00BC33BB" w:rsidRPr="00BC33BB" w:rsidRDefault="00BC33BB" w:rsidP="00BC33BB">
            <w:pPr>
              <w:rPr>
                <w:snapToGrid w:val="0"/>
                <w:color w:val="000000"/>
                <w:sz w:val="20"/>
                <w:szCs w:val="20"/>
              </w:rPr>
            </w:pPr>
          </w:p>
        </w:tc>
        <w:tc>
          <w:tcPr>
            <w:tcW w:w="90" w:type="dxa"/>
          </w:tcPr>
          <w:p w14:paraId="4E5B11BE" w14:textId="77777777" w:rsidR="00BC33BB" w:rsidRPr="00BC33BB" w:rsidRDefault="00BC33BB" w:rsidP="00BC33BB">
            <w:pPr>
              <w:jc w:val="right"/>
              <w:rPr>
                <w:snapToGrid w:val="0"/>
                <w:color w:val="000000"/>
                <w:sz w:val="20"/>
                <w:szCs w:val="20"/>
              </w:rPr>
            </w:pPr>
          </w:p>
        </w:tc>
        <w:tc>
          <w:tcPr>
            <w:tcW w:w="1710" w:type="dxa"/>
            <w:tcBorders>
              <w:top w:val="single" w:sz="4" w:space="0" w:color="auto"/>
            </w:tcBorders>
          </w:tcPr>
          <w:p w14:paraId="16C49525" w14:textId="77777777" w:rsidR="00BC33BB" w:rsidRPr="00BC33BB" w:rsidRDefault="00BC33BB" w:rsidP="00BC33BB">
            <w:pPr>
              <w:tabs>
                <w:tab w:val="decimal" w:pos="1320"/>
              </w:tabs>
              <w:rPr>
                <w:snapToGrid w:val="0"/>
                <w:color w:val="000000"/>
                <w:sz w:val="20"/>
                <w:szCs w:val="20"/>
              </w:rPr>
            </w:pPr>
          </w:p>
        </w:tc>
        <w:tc>
          <w:tcPr>
            <w:tcW w:w="270" w:type="dxa"/>
          </w:tcPr>
          <w:p w14:paraId="0E9A6E3B" w14:textId="77777777" w:rsidR="00BC33BB" w:rsidRPr="00BC33BB" w:rsidRDefault="00BC33BB" w:rsidP="00BC33BB">
            <w:pPr>
              <w:jc w:val="center"/>
              <w:rPr>
                <w:snapToGrid w:val="0"/>
                <w:color w:val="000000"/>
                <w:sz w:val="20"/>
                <w:szCs w:val="20"/>
              </w:rPr>
            </w:pPr>
          </w:p>
        </w:tc>
        <w:tc>
          <w:tcPr>
            <w:tcW w:w="1890" w:type="dxa"/>
            <w:tcBorders>
              <w:top w:val="single" w:sz="4" w:space="0" w:color="auto"/>
            </w:tcBorders>
          </w:tcPr>
          <w:p w14:paraId="55839357" w14:textId="77777777" w:rsidR="00BC33BB" w:rsidRPr="00BC33BB" w:rsidRDefault="00BC33BB" w:rsidP="00BC33BB">
            <w:pPr>
              <w:tabs>
                <w:tab w:val="decimal" w:pos="1500"/>
              </w:tabs>
              <w:rPr>
                <w:snapToGrid w:val="0"/>
                <w:color w:val="000000"/>
                <w:sz w:val="20"/>
                <w:szCs w:val="20"/>
              </w:rPr>
            </w:pPr>
          </w:p>
        </w:tc>
      </w:tr>
      <w:tr w:rsidR="00BC33BB" w:rsidRPr="00BC33BB" w14:paraId="5911D2AD" w14:textId="77777777" w:rsidTr="004F5282">
        <w:trPr>
          <w:trHeight w:hRule="exact" w:val="230"/>
        </w:trPr>
        <w:tc>
          <w:tcPr>
            <w:tcW w:w="6120" w:type="dxa"/>
            <w:gridSpan w:val="3"/>
          </w:tcPr>
          <w:p w14:paraId="42C189EB" w14:textId="77777777" w:rsidR="00BC33BB" w:rsidRPr="00BC33BB" w:rsidRDefault="00BC33BB" w:rsidP="00BC33BB">
            <w:pPr>
              <w:rPr>
                <w:b/>
                <w:snapToGrid w:val="0"/>
                <w:color w:val="000000"/>
                <w:sz w:val="20"/>
                <w:szCs w:val="20"/>
              </w:rPr>
            </w:pPr>
            <w:r w:rsidRPr="00BC33BB">
              <w:rPr>
                <w:snapToGrid w:val="0"/>
                <w:color w:val="000000"/>
                <w:sz w:val="20"/>
                <w:szCs w:val="20"/>
              </w:rPr>
              <w:t>Loss from operations</w:t>
            </w:r>
          </w:p>
        </w:tc>
        <w:tc>
          <w:tcPr>
            <w:tcW w:w="90" w:type="dxa"/>
          </w:tcPr>
          <w:p w14:paraId="15D4DA09" w14:textId="77777777" w:rsidR="00BC33BB" w:rsidRPr="00BC33BB" w:rsidRDefault="00BC33BB" w:rsidP="00BC33BB">
            <w:pPr>
              <w:jc w:val="right"/>
              <w:rPr>
                <w:snapToGrid w:val="0"/>
                <w:color w:val="000000"/>
                <w:sz w:val="20"/>
                <w:szCs w:val="20"/>
              </w:rPr>
            </w:pPr>
          </w:p>
        </w:tc>
        <w:tc>
          <w:tcPr>
            <w:tcW w:w="1710" w:type="dxa"/>
          </w:tcPr>
          <w:p w14:paraId="21BD40B2"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(18,745,823)</w:t>
            </w:r>
          </w:p>
        </w:tc>
        <w:tc>
          <w:tcPr>
            <w:tcW w:w="270" w:type="dxa"/>
          </w:tcPr>
          <w:p w14:paraId="7467B3B1" w14:textId="77777777" w:rsidR="00BC33BB" w:rsidRPr="00BC33BB" w:rsidRDefault="00BC33BB" w:rsidP="00BC33BB">
            <w:pPr>
              <w:jc w:val="right"/>
              <w:rPr>
                <w:snapToGrid w:val="0"/>
                <w:color w:val="000000"/>
                <w:sz w:val="20"/>
                <w:szCs w:val="20"/>
              </w:rPr>
            </w:pPr>
          </w:p>
        </w:tc>
        <w:tc>
          <w:tcPr>
            <w:tcW w:w="1890" w:type="dxa"/>
          </w:tcPr>
          <w:p w14:paraId="496594FF"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(2,816,815)</w:t>
            </w:r>
          </w:p>
        </w:tc>
      </w:tr>
      <w:tr w:rsidR="00BC33BB" w:rsidRPr="00BC33BB" w14:paraId="6E5D2099" w14:textId="77777777" w:rsidTr="004F5282">
        <w:trPr>
          <w:trHeight w:hRule="exact" w:val="230"/>
        </w:trPr>
        <w:tc>
          <w:tcPr>
            <w:tcW w:w="6120" w:type="dxa"/>
            <w:gridSpan w:val="3"/>
          </w:tcPr>
          <w:p w14:paraId="1BCC2119" w14:textId="77777777" w:rsidR="00BC33BB" w:rsidRPr="00BC33BB" w:rsidRDefault="00BC33BB" w:rsidP="00BC33BB">
            <w:pPr>
              <w:rPr>
                <w:snapToGrid w:val="0"/>
                <w:color w:val="000000"/>
                <w:sz w:val="20"/>
                <w:szCs w:val="20"/>
              </w:rPr>
            </w:pPr>
          </w:p>
        </w:tc>
        <w:tc>
          <w:tcPr>
            <w:tcW w:w="90" w:type="dxa"/>
          </w:tcPr>
          <w:p w14:paraId="011E854B" w14:textId="77777777" w:rsidR="00BC33BB" w:rsidRPr="00BC33BB" w:rsidRDefault="00BC33BB" w:rsidP="00BC33BB">
            <w:pPr>
              <w:jc w:val="right"/>
              <w:rPr>
                <w:snapToGrid w:val="0"/>
                <w:color w:val="000000"/>
                <w:sz w:val="20"/>
                <w:szCs w:val="20"/>
              </w:rPr>
            </w:pPr>
          </w:p>
        </w:tc>
        <w:tc>
          <w:tcPr>
            <w:tcW w:w="1710" w:type="dxa"/>
          </w:tcPr>
          <w:p w14:paraId="0AEC2D1F" w14:textId="77777777" w:rsidR="00BC33BB" w:rsidRPr="00BC33BB" w:rsidRDefault="00BC33BB" w:rsidP="00BC33BB">
            <w:pPr>
              <w:tabs>
                <w:tab w:val="decimal" w:pos="1320"/>
              </w:tabs>
              <w:rPr>
                <w:snapToGrid w:val="0"/>
                <w:color w:val="000000"/>
                <w:sz w:val="20"/>
                <w:szCs w:val="20"/>
              </w:rPr>
            </w:pPr>
          </w:p>
        </w:tc>
        <w:tc>
          <w:tcPr>
            <w:tcW w:w="270" w:type="dxa"/>
          </w:tcPr>
          <w:p w14:paraId="218BAB72" w14:textId="77777777" w:rsidR="00BC33BB" w:rsidRPr="00BC33BB" w:rsidRDefault="00BC33BB" w:rsidP="00BC33BB">
            <w:pPr>
              <w:jc w:val="right"/>
              <w:rPr>
                <w:snapToGrid w:val="0"/>
                <w:color w:val="000000"/>
                <w:sz w:val="20"/>
                <w:szCs w:val="20"/>
              </w:rPr>
            </w:pPr>
          </w:p>
        </w:tc>
        <w:tc>
          <w:tcPr>
            <w:tcW w:w="1890" w:type="dxa"/>
          </w:tcPr>
          <w:p w14:paraId="063D07B3" w14:textId="77777777" w:rsidR="00BC33BB" w:rsidRPr="00BC33BB" w:rsidRDefault="00BC33BB" w:rsidP="00BC33BB">
            <w:pPr>
              <w:tabs>
                <w:tab w:val="decimal" w:pos="1500"/>
              </w:tabs>
              <w:rPr>
                <w:snapToGrid w:val="0"/>
                <w:color w:val="000000"/>
                <w:sz w:val="20"/>
                <w:szCs w:val="20"/>
              </w:rPr>
            </w:pPr>
          </w:p>
        </w:tc>
      </w:tr>
      <w:tr w:rsidR="00BC33BB" w:rsidRPr="00BC33BB" w14:paraId="594D38A6" w14:textId="77777777" w:rsidTr="004F5282">
        <w:trPr>
          <w:trHeight w:hRule="exact" w:val="230"/>
        </w:trPr>
        <w:tc>
          <w:tcPr>
            <w:tcW w:w="6120" w:type="dxa"/>
            <w:gridSpan w:val="3"/>
          </w:tcPr>
          <w:p w14:paraId="05B8897B" w14:textId="77777777" w:rsidR="00BC33BB" w:rsidRPr="00BC33BB" w:rsidRDefault="00BC33BB" w:rsidP="00BC33BB">
            <w:pPr>
              <w:rPr>
                <w:snapToGrid w:val="0"/>
                <w:color w:val="000000"/>
                <w:sz w:val="20"/>
                <w:szCs w:val="20"/>
              </w:rPr>
            </w:pPr>
            <w:r w:rsidRPr="00BC33BB">
              <w:rPr>
                <w:snapToGrid w:val="0"/>
                <w:color w:val="000000"/>
                <w:sz w:val="20"/>
                <w:szCs w:val="20"/>
              </w:rPr>
              <w:t>Other income (expense):</w:t>
            </w:r>
          </w:p>
        </w:tc>
        <w:tc>
          <w:tcPr>
            <w:tcW w:w="90" w:type="dxa"/>
          </w:tcPr>
          <w:p w14:paraId="137EE12B" w14:textId="77777777" w:rsidR="00BC33BB" w:rsidRPr="00BC33BB" w:rsidRDefault="00BC33BB" w:rsidP="00BC33BB">
            <w:pPr>
              <w:jc w:val="right"/>
              <w:rPr>
                <w:snapToGrid w:val="0"/>
                <w:color w:val="000000"/>
                <w:sz w:val="20"/>
                <w:szCs w:val="20"/>
              </w:rPr>
            </w:pPr>
          </w:p>
        </w:tc>
        <w:tc>
          <w:tcPr>
            <w:tcW w:w="1710" w:type="dxa"/>
          </w:tcPr>
          <w:p w14:paraId="0590EBEB" w14:textId="77777777" w:rsidR="00BC33BB" w:rsidRPr="00BC33BB" w:rsidRDefault="00BC33BB" w:rsidP="00BC33BB">
            <w:pPr>
              <w:jc w:val="right"/>
              <w:rPr>
                <w:snapToGrid w:val="0"/>
                <w:color w:val="000000"/>
                <w:sz w:val="20"/>
                <w:szCs w:val="20"/>
              </w:rPr>
            </w:pPr>
          </w:p>
        </w:tc>
        <w:tc>
          <w:tcPr>
            <w:tcW w:w="270" w:type="dxa"/>
          </w:tcPr>
          <w:p w14:paraId="23B739D0" w14:textId="77777777" w:rsidR="00BC33BB" w:rsidRPr="00BC33BB" w:rsidRDefault="00BC33BB" w:rsidP="00BC33BB">
            <w:pPr>
              <w:jc w:val="right"/>
              <w:rPr>
                <w:snapToGrid w:val="0"/>
                <w:color w:val="000000"/>
                <w:sz w:val="20"/>
                <w:szCs w:val="20"/>
              </w:rPr>
            </w:pPr>
          </w:p>
        </w:tc>
        <w:tc>
          <w:tcPr>
            <w:tcW w:w="1890" w:type="dxa"/>
          </w:tcPr>
          <w:p w14:paraId="4731B72E" w14:textId="77777777" w:rsidR="00BC33BB" w:rsidRPr="00BC33BB" w:rsidRDefault="00BC33BB" w:rsidP="00BC33BB">
            <w:pPr>
              <w:jc w:val="right"/>
              <w:rPr>
                <w:snapToGrid w:val="0"/>
                <w:color w:val="000000"/>
                <w:sz w:val="20"/>
                <w:szCs w:val="20"/>
              </w:rPr>
            </w:pPr>
          </w:p>
        </w:tc>
      </w:tr>
      <w:tr w:rsidR="00BC33BB" w:rsidRPr="00BC33BB" w14:paraId="50A28C16" w14:textId="77777777" w:rsidTr="004F5282">
        <w:trPr>
          <w:trHeight w:hRule="exact" w:val="230"/>
        </w:trPr>
        <w:tc>
          <w:tcPr>
            <w:tcW w:w="305" w:type="dxa"/>
          </w:tcPr>
          <w:p w14:paraId="02832973" w14:textId="77777777" w:rsidR="00BC33BB" w:rsidRPr="00BC33BB" w:rsidRDefault="00BC33BB" w:rsidP="00BC33BB">
            <w:pPr>
              <w:rPr>
                <w:snapToGrid w:val="0"/>
                <w:color w:val="000000"/>
                <w:sz w:val="20"/>
                <w:szCs w:val="20"/>
              </w:rPr>
            </w:pPr>
          </w:p>
        </w:tc>
        <w:tc>
          <w:tcPr>
            <w:tcW w:w="5815" w:type="dxa"/>
            <w:gridSpan w:val="2"/>
          </w:tcPr>
          <w:p w14:paraId="7CD9DEE4" w14:textId="77777777" w:rsidR="00BC33BB" w:rsidRPr="00BC33BB" w:rsidRDefault="00BC33BB" w:rsidP="00BC33BB">
            <w:pPr>
              <w:rPr>
                <w:b/>
                <w:snapToGrid w:val="0"/>
                <w:color w:val="000000"/>
                <w:sz w:val="20"/>
                <w:szCs w:val="20"/>
              </w:rPr>
            </w:pPr>
            <w:r w:rsidRPr="00BC33BB">
              <w:rPr>
                <w:snapToGrid w:val="0"/>
                <w:color w:val="000000"/>
                <w:sz w:val="20"/>
                <w:szCs w:val="20"/>
              </w:rPr>
              <w:t>Interest income</w:t>
            </w:r>
          </w:p>
        </w:tc>
        <w:tc>
          <w:tcPr>
            <w:tcW w:w="90" w:type="dxa"/>
          </w:tcPr>
          <w:p w14:paraId="4D48C0EC" w14:textId="77777777" w:rsidR="00BC33BB" w:rsidRPr="00BC33BB" w:rsidRDefault="00BC33BB" w:rsidP="00BC33BB">
            <w:pPr>
              <w:jc w:val="right"/>
              <w:rPr>
                <w:snapToGrid w:val="0"/>
                <w:color w:val="000000"/>
                <w:sz w:val="20"/>
                <w:szCs w:val="20"/>
              </w:rPr>
            </w:pPr>
          </w:p>
        </w:tc>
        <w:tc>
          <w:tcPr>
            <w:tcW w:w="1710" w:type="dxa"/>
          </w:tcPr>
          <w:p w14:paraId="7B1E0475" w14:textId="77777777" w:rsidR="00BC33BB" w:rsidRPr="00BC33BB" w:rsidRDefault="00BC33BB" w:rsidP="00BC33BB">
            <w:pPr>
              <w:tabs>
                <w:tab w:val="left" w:pos="115"/>
                <w:tab w:val="decimal" w:pos="1320"/>
              </w:tabs>
              <w:rPr>
                <w:snapToGrid w:val="0"/>
                <w:color w:val="000000"/>
                <w:sz w:val="20"/>
                <w:szCs w:val="20"/>
              </w:rPr>
            </w:pPr>
            <w:r w:rsidRPr="00BC33BB">
              <w:rPr>
                <w:snapToGrid w:val="0"/>
                <w:color w:val="000000"/>
                <w:sz w:val="20"/>
                <w:szCs w:val="20"/>
              </w:rPr>
              <w:tab/>
            </w:r>
            <w:r w:rsidRPr="00BC33BB">
              <w:rPr>
                <w:snapToGrid w:val="0"/>
                <w:color w:val="000000"/>
                <w:sz w:val="20"/>
                <w:szCs w:val="20"/>
              </w:rPr>
              <w:tab/>
              <w:t>4,736</w:t>
            </w:r>
          </w:p>
        </w:tc>
        <w:tc>
          <w:tcPr>
            <w:tcW w:w="270" w:type="dxa"/>
          </w:tcPr>
          <w:p w14:paraId="499DFDD4" w14:textId="77777777" w:rsidR="00BC33BB" w:rsidRPr="00BC33BB" w:rsidRDefault="00BC33BB" w:rsidP="00BC33BB">
            <w:pPr>
              <w:jc w:val="right"/>
              <w:rPr>
                <w:snapToGrid w:val="0"/>
                <w:color w:val="000000"/>
                <w:sz w:val="20"/>
                <w:szCs w:val="20"/>
              </w:rPr>
            </w:pPr>
          </w:p>
        </w:tc>
        <w:tc>
          <w:tcPr>
            <w:tcW w:w="1890" w:type="dxa"/>
          </w:tcPr>
          <w:p w14:paraId="4D1F9BA3" w14:textId="77777777" w:rsidR="00BC33BB" w:rsidRPr="00BC33BB" w:rsidRDefault="00BC33BB" w:rsidP="00BC33BB">
            <w:pPr>
              <w:tabs>
                <w:tab w:val="left" w:pos="115"/>
                <w:tab w:val="decimal" w:pos="1500"/>
              </w:tabs>
              <w:rPr>
                <w:snapToGrid w:val="0"/>
                <w:color w:val="000000"/>
                <w:sz w:val="20"/>
                <w:szCs w:val="20"/>
              </w:rPr>
            </w:pPr>
            <w:r w:rsidRPr="00BC33BB">
              <w:rPr>
                <w:snapToGrid w:val="0"/>
                <w:color w:val="000000"/>
                <w:sz w:val="20"/>
                <w:szCs w:val="20"/>
              </w:rPr>
              <w:tab/>
            </w:r>
            <w:r w:rsidRPr="00BC33BB">
              <w:rPr>
                <w:snapToGrid w:val="0"/>
                <w:color w:val="000000"/>
                <w:sz w:val="20"/>
                <w:szCs w:val="20"/>
              </w:rPr>
              <w:tab/>
              <w:t>2,271</w:t>
            </w:r>
          </w:p>
        </w:tc>
      </w:tr>
      <w:tr w:rsidR="00BC33BB" w:rsidRPr="00BC33BB" w14:paraId="696FF7C8" w14:textId="77777777" w:rsidTr="004F5282">
        <w:trPr>
          <w:trHeight w:hRule="exact" w:val="230"/>
        </w:trPr>
        <w:tc>
          <w:tcPr>
            <w:tcW w:w="305" w:type="dxa"/>
          </w:tcPr>
          <w:p w14:paraId="06E519F6" w14:textId="77777777" w:rsidR="00BC33BB" w:rsidRPr="00BC33BB" w:rsidRDefault="00BC33BB" w:rsidP="00BC33BB">
            <w:pPr>
              <w:jc w:val="right"/>
              <w:rPr>
                <w:snapToGrid w:val="0"/>
                <w:color w:val="000000"/>
                <w:sz w:val="20"/>
                <w:szCs w:val="20"/>
              </w:rPr>
            </w:pPr>
          </w:p>
        </w:tc>
        <w:tc>
          <w:tcPr>
            <w:tcW w:w="5815" w:type="dxa"/>
            <w:gridSpan w:val="2"/>
          </w:tcPr>
          <w:p w14:paraId="1E21B069" w14:textId="77777777" w:rsidR="00BC33BB" w:rsidRPr="00BC33BB" w:rsidRDefault="00BC33BB" w:rsidP="00BC33BB">
            <w:pPr>
              <w:rPr>
                <w:snapToGrid w:val="0"/>
                <w:color w:val="000000"/>
                <w:sz w:val="20"/>
                <w:szCs w:val="20"/>
              </w:rPr>
            </w:pPr>
            <w:r w:rsidRPr="00BC33BB">
              <w:rPr>
                <w:snapToGrid w:val="0"/>
                <w:color w:val="000000"/>
                <w:sz w:val="20"/>
                <w:szCs w:val="20"/>
              </w:rPr>
              <w:t>Interest expense</w:t>
            </w:r>
          </w:p>
        </w:tc>
        <w:tc>
          <w:tcPr>
            <w:tcW w:w="90" w:type="dxa"/>
          </w:tcPr>
          <w:p w14:paraId="0D796EE9" w14:textId="77777777" w:rsidR="00BC33BB" w:rsidRPr="00BC33BB" w:rsidRDefault="00BC33BB" w:rsidP="00BC33BB">
            <w:pPr>
              <w:jc w:val="right"/>
              <w:rPr>
                <w:snapToGrid w:val="0"/>
                <w:color w:val="000000"/>
                <w:sz w:val="20"/>
                <w:szCs w:val="20"/>
              </w:rPr>
            </w:pPr>
          </w:p>
        </w:tc>
        <w:tc>
          <w:tcPr>
            <w:tcW w:w="1710" w:type="dxa"/>
          </w:tcPr>
          <w:p w14:paraId="06A08E0E"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(1,286)</w:t>
            </w:r>
          </w:p>
        </w:tc>
        <w:tc>
          <w:tcPr>
            <w:tcW w:w="270" w:type="dxa"/>
          </w:tcPr>
          <w:p w14:paraId="58766568" w14:textId="77777777" w:rsidR="00BC33BB" w:rsidRPr="00BC33BB" w:rsidRDefault="00BC33BB" w:rsidP="00BC33BB">
            <w:pPr>
              <w:jc w:val="right"/>
              <w:rPr>
                <w:snapToGrid w:val="0"/>
                <w:color w:val="000000"/>
                <w:sz w:val="20"/>
                <w:szCs w:val="20"/>
              </w:rPr>
            </w:pPr>
          </w:p>
        </w:tc>
        <w:tc>
          <w:tcPr>
            <w:tcW w:w="1890" w:type="dxa"/>
          </w:tcPr>
          <w:p w14:paraId="511D3B12"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(143,524)</w:t>
            </w:r>
          </w:p>
        </w:tc>
      </w:tr>
      <w:tr w:rsidR="00BC33BB" w:rsidRPr="00BC33BB" w14:paraId="376A3639" w14:textId="77777777" w:rsidTr="004F5282">
        <w:trPr>
          <w:trHeight w:hRule="exact" w:val="230"/>
        </w:trPr>
        <w:tc>
          <w:tcPr>
            <w:tcW w:w="305" w:type="dxa"/>
          </w:tcPr>
          <w:p w14:paraId="0781901F" w14:textId="77777777" w:rsidR="00BC33BB" w:rsidRPr="00BC33BB" w:rsidRDefault="00BC33BB" w:rsidP="00BC33BB">
            <w:pPr>
              <w:jc w:val="right"/>
              <w:rPr>
                <w:snapToGrid w:val="0"/>
                <w:color w:val="000000"/>
                <w:sz w:val="20"/>
                <w:szCs w:val="20"/>
              </w:rPr>
            </w:pPr>
          </w:p>
        </w:tc>
        <w:tc>
          <w:tcPr>
            <w:tcW w:w="5815" w:type="dxa"/>
            <w:gridSpan w:val="2"/>
          </w:tcPr>
          <w:p w14:paraId="1082AE49" w14:textId="77777777" w:rsidR="00BC33BB" w:rsidRPr="00BC33BB" w:rsidRDefault="00BC33BB" w:rsidP="00BC33BB">
            <w:pPr>
              <w:rPr>
                <w:snapToGrid w:val="0"/>
                <w:color w:val="000000"/>
                <w:sz w:val="20"/>
                <w:szCs w:val="20"/>
              </w:rPr>
            </w:pPr>
            <w:r w:rsidRPr="00BC33BB">
              <w:rPr>
                <w:snapToGrid w:val="0"/>
                <w:color w:val="000000"/>
                <w:sz w:val="20"/>
                <w:szCs w:val="20"/>
              </w:rPr>
              <w:t>Gain on debt extinguishment</w:t>
            </w:r>
          </w:p>
        </w:tc>
        <w:tc>
          <w:tcPr>
            <w:tcW w:w="90" w:type="dxa"/>
          </w:tcPr>
          <w:p w14:paraId="0064E2C4" w14:textId="77777777" w:rsidR="00BC33BB" w:rsidRPr="00BC33BB" w:rsidRDefault="00BC33BB" w:rsidP="00BC33BB">
            <w:pPr>
              <w:jc w:val="right"/>
              <w:rPr>
                <w:snapToGrid w:val="0"/>
                <w:color w:val="000000"/>
                <w:sz w:val="20"/>
                <w:szCs w:val="20"/>
              </w:rPr>
            </w:pPr>
          </w:p>
        </w:tc>
        <w:tc>
          <w:tcPr>
            <w:tcW w:w="1710" w:type="dxa"/>
            <w:tcBorders>
              <w:bottom w:val="single" w:sz="4" w:space="0" w:color="auto"/>
            </w:tcBorders>
          </w:tcPr>
          <w:p w14:paraId="395C2E2E"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172,056</w:t>
            </w:r>
          </w:p>
        </w:tc>
        <w:tc>
          <w:tcPr>
            <w:tcW w:w="270" w:type="dxa"/>
          </w:tcPr>
          <w:p w14:paraId="20645E4D" w14:textId="77777777" w:rsidR="00BC33BB" w:rsidRPr="00BC33BB" w:rsidRDefault="00BC33BB" w:rsidP="00BC33BB">
            <w:pPr>
              <w:jc w:val="right"/>
              <w:rPr>
                <w:snapToGrid w:val="0"/>
                <w:color w:val="000000"/>
                <w:sz w:val="20"/>
                <w:szCs w:val="20"/>
              </w:rPr>
            </w:pPr>
          </w:p>
        </w:tc>
        <w:tc>
          <w:tcPr>
            <w:tcW w:w="1890" w:type="dxa"/>
            <w:tcBorders>
              <w:bottom w:val="single" w:sz="4" w:space="0" w:color="auto"/>
            </w:tcBorders>
          </w:tcPr>
          <w:p w14:paraId="45826BB1"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w:t>
            </w:r>
          </w:p>
        </w:tc>
      </w:tr>
      <w:tr w:rsidR="00BC33BB" w:rsidRPr="00BC33BB" w14:paraId="19760489" w14:textId="77777777" w:rsidTr="004F5282">
        <w:trPr>
          <w:trHeight w:hRule="exact" w:val="230"/>
        </w:trPr>
        <w:tc>
          <w:tcPr>
            <w:tcW w:w="305" w:type="dxa"/>
          </w:tcPr>
          <w:p w14:paraId="00AF0925" w14:textId="77777777" w:rsidR="00BC33BB" w:rsidRPr="00BC33BB" w:rsidRDefault="00BC33BB" w:rsidP="00BC33BB">
            <w:pPr>
              <w:jc w:val="right"/>
              <w:rPr>
                <w:snapToGrid w:val="0"/>
                <w:color w:val="000000"/>
                <w:sz w:val="20"/>
                <w:szCs w:val="20"/>
              </w:rPr>
            </w:pPr>
          </w:p>
        </w:tc>
        <w:tc>
          <w:tcPr>
            <w:tcW w:w="5815" w:type="dxa"/>
            <w:gridSpan w:val="2"/>
          </w:tcPr>
          <w:p w14:paraId="55FE7B26" w14:textId="77777777" w:rsidR="00BC33BB" w:rsidRPr="00BC33BB" w:rsidRDefault="00BC33BB" w:rsidP="00BC33BB">
            <w:pPr>
              <w:rPr>
                <w:b/>
                <w:snapToGrid w:val="0"/>
                <w:color w:val="000000"/>
                <w:sz w:val="20"/>
                <w:szCs w:val="20"/>
              </w:rPr>
            </w:pPr>
            <w:r w:rsidRPr="00BC33BB">
              <w:rPr>
                <w:snapToGrid w:val="0"/>
                <w:color w:val="000000"/>
                <w:sz w:val="20"/>
                <w:szCs w:val="20"/>
              </w:rPr>
              <w:t>Total other income (expense)</w:t>
            </w:r>
          </w:p>
        </w:tc>
        <w:tc>
          <w:tcPr>
            <w:tcW w:w="90" w:type="dxa"/>
          </w:tcPr>
          <w:p w14:paraId="1EC74F2D" w14:textId="77777777" w:rsidR="00BC33BB" w:rsidRPr="00BC33BB" w:rsidRDefault="00BC33BB" w:rsidP="00BC33BB">
            <w:pPr>
              <w:jc w:val="right"/>
              <w:rPr>
                <w:snapToGrid w:val="0"/>
                <w:color w:val="000000"/>
                <w:sz w:val="20"/>
                <w:szCs w:val="20"/>
              </w:rPr>
            </w:pPr>
          </w:p>
        </w:tc>
        <w:tc>
          <w:tcPr>
            <w:tcW w:w="1710" w:type="dxa"/>
            <w:tcBorders>
              <w:top w:val="single" w:sz="4" w:space="0" w:color="auto"/>
              <w:bottom w:val="single" w:sz="4" w:space="0" w:color="auto"/>
            </w:tcBorders>
          </w:tcPr>
          <w:p w14:paraId="5F3545A4"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175,506</w:t>
            </w:r>
          </w:p>
        </w:tc>
        <w:tc>
          <w:tcPr>
            <w:tcW w:w="270" w:type="dxa"/>
          </w:tcPr>
          <w:p w14:paraId="19BD8BAF" w14:textId="77777777" w:rsidR="00BC33BB" w:rsidRPr="00BC33BB" w:rsidRDefault="00BC33BB" w:rsidP="00BC33BB">
            <w:pPr>
              <w:jc w:val="right"/>
              <w:rPr>
                <w:snapToGrid w:val="0"/>
                <w:color w:val="000000"/>
                <w:sz w:val="20"/>
                <w:szCs w:val="20"/>
              </w:rPr>
            </w:pPr>
          </w:p>
        </w:tc>
        <w:tc>
          <w:tcPr>
            <w:tcW w:w="1890" w:type="dxa"/>
            <w:tcBorders>
              <w:top w:val="single" w:sz="4" w:space="0" w:color="auto"/>
              <w:bottom w:val="single" w:sz="4" w:space="0" w:color="auto"/>
            </w:tcBorders>
          </w:tcPr>
          <w:p w14:paraId="17A469A8"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(141,253)</w:t>
            </w:r>
          </w:p>
        </w:tc>
      </w:tr>
      <w:tr w:rsidR="00BC33BB" w:rsidRPr="00BC33BB" w14:paraId="44C1AEB9" w14:textId="77777777" w:rsidTr="004F5282">
        <w:trPr>
          <w:trHeight w:hRule="exact" w:val="230"/>
        </w:trPr>
        <w:tc>
          <w:tcPr>
            <w:tcW w:w="6120" w:type="dxa"/>
            <w:gridSpan w:val="3"/>
          </w:tcPr>
          <w:p w14:paraId="5F98BF94" w14:textId="77777777" w:rsidR="00BC33BB" w:rsidRPr="00BC33BB" w:rsidRDefault="00BC33BB" w:rsidP="00BC33BB">
            <w:pPr>
              <w:rPr>
                <w:snapToGrid w:val="0"/>
                <w:color w:val="000000"/>
                <w:sz w:val="20"/>
                <w:szCs w:val="20"/>
              </w:rPr>
            </w:pPr>
          </w:p>
        </w:tc>
        <w:tc>
          <w:tcPr>
            <w:tcW w:w="90" w:type="dxa"/>
          </w:tcPr>
          <w:p w14:paraId="01FA795F" w14:textId="77777777" w:rsidR="00BC33BB" w:rsidRPr="00BC33BB" w:rsidRDefault="00BC33BB" w:rsidP="00BC33BB">
            <w:pPr>
              <w:jc w:val="right"/>
              <w:rPr>
                <w:snapToGrid w:val="0"/>
                <w:color w:val="000000"/>
                <w:sz w:val="20"/>
                <w:szCs w:val="20"/>
              </w:rPr>
            </w:pPr>
          </w:p>
        </w:tc>
        <w:tc>
          <w:tcPr>
            <w:tcW w:w="1710" w:type="dxa"/>
          </w:tcPr>
          <w:p w14:paraId="010ED482" w14:textId="77777777" w:rsidR="00BC33BB" w:rsidRPr="00BC33BB" w:rsidRDefault="00BC33BB" w:rsidP="00BC33BB">
            <w:pPr>
              <w:tabs>
                <w:tab w:val="decimal" w:pos="1320"/>
              </w:tabs>
              <w:rPr>
                <w:snapToGrid w:val="0"/>
                <w:color w:val="000000"/>
                <w:sz w:val="20"/>
                <w:szCs w:val="20"/>
              </w:rPr>
            </w:pPr>
          </w:p>
        </w:tc>
        <w:tc>
          <w:tcPr>
            <w:tcW w:w="270" w:type="dxa"/>
          </w:tcPr>
          <w:p w14:paraId="30FB2C0A" w14:textId="77777777" w:rsidR="00BC33BB" w:rsidRPr="00BC33BB" w:rsidRDefault="00BC33BB" w:rsidP="00BC33BB">
            <w:pPr>
              <w:jc w:val="right"/>
              <w:rPr>
                <w:snapToGrid w:val="0"/>
                <w:color w:val="000000"/>
                <w:sz w:val="20"/>
                <w:szCs w:val="20"/>
              </w:rPr>
            </w:pPr>
          </w:p>
        </w:tc>
        <w:tc>
          <w:tcPr>
            <w:tcW w:w="1890" w:type="dxa"/>
          </w:tcPr>
          <w:p w14:paraId="2ED53792" w14:textId="77777777" w:rsidR="00BC33BB" w:rsidRPr="00BC33BB" w:rsidRDefault="00BC33BB" w:rsidP="00BC33BB">
            <w:pPr>
              <w:tabs>
                <w:tab w:val="decimal" w:pos="1500"/>
              </w:tabs>
              <w:rPr>
                <w:snapToGrid w:val="0"/>
                <w:color w:val="000000"/>
                <w:sz w:val="20"/>
                <w:szCs w:val="20"/>
              </w:rPr>
            </w:pPr>
          </w:p>
        </w:tc>
      </w:tr>
      <w:tr w:rsidR="00BC33BB" w:rsidRPr="00BC33BB" w14:paraId="297C5827" w14:textId="77777777" w:rsidTr="004F5282">
        <w:trPr>
          <w:trHeight w:hRule="exact" w:val="230"/>
        </w:trPr>
        <w:tc>
          <w:tcPr>
            <w:tcW w:w="6120" w:type="dxa"/>
            <w:gridSpan w:val="3"/>
          </w:tcPr>
          <w:p w14:paraId="5558C6C3" w14:textId="77777777" w:rsidR="00BC33BB" w:rsidRPr="00BC33BB" w:rsidRDefault="00BC33BB" w:rsidP="00BC33BB">
            <w:pPr>
              <w:rPr>
                <w:b/>
                <w:snapToGrid w:val="0"/>
                <w:color w:val="000000"/>
                <w:sz w:val="20"/>
                <w:szCs w:val="20"/>
              </w:rPr>
            </w:pPr>
            <w:r w:rsidRPr="00BC33BB">
              <w:rPr>
                <w:snapToGrid w:val="0"/>
                <w:color w:val="000000"/>
                <w:sz w:val="20"/>
                <w:szCs w:val="20"/>
              </w:rPr>
              <w:t>Net loss</w:t>
            </w:r>
          </w:p>
        </w:tc>
        <w:tc>
          <w:tcPr>
            <w:tcW w:w="90" w:type="dxa"/>
          </w:tcPr>
          <w:p w14:paraId="49CDF703" w14:textId="77777777" w:rsidR="00BC33BB" w:rsidRPr="00BC33BB" w:rsidRDefault="00BC33BB" w:rsidP="00BC33BB">
            <w:pPr>
              <w:jc w:val="right"/>
              <w:rPr>
                <w:snapToGrid w:val="0"/>
                <w:color w:val="000000"/>
                <w:sz w:val="20"/>
                <w:szCs w:val="20"/>
              </w:rPr>
            </w:pPr>
          </w:p>
        </w:tc>
        <w:tc>
          <w:tcPr>
            <w:tcW w:w="1710" w:type="dxa"/>
            <w:tcBorders>
              <w:bottom w:val="double" w:sz="4" w:space="0" w:color="auto"/>
            </w:tcBorders>
          </w:tcPr>
          <w:p w14:paraId="7D8A1590" w14:textId="77777777" w:rsidR="00BC33BB" w:rsidRPr="00BC33BB" w:rsidRDefault="00BC33BB" w:rsidP="00BC33BB">
            <w:pPr>
              <w:tabs>
                <w:tab w:val="left" w:pos="115"/>
                <w:tab w:val="decimal" w:pos="132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(18,570,317)</w:t>
            </w:r>
          </w:p>
        </w:tc>
        <w:tc>
          <w:tcPr>
            <w:tcW w:w="270" w:type="dxa"/>
          </w:tcPr>
          <w:p w14:paraId="356A2F99" w14:textId="77777777" w:rsidR="00BC33BB" w:rsidRPr="00BC33BB" w:rsidRDefault="00BC33BB" w:rsidP="00BC33BB">
            <w:pPr>
              <w:jc w:val="right"/>
              <w:rPr>
                <w:snapToGrid w:val="0"/>
                <w:color w:val="000000"/>
                <w:sz w:val="20"/>
                <w:szCs w:val="20"/>
              </w:rPr>
            </w:pPr>
          </w:p>
        </w:tc>
        <w:tc>
          <w:tcPr>
            <w:tcW w:w="1890" w:type="dxa"/>
            <w:tcBorders>
              <w:bottom w:val="double" w:sz="4" w:space="0" w:color="auto"/>
            </w:tcBorders>
          </w:tcPr>
          <w:p w14:paraId="45B0C4D7" w14:textId="77777777" w:rsidR="00BC33BB" w:rsidRPr="00BC33BB" w:rsidRDefault="00BC33BB" w:rsidP="00BC33BB">
            <w:pPr>
              <w:tabs>
                <w:tab w:val="left" w:pos="115"/>
                <w:tab w:val="decimal" w:pos="1500"/>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(2,958,068)</w:t>
            </w:r>
          </w:p>
        </w:tc>
      </w:tr>
      <w:tr w:rsidR="00BC33BB" w:rsidRPr="00BC33BB" w14:paraId="3536E26A" w14:textId="77777777" w:rsidTr="004F5282">
        <w:trPr>
          <w:trHeight w:hRule="exact" w:val="230"/>
        </w:trPr>
        <w:tc>
          <w:tcPr>
            <w:tcW w:w="6120" w:type="dxa"/>
            <w:gridSpan w:val="3"/>
          </w:tcPr>
          <w:p w14:paraId="224EA729" w14:textId="77777777" w:rsidR="00BC33BB" w:rsidRPr="00BC33BB" w:rsidRDefault="00BC33BB" w:rsidP="00BC33BB">
            <w:pPr>
              <w:rPr>
                <w:snapToGrid w:val="0"/>
                <w:color w:val="000000"/>
                <w:sz w:val="20"/>
                <w:szCs w:val="20"/>
              </w:rPr>
            </w:pPr>
          </w:p>
        </w:tc>
        <w:tc>
          <w:tcPr>
            <w:tcW w:w="90" w:type="dxa"/>
          </w:tcPr>
          <w:p w14:paraId="3E6FA550" w14:textId="77777777" w:rsidR="00BC33BB" w:rsidRPr="00BC33BB" w:rsidRDefault="00BC33BB" w:rsidP="00BC33BB">
            <w:pPr>
              <w:jc w:val="right"/>
              <w:rPr>
                <w:snapToGrid w:val="0"/>
                <w:color w:val="000000"/>
                <w:sz w:val="20"/>
                <w:szCs w:val="20"/>
              </w:rPr>
            </w:pPr>
          </w:p>
        </w:tc>
        <w:tc>
          <w:tcPr>
            <w:tcW w:w="1710" w:type="dxa"/>
            <w:tcBorders>
              <w:top w:val="double" w:sz="4" w:space="0" w:color="auto"/>
            </w:tcBorders>
          </w:tcPr>
          <w:p w14:paraId="5C25CA99" w14:textId="77777777" w:rsidR="00BC33BB" w:rsidRPr="00BC33BB" w:rsidRDefault="00BC33BB" w:rsidP="00BC33BB">
            <w:pPr>
              <w:tabs>
                <w:tab w:val="decimal" w:pos="1320"/>
              </w:tabs>
              <w:rPr>
                <w:snapToGrid w:val="0"/>
                <w:color w:val="000000"/>
                <w:sz w:val="20"/>
                <w:szCs w:val="20"/>
              </w:rPr>
            </w:pPr>
          </w:p>
        </w:tc>
        <w:tc>
          <w:tcPr>
            <w:tcW w:w="270" w:type="dxa"/>
          </w:tcPr>
          <w:p w14:paraId="30DA35EF" w14:textId="77777777" w:rsidR="00BC33BB" w:rsidRPr="00BC33BB" w:rsidRDefault="00BC33BB" w:rsidP="00BC33BB">
            <w:pPr>
              <w:jc w:val="right"/>
              <w:rPr>
                <w:snapToGrid w:val="0"/>
                <w:color w:val="000000"/>
                <w:sz w:val="20"/>
                <w:szCs w:val="20"/>
              </w:rPr>
            </w:pPr>
          </w:p>
        </w:tc>
        <w:tc>
          <w:tcPr>
            <w:tcW w:w="1890" w:type="dxa"/>
            <w:tcBorders>
              <w:top w:val="double" w:sz="4" w:space="0" w:color="auto"/>
            </w:tcBorders>
          </w:tcPr>
          <w:p w14:paraId="3E53F04F" w14:textId="77777777" w:rsidR="00BC33BB" w:rsidRPr="00BC33BB" w:rsidRDefault="00BC33BB" w:rsidP="00BC33BB">
            <w:pPr>
              <w:tabs>
                <w:tab w:val="decimal" w:pos="1500"/>
              </w:tabs>
              <w:rPr>
                <w:snapToGrid w:val="0"/>
                <w:color w:val="000000"/>
                <w:sz w:val="20"/>
                <w:szCs w:val="20"/>
              </w:rPr>
            </w:pPr>
          </w:p>
        </w:tc>
      </w:tr>
      <w:tr w:rsidR="00BC33BB" w:rsidRPr="00BC33BB" w14:paraId="1957D996" w14:textId="77777777" w:rsidTr="004F5282">
        <w:trPr>
          <w:trHeight w:hRule="exact" w:val="230"/>
        </w:trPr>
        <w:tc>
          <w:tcPr>
            <w:tcW w:w="6120" w:type="dxa"/>
            <w:gridSpan w:val="3"/>
          </w:tcPr>
          <w:p w14:paraId="1598BC93" w14:textId="77777777" w:rsidR="00BC33BB" w:rsidRPr="00BC33BB" w:rsidRDefault="00BC33BB" w:rsidP="00BC33BB">
            <w:pPr>
              <w:rPr>
                <w:snapToGrid w:val="0"/>
                <w:color w:val="000000"/>
                <w:sz w:val="20"/>
                <w:szCs w:val="20"/>
              </w:rPr>
            </w:pPr>
            <w:r w:rsidRPr="00BC33BB">
              <w:rPr>
                <w:snapToGrid w:val="0"/>
                <w:color w:val="000000"/>
                <w:sz w:val="20"/>
                <w:szCs w:val="20"/>
              </w:rPr>
              <w:t>Basic and diluted:</w:t>
            </w:r>
          </w:p>
        </w:tc>
        <w:tc>
          <w:tcPr>
            <w:tcW w:w="90" w:type="dxa"/>
          </w:tcPr>
          <w:p w14:paraId="1F87127F" w14:textId="77777777" w:rsidR="00BC33BB" w:rsidRPr="00BC33BB" w:rsidRDefault="00BC33BB" w:rsidP="00BC33BB">
            <w:pPr>
              <w:jc w:val="right"/>
              <w:rPr>
                <w:snapToGrid w:val="0"/>
                <w:color w:val="000000"/>
                <w:sz w:val="20"/>
                <w:szCs w:val="20"/>
              </w:rPr>
            </w:pPr>
          </w:p>
        </w:tc>
        <w:tc>
          <w:tcPr>
            <w:tcW w:w="1710" w:type="dxa"/>
          </w:tcPr>
          <w:p w14:paraId="1BDD435E" w14:textId="77777777" w:rsidR="00BC33BB" w:rsidRPr="00BC33BB" w:rsidRDefault="00BC33BB" w:rsidP="00BC33BB">
            <w:pPr>
              <w:jc w:val="right"/>
              <w:rPr>
                <w:snapToGrid w:val="0"/>
                <w:color w:val="000000"/>
                <w:sz w:val="20"/>
                <w:szCs w:val="20"/>
              </w:rPr>
            </w:pPr>
          </w:p>
        </w:tc>
        <w:tc>
          <w:tcPr>
            <w:tcW w:w="270" w:type="dxa"/>
          </w:tcPr>
          <w:p w14:paraId="126E2D97" w14:textId="77777777" w:rsidR="00BC33BB" w:rsidRPr="00BC33BB" w:rsidRDefault="00BC33BB" w:rsidP="00BC33BB">
            <w:pPr>
              <w:jc w:val="right"/>
              <w:rPr>
                <w:snapToGrid w:val="0"/>
                <w:color w:val="000000"/>
                <w:sz w:val="20"/>
                <w:szCs w:val="20"/>
              </w:rPr>
            </w:pPr>
          </w:p>
        </w:tc>
        <w:tc>
          <w:tcPr>
            <w:tcW w:w="1890" w:type="dxa"/>
          </w:tcPr>
          <w:p w14:paraId="27D7B56D" w14:textId="77777777" w:rsidR="00BC33BB" w:rsidRPr="00BC33BB" w:rsidRDefault="00BC33BB" w:rsidP="00BC33BB">
            <w:pPr>
              <w:jc w:val="right"/>
              <w:rPr>
                <w:snapToGrid w:val="0"/>
                <w:color w:val="000000"/>
                <w:sz w:val="20"/>
                <w:szCs w:val="20"/>
              </w:rPr>
            </w:pPr>
          </w:p>
        </w:tc>
      </w:tr>
      <w:tr w:rsidR="00BC33BB" w:rsidRPr="00BC33BB" w14:paraId="4BAC710C" w14:textId="77777777" w:rsidTr="004F5282">
        <w:trPr>
          <w:trHeight w:hRule="exact" w:val="230"/>
        </w:trPr>
        <w:tc>
          <w:tcPr>
            <w:tcW w:w="305" w:type="dxa"/>
          </w:tcPr>
          <w:p w14:paraId="5A4311CD" w14:textId="77777777" w:rsidR="00BC33BB" w:rsidRPr="00BC33BB" w:rsidRDefault="00BC33BB" w:rsidP="00BC33BB">
            <w:pPr>
              <w:rPr>
                <w:snapToGrid w:val="0"/>
                <w:color w:val="000000"/>
                <w:sz w:val="20"/>
                <w:szCs w:val="20"/>
              </w:rPr>
            </w:pPr>
          </w:p>
        </w:tc>
        <w:tc>
          <w:tcPr>
            <w:tcW w:w="5815" w:type="dxa"/>
            <w:gridSpan w:val="2"/>
          </w:tcPr>
          <w:p w14:paraId="5A0EDC28" w14:textId="77777777" w:rsidR="00BC33BB" w:rsidRPr="00BC33BB" w:rsidRDefault="00BC33BB" w:rsidP="00BC33BB">
            <w:pPr>
              <w:rPr>
                <w:b/>
                <w:snapToGrid w:val="0"/>
                <w:color w:val="000000"/>
                <w:sz w:val="20"/>
                <w:szCs w:val="20"/>
              </w:rPr>
            </w:pPr>
            <w:r w:rsidRPr="00BC33BB">
              <w:rPr>
                <w:snapToGrid w:val="0"/>
                <w:color w:val="000000"/>
                <w:sz w:val="20"/>
                <w:szCs w:val="20"/>
              </w:rPr>
              <w:t>Net loss per common share</w:t>
            </w:r>
          </w:p>
        </w:tc>
        <w:tc>
          <w:tcPr>
            <w:tcW w:w="90" w:type="dxa"/>
          </w:tcPr>
          <w:p w14:paraId="0720DFF3" w14:textId="77777777" w:rsidR="00BC33BB" w:rsidRPr="00BC33BB" w:rsidRDefault="00BC33BB" w:rsidP="00BC33BB">
            <w:pPr>
              <w:jc w:val="right"/>
              <w:rPr>
                <w:snapToGrid w:val="0"/>
                <w:color w:val="000000"/>
                <w:sz w:val="20"/>
                <w:szCs w:val="20"/>
              </w:rPr>
            </w:pPr>
          </w:p>
        </w:tc>
        <w:tc>
          <w:tcPr>
            <w:tcW w:w="1710" w:type="dxa"/>
          </w:tcPr>
          <w:p w14:paraId="133C1298" w14:textId="77777777" w:rsidR="00BC33BB" w:rsidRPr="00BC33BB" w:rsidRDefault="00BC33BB" w:rsidP="00BC33BB">
            <w:pPr>
              <w:tabs>
                <w:tab w:val="left" w:pos="115"/>
                <w:tab w:val="decimal" w:pos="1046"/>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(3.04)</w:t>
            </w:r>
          </w:p>
        </w:tc>
        <w:tc>
          <w:tcPr>
            <w:tcW w:w="270" w:type="dxa"/>
          </w:tcPr>
          <w:p w14:paraId="02A2163B" w14:textId="77777777" w:rsidR="00BC33BB" w:rsidRPr="00BC33BB" w:rsidRDefault="00BC33BB" w:rsidP="00BC33BB">
            <w:pPr>
              <w:jc w:val="right"/>
              <w:rPr>
                <w:snapToGrid w:val="0"/>
                <w:color w:val="000000"/>
                <w:sz w:val="20"/>
                <w:szCs w:val="20"/>
              </w:rPr>
            </w:pPr>
          </w:p>
        </w:tc>
        <w:tc>
          <w:tcPr>
            <w:tcW w:w="1890" w:type="dxa"/>
          </w:tcPr>
          <w:p w14:paraId="1F3B9413" w14:textId="77777777" w:rsidR="00BC33BB" w:rsidRPr="00BC33BB" w:rsidRDefault="00BC33BB" w:rsidP="00BC33BB">
            <w:pPr>
              <w:tabs>
                <w:tab w:val="left" w:pos="115"/>
                <w:tab w:val="decimal" w:pos="1227"/>
              </w:tabs>
              <w:rPr>
                <w:snapToGrid w:val="0"/>
                <w:color w:val="000000"/>
                <w:sz w:val="20"/>
                <w:szCs w:val="20"/>
              </w:rPr>
            </w:pPr>
            <w:r w:rsidRPr="00BC33BB">
              <w:rPr>
                <w:snapToGrid w:val="0"/>
                <w:color w:val="000000"/>
                <w:sz w:val="20"/>
                <w:szCs w:val="20"/>
              </w:rPr>
              <w:t>$</w:t>
            </w:r>
            <w:r w:rsidRPr="00BC33BB">
              <w:rPr>
                <w:snapToGrid w:val="0"/>
                <w:color w:val="000000"/>
                <w:sz w:val="20"/>
                <w:szCs w:val="20"/>
              </w:rPr>
              <w:tab/>
            </w:r>
            <w:r w:rsidRPr="00BC33BB">
              <w:rPr>
                <w:snapToGrid w:val="0"/>
                <w:color w:val="000000"/>
                <w:sz w:val="20"/>
                <w:szCs w:val="20"/>
              </w:rPr>
              <w:tab/>
              <w:t>(2.14)</w:t>
            </w:r>
          </w:p>
        </w:tc>
      </w:tr>
      <w:tr w:rsidR="00BC33BB" w:rsidRPr="00BC33BB" w14:paraId="65F5A641" w14:textId="77777777" w:rsidTr="004F5282">
        <w:trPr>
          <w:trHeight w:hRule="exact" w:val="230"/>
        </w:trPr>
        <w:tc>
          <w:tcPr>
            <w:tcW w:w="305" w:type="dxa"/>
          </w:tcPr>
          <w:p w14:paraId="3179C987" w14:textId="77777777" w:rsidR="00BC33BB" w:rsidRPr="00BC33BB" w:rsidRDefault="00BC33BB" w:rsidP="00BC33BB">
            <w:pPr>
              <w:jc w:val="right"/>
              <w:rPr>
                <w:snapToGrid w:val="0"/>
                <w:color w:val="000000"/>
                <w:sz w:val="20"/>
                <w:szCs w:val="20"/>
              </w:rPr>
            </w:pPr>
          </w:p>
        </w:tc>
        <w:tc>
          <w:tcPr>
            <w:tcW w:w="5815" w:type="dxa"/>
            <w:gridSpan w:val="2"/>
          </w:tcPr>
          <w:p w14:paraId="283516A9" w14:textId="77777777" w:rsidR="00BC33BB" w:rsidRPr="00BC33BB" w:rsidRDefault="00BC33BB" w:rsidP="00BC33BB">
            <w:pPr>
              <w:rPr>
                <w:snapToGrid w:val="0"/>
                <w:color w:val="000000"/>
                <w:sz w:val="20"/>
                <w:szCs w:val="20"/>
              </w:rPr>
            </w:pPr>
            <w:r w:rsidRPr="00BC33BB">
              <w:rPr>
                <w:snapToGrid w:val="0"/>
                <w:color w:val="000000"/>
                <w:sz w:val="20"/>
                <w:szCs w:val="20"/>
              </w:rPr>
              <w:t>Weighted average shares outstanding</w:t>
            </w:r>
          </w:p>
        </w:tc>
        <w:tc>
          <w:tcPr>
            <w:tcW w:w="90" w:type="dxa"/>
          </w:tcPr>
          <w:p w14:paraId="17B32A56" w14:textId="77777777" w:rsidR="00BC33BB" w:rsidRPr="00BC33BB" w:rsidRDefault="00BC33BB" w:rsidP="00BC33BB">
            <w:pPr>
              <w:jc w:val="right"/>
              <w:rPr>
                <w:snapToGrid w:val="0"/>
                <w:color w:val="000000"/>
                <w:sz w:val="20"/>
                <w:szCs w:val="20"/>
              </w:rPr>
            </w:pPr>
          </w:p>
        </w:tc>
        <w:tc>
          <w:tcPr>
            <w:tcW w:w="1710" w:type="dxa"/>
          </w:tcPr>
          <w:p w14:paraId="4F6BF005" w14:textId="77777777" w:rsidR="00BC33BB" w:rsidRPr="00BC33BB" w:rsidRDefault="00BC33BB" w:rsidP="00BC33BB">
            <w:pPr>
              <w:tabs>
                <w:tab w:val="decimal" w:pos="1320"/>
              </w:tabs>
              <w:rPr>
                <w:snapToGrid w:val="0"/>
                <w:color w:val="000000"/>
                <w:sz w:val="20"/>
                <w:szCs w:val="20"/>
              </w:rPr>
            </w:pPr>
            <w:r w:rsidRPr="00BC33BB">
              <w:rPr>
                <w:snapToGrid w:val="0"/>
                <w:color w:val="000000"/>
                <w:sz w:val="20"/>
                <w:szCs w:val="20"/>
              </w:rPr>
              <w:t>6,099,933</w:t>
            </w:r>
          </w:p>
        </w:tc>
        <w:tc>
          <w:tcPr>
            <w:tcW w:w="270" w:type="dxa"/>
          </w:tcPr>
          <w:p w14:paraId="7AE3D44B" w14:textId="77777777" w:rsidR="00BC33BB" w:rsidRPr="00BC33BB" w:rsidRDefault="00BC33BB" w:rsidP="00BC33BB">
            <w:pPr>
              <w:jc w:val="right"/>
              <w:rPr>
                <w:snapToGrid w:val="0"/>
                <w:color w:val="000000"/>
                <w:sz w:val="20"/>
                <w:szCs w:val="20"/>
              </w:rPr>
            </w:pPr>
          </w:p>
        </w:tc>
        <w:tc>
          <w:tcPr>
            <w:tcW w:w="1890" w:type="dxa"/>
          </w:tcPr>
          <w:p w14:paraId="11543158" w14:textId="77777777" w:rsidR="00BC33BB" w:rsidRPr="00BC33BB" w:rsidRDefault="00BC33BB" w:rsidP="00BC33BB">
            <w:pPr>
              <w:tabs>
                <w:tab w:val="decimal" w:pos="1500"/>
              </w:tabs>
              <w:rPr>
                <w:snapToGrid w:val="0"/>
                <w:color w:val="000000"/>
                <w:sz w:val="20"/>
                <w:szCs w:val="20"/>
              </w:rPr>
            </w:pPr>
            <w:r w:rsidRPr="00BC33BB">
              <w:rPr>
                <w:snapToGrid w:val="0"/>
                <w:color w:val="000000"/>
                <w:sz w:val="20"/>
                <w:szCs w:val="20"/>
              </w:rPr>
              <w:t>1,383,829</w:t>
            </w:r>
          </w:p>
        </w:tc>
      </w:tr>
      <w:tr w:rsidR="00BC33BB" w:rsidRPr="00BC33BB" w14:paraId="6061CE5F" w14:textId="77777777" w:rsidTr="004F5282">
        <w:trPr>
          <w:trHeight w:hRule="exact" w:val="230"/>
        </w:trPr>
        <w:tc>
          <w:tcPr>
            <w:tcW w:w="6120" w:type="dxa"/>
            <w:gridSpan w:val="3"/>
          </w:tcPr>
          <w:p w14:paraId="1BF7E8AD" w14:textId="77777777" w:rsidR="00BC33BB" w:rsidRPr="00BC33BB" w:rsidRDefault="00BC33BB" w:rsidP="00BC33BB">
            <w:pPr>
              <w:rPr>
                <w:snapToGrid w:val="0"/>
                <w:color w:val="000000"/>
                <w:sz w:val="20"/>
                <w:szCs w:val="20"/>
              </w:rPr>
            </w:pPr>
          </w:p>
        </w:tc>
        <w:tc>
          <w:tcPr>
            <w:tcW w:w="90" w:type="dxa"/>
          </w:tcPr>
          <w:p w14:paraId="10A5FF41" w14:textId="77777777" w:rsidR="00BC33BB" w:rsidRPr="00BC33BB" w:rsidRDefault="00BC33BB" w:rsidP="00BC33BB">
            <w:pPr>
              <w:jc w:val="right"/>
              <w:rPr>
                <w:snapToGrid w:val="0"/>
                <w:color w:val="000000"/>
                <w:sz w:val="20"/>
                <w:szCs w:val="20"/>
              </w:rPr>
            </w:pPr>
          </w:p>
        </w:tc>
        <w:tc>
          <w:tcPr>
            <w:tcW w:w="1710" w:type="dxa"/>
          </w:tcPr>
          <w:p w14:paraId="4B3E2240" w14:textId="77777777" w:rsidR="00BC33BB" w:rsidRPr="00BC33BB" w:rsidRDefault="00BC33BB" w:rsidP="00BC33BB">
            <w:pPr>
              <w:tabs>
                <w:tab w:val="decimal" w:pos="1320"/>
              </w:tabs>
              <w:rPr>
                <w:snapToGrid w:val="0"/>
                <w:color w:val="000000"/>
                <w:sz w:val="20"/>
                <w:szCs w:val="20"/>
              </w:rPr>
            </w:pPr>
          </w:p>
        </w:tc>
        <w:tc>
          <w:tcPr>
            <w:tcW w:w="270" w:type="dxa"/>
          </w:tcPr>
          <w:p w14:paraId="29B4CF96" w14:textId="77777777" w:rsidR="00BC33BB" w:rsidRPr="00BC33BB" w:rsidRDefault="00BC33BB" w:rsidP="00BC33BB">
            <w:pPr>
              <w:jc w:val="right"/>
              <w:rPr>
                <w:snapToGrid w:val="0"/>
                <w:color w:val="000000"/>
                <w:sz w:val="20"/>
                <w:szCs w:val="20"/>
              </w:rPr>
            </w:pPr>
          </w:p>
        </w:tc>
        <w:tc>
          <w:tcPr>
            <w:tcW w:w="1890" w:type="dxa"/>
          </w:tcPr>
          <w:p w14:paraId="188C7B45" w14:textId="77777777" w:rsidR="00BC33BB" w:rsidRPr="00BC33BB" w:rsidRDefault="00BC33BB" w:rsidP="00BC33BB">
            <w:pPr>
              <w:tabs>
                <w:tab w:val="decimal" w:pos="1500"/>
              </w:tabs>
              <w:rPr>
                <w:snapToGrid w:val="0"/>
                <w:color w:val="000000"/>
                <w:sz w:val="20"/>
                <w:szCs w:val="20"/>
              </w:rPr>
            </w:pPr>
          </w:p>
        </w:tc>
      </w:tr>
      <w:tr w:rsidR="00BC33BB" w:rsidRPr="00BC33BB" w14:paraId="4B4248A3" w14:textId="77777777" w:rsidTr="004F5282">
        <w:trPr>
          <w:trHeight w:hRule="exact" w:val="230"/>
        </w:trPr>
        <w:tc>
          <w:tcPr>
            <w:tcW w:w="305" w:type="dxa"/>
          </w:tcPr>
          <w:p w14:paraId="2336F738" w14:textId="77777777" w:rsidR="00BC33BB" w:rsidRPr="00BC33BB" w:rsidRDefault="00BC33BB" w:rsidP="00BC33BB">
            <w:pPr>
              <w:jc w:val="right"/>
              <w:rPr>
                <w:snapToGrid w:val="0"/>
                <w:color w:val="000000"/>
                <w:sz w:val="20"/>
                <w:szCs w:val="20"/>
              </w:rPr>
            </w:pPr>
          </w:p>
        </w:tc>
        <w:tc>
          <w:tcPr>
            <w:tcW w:w="302" w:type="dxa"/>
          </w:tcPr>
          <w:p w14:paraId="0EB6D79E" w14:textId="77777777" w:rsidR="00BC33BB" w:rsidRPr="00BC33BB" w:rsidRDefault="00BC33BB" w:rsidP="00BC33BB">
            <w:pPr>
              <w:jc w:val="right"/>
              <w:rPr>
                <w:snapToGrid w:val="0"/>
                <w:color w:val="000000"/>
                <w:sz w:val="20"/>
                <w:szCs w:val="20"/>
              </w:rPr>
            </w:pPr>
          </w:p>
        </w:tc>
        <w:tc>
          <w:tcPr>
            <w:tcW w:w="5513" w:type="dxa"/>
          </w:tcPr>
          <w:p w14:paraId="177A8BB0" w14:textId="77777777" w:rsidR="00BC33BB" w:rsidRPr="00BC33BB" w:rsidRDefault="00BC33BB" w:rsidP="00BC33BB">
            <w:pPr>
              <w:jc w:val="right"/>
              <w:rPr>
                <w:snapToGrid w:val="0"/>
                <w:color w:val="000000"/>
                <w:sz w:val="20"/>
                <w:szCs w:val="20"/>
              </w:rPr>
            </w:pPr>
          </w:p>
        </w:tc>
        <w:tc>
          <w:tcPr>
            <w:tcW w:w="90" w:type="dxa"/>
          </w:tcPr>
          <w:p w14:paraId="534D96C2" w14:textId="77777777" w:rsidR="00BC33BB" w:rsidRPr="00BC33BB" w:rsidRDefault="00BC33BB" w:rsidP="00BC33BB">
            <w:pPr>
              <w:jc w:val="right"/>
              <w:rPr>
                <w:snapToGrid w:val="0"/>
                <w:color w:val="000000"/>
                <w:sz w:val="20"/>
                <w:szCs w:val="20"/>
              </w:rPr>
            </w:pPr>
          </w:p>
        </w:tc>
        <w:tc>
          <w:tcPr>
            <w:tcW w:w="1710" w:type="dxa"/>
          </w:tcPr>
          <w:p w14:paraId="629D76AD" w14:textId="77777777" w:rsidR="00BC33BB" w:rsidRPr="00BC33BB" w:rsidRDefault="00BC33BB" w:rsidP="00BC33BB">
            <w:pPr>
              <w:tabs>
                <w:tab w:val="decimal" w:pos="1195"/>
              </w:tabs>
              <w:jc w:val="right"/>
              <w:rPr>
                <w:snapToGrid w:val="0"/>
                <w:color w:val="000000"/>
                <w:sz w:val="20"/>
                <w:szCs w:val="20"/>
              </w:rPr>
            </w:pPr>
          </w:p>
        </w:tc>
        <w:tc>
          <w:tcPr>
            <w:tcW w:w="270" w:type="dxa"/>
          </w:tcPr>
          <w:p w14:paraId="4DDEC1C2" w14:textId="77777777" w:rsidR="00BC33BB" w:rsidRPr="00BC33BB" w:rsidRDefault="00BC33BB" w:rsidP="00BC33BB">
            <w:pPr>
              <w:jc w:val="right"/>
              <w:rPr>
                <w:snapToGrid w:val="0"/>
                <w:color w:val="000000"/>
                <w:sz w:val="20"/>
                <w:szCs w:val="20"/>
              </w:rPr>
            </w:pPr>
          </w:p>
        </w:tc>
        <w:tc>
          <w:tcPr>
            <w:tcW w:w="1890" w:type="dxa"/>
          </w:tcPr>
          <w:p w14:paraId="75BC136E" w14:textId="77777777" w:rsidR="00BC33BB" w:rsidRPr="00BC33BB" w:rsidRDefault="00BC33BB" w:rsidP="00BC33BB">
            <w:pPr>
              <w:tabs>
                <w:tab w:val="decimal" w:pos="1195"/>
              </w:tabs>
              <w:jc w:val="right"/>
              <w:rPr>
                <w:snapToGrid w:val="0"/>
                <w:color w:val="000000"/>
                <w:sz w:val="20"/>
                <w:szCs w:val="20"/>
              </w:rPr>
            </w:pPr>
          </w:p>
        </w:tc>
      </w:tr>
      <w:tr w:rsidR="00BC33BB" w:rsidRPr="00BC33BB" w14:paraId="4124DD6D" w14:textId="77777777" w:rsidTr="004F5282">
        <w:trPr>
          <w:trHeight w:hRule="exact" w:val="230"/>
        </w:trPr>
        <w:tc>
          <w:tcPr>
            <w:tcW w:w="10080" w:type="dxa"/>
            <w:gridSpan w:val="7"/>
          </w:tcPr>
          <w:p w14:paraId="48E981C9" w14:textId="77777777" w:rsidR="00BC33BB" w:rsidRPr="00BC33BB" w:rsidRDefault="00BC33BB" w:rsidP="00BC33BB">
            <w:pPr>
              <w:tabs>
                <w:tab w:val="decimal" w:pos="1195"/>
              </w:tabs>
              <w:jc w:val="center"/>
              <w:rPr>
                <w:snapToGrid w:val="0"/>
                <w:color w:val="000000"/>
                <w:sz w:val="20"/>
                <w:szCs w:val="20"/>
              </w:rPr>
            </w:pPr>
            <w:r w:rsidRPr="00BC33BB">
              <w:rPr>
                <w:snapToGrid w:val="0"/>
                <w:color w:val="000000"/>
                <w:sz w:val="20"/>
                <w:szCs w:val="20"/>
              </w:rPr>
              <w:t>See accompanying notes to consolidated financial statements.</w:t>
            </w:r>
          </w:p>
        </w:tc>
      </w:tr>
    </w:tbl>
    <w:p w14:paraId="3E4F7D88" w14:textId="77777777" w:rsidR="00BC33BB" w:rsidRPr="00BC33BB" w:rsidRDefault="00BC33BB" w:rsidP="00BC33BB">
      <w:pPr>
        <w:tabs>
          <w:tab w:val="left" w:pos="1080"/>
          <w:tab w:val="left" w:pos="1260"/>
          <w:tab w:val="left" w:pos="2340"/>
          <w:tab w:val="right" w:pos="9180"/>
        </w:tabs>
        <w:ind w:right="-360"/>
        <w:rPr>
          <w:b/>
          <w:sz w:val="20"/>
          <w:szCs w:val="20"/>
        </w:rPr>
      </w:pPr>
    </w:p>
    <w:p w14:paraId="0A8FA992" w14:textId="77777777" w:rsidR="00BC33BB" w:rsidRPr="00BC33BB" w:rsidRDefault="00BC33BB" w:rsidP="00BC33BB">
      <w:pPr>
        <w:tabs>
          <w:tab w:val="left" w:pos="1080"/>
          <w:tab w:val="left" w:pos="1260"/>
          <w:tab w:val="left" w:pos="2340"/>
          <w:tab w:val="right" w:pos="9180"/>
        </w:tabs>
        <w:ind w:right="-360"/>
        <w:rPr>
          <w:b/>
          <w:sz w:val="20"/>
          <w:szCs w:val="20"/>
        </w:rPr>
      </w:pPr>
    </w:p>
    <w:p w14:paraId="4468ED60" w14:textId="77777777" w:rsidR="00BC33BB" w:rsidRPr="00BC33BB" w:rsidRDefault="00BC33BB" w:rsidP="00BC33BB">
      <w:pPr>
        <w:tabs>
          <w:tab w:val="left" w:pos="1080"/>
          <w:tab w:val="left" w:pos="1260"/>
          <w:tab w:val="left" w:pos="2340"/>
          <w:tab w:val="right" w:pos="9180"/>
        </w:tabs>
        <w:ind w:right="-360"/>
        <w:rPr>
          <w:b/>
          <w:sz w:val="20"/>
          <w:szCs w:val="20"/>
        </w:rPr>
      </w:pPr>
    </w:p>
    <w:p w14:paraId="3C8D1FFD" w14:textId="77777777" w:rsidR="00BC33BB" w:rsidRDefault="00BC33BB" w:rsidP="00BC33BB">
      <w:pPr>
        <w:tabs>
          <w:tab w:val="left" w:pos="1080"/>
          <w:tab w:val="left" w:pos="1260"/>
          <w:tab w:val="left" w:pos="2340"/>
          <w:tab w:val="right" w:pos="9180"/>
        </w:tabs>
        <w:ind w:right="-360"/>
        <w:rPr>
          <w:b/>
          <w:sz w:val="20"/>
          <w:szCs w:val="20"/>
        </w:rPr>
        <w:sectPr w:rsidR="00BC33BB" w:rsidSect="001A664B">
          <w:pgSz w:w="12240" w:h="15840"/>
          <w:pgMar w:top="1440" w:right="1440" w:bottom="1440" w:left="1440" w:header="720" w:footer="720" w:gutter="0"/>
          <w:cols w:space="720"/>
          <w:docGrid w:linePitch="326"/>
        </w:sectPr>
      </w:pPr>
    </w:p>
    <w:p w14:paraId="08676394" w14:textId="77777777" w:rsidR="00BC33BB" w:rsidRPr="00BC33BB" w:rsidRDefault="00BC33BB" w:rsidP="00BC33BB">
      <w:pPr>
        <w:tabs>
          <w:tab w:val="left" w:pos="1080"/>
          <w:tab w:val="left" w:pos="1260"/>
          <w:tab w:val="left" w:pos="2340"/>
          <w:tab w:val="right" w:pos="9180"/>
        </w:tabs>
        <w:ind w:right="-360"/>
        <w:rPr>
          <w:b/>
          <w:sz w:val="20"/>
          <w:szCs w:val="20"/>
        </w:rPr>
      </w:pPr>
    </w:p>
    <w:p w14:paraId="32D4ED10" w14:textId="77777777" w:rsidR="00BC33BB" w:rsidRPr="00BC33BB" w:rsidRDefault="008A3183" w:rsidP="00BC33BB">
      <w:pPr>
        <w:jc w:val="center"/>
        <w:rPr>
          <w:b/>
        </w:rPr>
      </w:pPr>
      <w:r>
        <w:rPr>
          <w:sz w:val="20"/>
          <w:szCs w:val="20"/>
        </w:rPr>
        <w:t> </w:t>
      </w:r>
      <w:r w:rsidR="00BC33BB" w:rsidRPr="00BC33BB">
        <w:rPr>
          <w:b/>
        </w:rPr>
        <w:t>GEOVAX LABS, INC.</w:t>
      </w:r>
    </w:p>
    <w:p w14:paraId="2D97471F" w14:textId="77777777" w:rsidR="00BC33BB" w:rsidRPr="00BC33BB" w:rsidRDefault="00BC33BB" w:rsidP="00BC33BB">
      <w:pPr>
        <w:jc w:val="center"/>
        <w:rPr>
          <w:b/>
        </w:rPr>
      </w:pPr>
      <w:r w:rsidRPr="00BC33BB">
        <w:rPr>
          <w:b/>
        </w:rPr>
        <w:t>CONSOLIDATED STATEMENTS OF STOCKHOLDERS’ EQUITY (DEFICIENCY)</w:t>
      </w:r>
    </w:p>
    <w:p w14:paraId="1F902E9B" w14:textId="77777777" w:rsidR="00BC33BB" w:rsidRPr="00BC33BB" w:rsidRDefault="00BC33BB" w:rsidP="00BC33BB">
      <w:pPr>
        <w:tabs>
          <w:tab w:val="decimal" w:pos="1152"/>
          <w:tab w:val="left" w:pos="2340"/>
          <w:tab w:val="right" w:pos="9180"/>
        </w:tabs>
        <w:rPr>
          <w:snapToGrid w:val="0"/>
          <w:color w:val="000000"/>
          <w:sz w:val="20"/>
          <w:szCs w:val="20"/>
        </w:rPr>
      </w:pPr>
    </w:p>
    <w:p w14:paraId="7958A894" w14:textId="77777777" w:rsidR="00BC33BB" w:rsidRPr="00BC33BB" w:rsidRDefault="00BC33BB" w:rsidP="00BC33BB">
      <w:pPr>
        <w:tabs>
          <w:tab w:val="decimal" w:pos="1152"/>
          <w:tab w:val="left" w:pos="2340"/>
          <w:tab w:val="right" w:pos="9180"/>
        </w:tabs>
        <w:rPr>
          <w:snapToGrid w:val="0"/>
          <w:color w:val="000000"/>
          <w:sz w:val="20"/>
          <w:szCs w:val="20"/>
        </w:rPr>
      </w:pPr>
    </w:p>
    <w:tbl>
      <w:tblPr>
        <w:tblStyle w:val="TableGrid21"/>
        <w:tblW w:w="136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0"/>
        <w:gridCol w:w="1260"/>
        <w:gridCol w:w="1170"/>
        <w:gridCol w:w="1170"/>
        <w:gridCol w:w="1174"/>
        <w:gridCol w:w="1440"/>
        <w:gridCol w:w="1350"/>
        <w:gridCol w:w="1800"/>
      </w:tblGrid>
      <w:tr w:rsidR="00BC33BB" w:rsidRPr="00BC33BB" w14:paraId="5E3F5134" w14:textId="77777777" w:rsidTr="004F5282">
        <w:tc>
          <w:tcPr>
            <w:tcW w:w="4320" w:type="dxa"/>
          </w:tcPr>
          <w:p w14:paraId="59481F6A" w14:textId="77777777" w:rsidR="00BC33BB" w:rsidRPr="00BC33BB" w:rsidRDefault="00BC33BB" w:rsidP="00BC33BB">
            <w:pPr>
              <w:tabs>
                <w:tab w:val="left" w:pos="144"/>
                <w:tab w:val="left" w:pos="324"/>
                <w:tab w:val="right" w:pos="9180"/>
              </w:tabs>
              <w:rPr>
                <w:snapToGrid w:val="0"/>
                <w:color w:val="000000"/>
                <w:sz w:val="19"/>
                <w:szCs w:val="19"/>
              </w:rPr>
            </w:pPr>
          </w:p>
        </w:tc>
        <w:tc>
          <w:tcPr>
            <w:tcW w:w="2430" w:type="dxa"/>
            <w:gridSpan w:val="2"/>
          </w:tcPr>
          <w:p w14:paraId="3EEA03D8" w14:textId="77777777" w:rsidR="00BC33BB" w:rsidRPr="00BC33BB" w:rsidRDefault="00BC33BB" w:rsidP="00BC33BB">
            <w:pPr>
              <w:tabs>
                <w:tab w:val="left" w:pos="2340"/>
                <w:tab w:val="right" w:pos="9180"/>
              </w:tabs>
              <w:jc w:val="center"/>
              <w:rPr>
                <w:snapToGrid w:val="0"/>
                <w:color w:val="000000"/>
                <w:sz w:val="19"/>
                <w:szCs w:val="19"/>
              </w:rPr>
            </w:pPr>
          </w:p>
        </w:tc>
        <w:tc>
          <w:tcPr>
            <w:tcW w:w="1170" w:type="dxa"/>
          </w:tcPr>
          <w:p w14:paraId="32A2433F" w14:textId="77777777" w:rsidR="00BC33BB" w:rsidRPr="00BC33BB" w:rsidRDefault="00BC33BB" w:rsidP="00BC33BB">
            <w:pPr>
              <w:tabs>
                <w:tab w:val="decimal" w:pos="1148"/>
                <w:tab w:val="right" w:pos="9180"/>
              </w:tabs>
              <w:jc w:val="center"/>
              <w:rPr>
                <w:snapToGrid w:val="0"/>
                <w:color w:val="000000"/>
                <w:sz w:val="19"/>
                <w:szCs w:val="19"/>
              </w:rPr>
            </w:pPr>
          </w:p>
        </w:tc>
        <w:tc>
          <w:tcPr>
            <w:tcW w:w="1174" w:type="dxa"/>
          </w:tcPr>
          <w:p w14:paraId="15FA9032" w14:textId="77777777" w:rsidR="00BC33BB" w:rsidRPr="00BC33BB" w:rsidRDefault="00BC33BB" w:rsidP="00BC33BB">
            <w:pPr>
              <w:tabs>
                <w:tab w:val="decimal" w:pos="1148"/>
                <w:tab w:val="right" w:pos="9180"/>
              </w:tabs>
              <w:jc w:val="center"/>
              <w:rPr>
                <w:snapToGrid w:val="0"/>
                <w:color w:val="000000"/>
                <w:sz w:val="19"/>
                <w:szCs w:val="19"/>
              </w:rPr>
            </w:pPr>
          </w:p>
        </w:tc>
        <w:tc>
          <w:tcPr>
            <w:tcW w:w="1440" w:type="dxa"/>
          </w:tcPr>
          <w:p w14:paraId="487A8C81" w14:textId="77777777" w:rsidR="00BC33BB" w:rsidRPr="00BC33BB" w:rsidRDefault="00BC33BB" w:rsidP="00BC33BB">
            <w:pPr>
              <w:tabs>
                <w:tab w:val="decimal" w:pos="1148"/>
                <w:tab w:val="right" w:pos="9180"/>
              </w:tabs>
              <w:jc w:val="center"/>
              <w:rPr>
                <w:snapToGrid w:val="0"/>
                <w:color w:val="000000"/>
                <w:sz w:val="19"/>
                <w:szCs w:val="19"/>
              </w:rPr>
            </w:pPr>
          </w:p>
        </w:tc>
        <w:tc>
          <w:tcPr>
            <w:tcW w:w="1350" w:type="dxa"/>
          </w:tcPr>
          <w:p w14:paraId="206D0F80" w14:textId="77777777" w:rsidR="00BC33BB" w:rsidRPr="00BC33BB" w:rsidRDefault="00BC33BB" w:rsidP="00BC33BB">
            <w:pPr>
              <w:tabs>
                <w:tab w:val="right" w:pos="9180"/>
              </w:tabs>
              <w:jc w:val="center"/>
              <w:rPr>
                <w:snapToGrid w:val="0"/>
                <w:color w:val="000000"/>
                <w:sz w:val="19"/>
                <w:szCs w:val="19"/>
              </w:rPr>
            </w:pPr>
          </w:p>
        </w:tc>
        <w:tc>
          <w:tcPr>
            <w:tcW w:w="1800" w:type="dxa"/>
          </w:tcPr>
          <w:p w14:paraId="12F864CA" w14:textId="77777777" w:rsidR="00BC33BB" w:rsidRPr="00BC33BB" w:rsidRDefault="00BC33BB" w:rsidP="00BC33BB">
            <w:pPr>
              <w:tabs>
                <w:tab w:val="right" w:pos="9180"/>
              </w:tabs>
              <w:jc w:val="center"/>
              <w:rPr>
                <w:snapToGrid w:val="0"/>
                <w:color w:val="000000"/>
                <w:sz w:val="19"/>
                <w:szCs w:val="19"/>
              </w:rPr>
            </w:pPr>
            <w:r w:rsidRPr="00BC33BB">
              <w:rPr>
                <w:snapToGrid w:val="0"/>
                <w:color w:val="000000"/>
                <w:sz w:val="19"/>
                <w:szCs w:val="19"/>
              </w:rPr>
              <w:t>Total</w:t>
            </w:r>
          </w:p>
        </w:tc>
      </w:tr>
      <w:tr w:rsidR="00BC33BB" w:rsidRPr="00BC33BB" w14:paraId="49668CFE" w14:textId="77777777" w:rsidTr="004F5282">
        <w:tc>
          <w:tcPr>
            <w:tcW w:w="4320" w:type="dxa"/>
          </w:tcPr>
          <w:p w14:paraId="3E1B1E18" w14:textId="77777777" w:rsidR="00BC33BB" w:rsidRPr="00BC33BB" w:rsidRDefault="00BC33BB" w:rsidP="00BC33BB">
            <w:pPr>
              <w:tabs>
                <w:tab w:val="left" w:pos="144"/>
                <w:tab w:val="left" w:pos="324"/>
                <w:tab w:val="right" w:pos="9180"/>
              </w:tabs>
              <w:rPr>
                <w:snapToGrid w:val="0"/>
                <w:color w:val="000000"/>
                <w:sz w:val="19"/>
                <w:szCs w:val="19"/>
              </w:rPr>
            </w:pPr>
          </w:p>
        </w:tc>
        <w:tc>
          <w:tcPr>
            <w:tcW w:w="2430" w:type="dxa"/>
            <w:gridSpan w:val="2"/>
            <w:tcBorders>
              <w:bottom w:val="single" w:sz="4" w:space="0" w:color="auto"/>
            </w:tcBorders>
          </w:tcPr>
          <w:p w14:paraId="315E4F45" w14:textId="77777777" w:rsidR="00BC33BB" w:rsidRPr="00BC33BB" w:rsidRDefault="00BC33BB" w:rsidP="00BC33BB">
            <w:pPr>
              <w:tabs>
                <w:tab w:val="left" w:pos="2340"/>
                <w:tab w:val="right" w:pos="9180"/>
              </w:tabs>
              <w:jc w:val="center"/>
              <w:rPr>
                <w:snapToGrid w:val="0"/>
                <w:color w:val="000000"/>
                <w:sz w:val="19"/>
                <w:szCs w:val="19"/>
              </w:rPr>
            </w:pPr>
            <w:r w:rsidRPr="00BC33BB">
              <w:rPr>
                <w:snapToGrid w:val="0"/>
                <w:color w:val="000000"/>
                <w:sz w:val="19"/>
                <w:szCs w:val="19"/>
              </w:rPr>
              <w:t>Preferred Stock</w:t>
            </w:r>
          </w:p>
        </w:tc>
        <w:tc>
          <w:tcPr>
            <w:tcW w:w="2344" w:type="dxa"/>
            <w:gridSpan w:val="2"/>
            <w:tcBorders>
              <w:bottom w:val="single" w:sz="4" w:space="0" w:color="auto"/>
            </w:tcBorders>
          </w:tcPr>
          <w:p w14:paraId="0A13C7A9" w14:textId="77777777" w:rsidR="00BC33BB" w:rsidRPr="00BC33BB" w:rsidRDefault="00BC33BB" w:rsidP="00BC33BB">
            <w:pPr>
              <w:tabs>
                <w:tab w:val="decimal" w:pos="1148"/>
                <w:tab w:val="right" w:pos="9180"/>
              </w:tabs>
              <w:jc w:val="center"/>
              <w:rPr>
                <w:snapToGrid w:val="0"/>
                <w:color w:val="000000"/>
                <w:sz w:val="19"/>
                <w:szCs w:val="19"/>
              </w:rPr>
            </w:pPr>
            <w:r w:rsidRPr="00BC33BB">
              <w:rPr>
                <w:snapToGrid w:val="0"/>
                <w:color w:val="000000"/>
                <w:sz w:val="19"/>
                <w:szCs w:val="19"/>
              </w:rPr>
              <w:t>Common Stock</w:t>
            </w:r>
          </w:p>
        </w:tc>
        <w:tc>
          <w:tcPr>
            <w:tcW w:w="1440" w:type="dxa"/>
          </w:tcPr>
          <w:p w14:paraId="33DF5DB6" w14:textId="77777777" w:rsidR="00BC33BB" w:rsidRPr="00BC33BB" w:rsidRDefault="00BC33BB" w:rsidP="00BC33BB">
            <w:pPr>
              <w:tabs>
                <w:tab w:val="decimal" w:pos="1148"/>
                <w:tab w:val="right" w:pos="9180"/>
              </w:tabs>
              <w:jc w:val="center"/>
              <w:rPr>
                <w:snapToGrid w:val="0"/>
                <w:color w:val="000000"/>
                <w:sz w:val="19"/>
                <w:szCs w:val="19"/>
              </w:rPr>
            </w:pPr>
            <w:r w:rsidRPr="00BC33BB">
              <w:rPr>
                <w:snapToGrid w:val="0"/>
                <w:color w:val="000000"/>
                <w:sz w:val="19"/>
                <w:szCs w:val="19"/>
              </w:rPr>
              <w:t>Additional</w:t>
            </w:r>
          </w:p>
        </w:tc>
        <w:tc>
          <w:tcPr>
            <w:tcW w:w="1350" w:type="dxa"/>
          </w:tcPr>
          <w:p w14:paraId="1B1AD541" w14:textId="77777777" w:rsidR="00BC33BB" w:rsidRPr="00BC33BB" w:rsidRDefault="00BC33BB" w:rsidP="00BC33BB">
            <w:pPr>
              <w:tabs>
                <w:tab w:val="right" w:pos="9180"/>
              </w:tabs>
              <w:jc w:val="center"/>
              <w:rPr>
                <w:snapToGrid w:val="0"/>
                <w:color w:val="000000"/>
                <w:sz w:val="19"/>
                <w:szCs w:val="19"/>
              </w:rPr>
            </w:pPr>
            <w:r w:rsidRPr="00BC33BB">
              <w:rPr>
                <w:snapToGrid w:val="0"/>
                <w:color w:val="000000"/>
                <w:sz w:val="19"/>
                <w:szCs w:val="19"/>
              </w:rPr>
              <w:t>Accumulated</w:t>
            </w:r>
          </w:p>
        </w:tc>
        <w:tc>
          <w:tcPr>
            <w:tcW w:w="1800" w:type="dxa"/>
          </w:tcPr>
          <w:p w14:paraId="6F73D2B0" w14:textId="77777777" w:rsidR="00BC33BB" w:rsidRPr="00BC33BB" w:rsidRDefault="00BC33BB" w:rsidP="00BC33BB">
            <w:pPr>
              <w:tabs>
                <w:tab w:val="left" w:pos="2340"/>
                <w:tab w:val="right" w:pos="9180"/>
              </w:tabs>
              <w:jc w:val="center"/>
              <w:rPr>
                <w:snapToGrid w:val="0"/>
                <w:color w:val="000000"/>
                <w:sz w:val="19"/>
                <w:szCs w:val="19"/>
              </w:rPr>
            </w:pPr>
            <w:r w:rsidRPr="00BC33BB">
              <w:rPr>
                <w:snapToGrid w:val="0"/>
                <w:color w:val="000000"/>
                <w:sz w:val="19"/>
                <w:szCs w:val="19"/>
              </w:rPr>
              <w:t>Stockholders’</w:t>
            </w:r>
          </w:p>
        </w:tc>
      </w:tr>
      <w:tr w:rsidR="00BC33BB" w:rsidRPr="00BC33BB" w14:paraId="12B65F3A" w14:textId="77777777" w:rsidTr="004F5282">
        <w:tc>
          <w:tcPr>
            <w:tcW w:w="4320" w:type="dxa"/>
          </w:tcPr>
          <w:p w14:paraId="7E3BCB34" w14:textId="77777777" w:rsidR="00BC33BB" w:rsidRPr="00BC33BB" w:rsidRDefault="00BC33BB" w:rsidP="00BC33BB">
            <w:pPr>
              <w:tabs>
                <w:tab w:val="left" w:pos="144"/>
                <w:tab w:val="left" w:pos="324"/>
                <w:tab w:val="right" w:pos="9180"/>
              </w:tabs>
              <w:rPr>
                <w:snapToGrid w:val="0"/>
                <w:color w:val="000000"/>
                <w:sz w:val="19"/>
                <w:szCs w:val="19"/>
              </w:rPr>
            </w:pPr>
          </w:p>
        </w:tc>
        <w:tc>
          <w:tcPr>
            <w:tcW w:w="1260" w:type="dxa"/>
            <w:tcBorders>
              <w:top w:val="single" w:sz="4" w:space="0" w:color="auto"/>
              <w:bottom w:val="single" w:sz="4" w:space="0" w:color="auto"/>
            </w:tcBorders>
          </w:tcPr>
          <w:p w14:paraId="56EF8F69" w14:textId="77777777" w:rsidR="00BC33BB" w:rsidRPr="00BC33BB" w:rsidRDefault="00BC33BB" w:rsidP="00BC33BB">
            <w:pPr>
              <w:tabs>
                <w:tab w:val="left" w:pos="2340"/>
                <w:tab w:val="right" w:pos="9180"/>
              </w:tabs>
              <w:jc w:val="center"/>
              <w:rPr>
                <w:snapToGrid w:val="0"/>
                <w:color w:val="000000"/>
                <w:sz w:val="19"/>
                <w:szCs w:val="19"/>
              </w:rPr>
            </w:pPr>
            <w:r w:rsidRPr="00BC33BB">
              <w:rPr>
                <w:snapToGrid w:val="0"/>
                <w:color w:val="000000"/>
                <w:sz w:val="19"/>
                <w:szCs w:val="19"/>
              </w:rPr>
              <w:t>Shares</w:t>
            </w:r>
          </w:p>
        </w:tc>
        <w:tc>
          <w:tcPr>
            <w:tcW w:w="1170" w:type="dxa"/>
            <w:tcBorders>
              <w:top w:val="single" w:sz="4" w:space="0" w:color="auto"/>
              <w:bottom w:val="single" w:sz="4" w:space="0" w:color="auto"/>
            </w:tcBorders>
          </w:tcPr>
          <w:p w14:paraId="3F5DA35C" w14:textId="77777777" w:rsidR="00BC33BB" w:rsidRPr="00BC33BB" w:rsidRDefault="00BC33BB" w:rsidP="00BC33BB">
            <w:pPr>
              <w:tabs>
                <w:tab w:val="left" w:pos="2340"/>
                <w:tab w:val="right" w:pos="9180"/>
              </w:tabs>
              <w:jc w:val="center"/>
              <w:rPr>
                <w:snapToGrid w:val="0"/>
                <w:color w:val="000000"/>
                <w:sz w:val="19"/>
                <w:szCs w:val="19"/>
              </w:rPr>
            </w:pPr>
            <w:r w:rsidRPr="00BC33BB">
              <w:rPr>
                <w:snapToGrid w:val="0"/>
                <w:color w:val="000000"/>
                <w:sz w:val="19"/>
                <w:szCs w:val="19"/>
              </w:rPr>
              <w:t>Amount</w:t>
            </w:r>
          </w:p>
        </w:tc>
        <w:tc>
          <w:tcPr>
            <w:tcW w:w="1170" w:type="dxa"/>
            <w:tcBorders>
              <w:bottom w:val="single" w:sz="4" w:space="0" w:color="auto"/>
            </w:tcBorders>
          </w:tcPr>
          <w:p w14:paraId="0650CFB3" w14:textId="77777777" w:rsidR="00BC33BB" w:rsidRPr="00BC33BB" w:rsidRDefault="00BC33BB" w:rsidP="00BC33BB">
            <w:pPr>
              <w:tabs>
                <w:tab w:val="decimal" w:pos="1148"/>
                <w:tab w:val="right" w:pos="9180"/>
              </w:tabs>
              <w:jc w:val="center"/>
              <w:rPr>
                <w:snapToGrid w:val="0"/>
                <w:color w:val="000000"/>
                <w:sz w:val="19"/>
                <w:szCs w:val="19"/>
              </w:rPr>
            </w:pPr>
            <w:r w:rsidRPr="00BC33BB">
              <w:rPr>
                <w:snapToGrid w:val="0"/>
                <w:color w:val="000000"/>
                <w:sz w:val="19"/>
                <w:szCs w:val="19"/>
              </w:rPr>
              <w:t>Shares</w:t>
            </w:r>
          </w:p>
        </w:tc>
        <w:tc>
          <w:tcPr>
            <w:tcW w:w="1174" w:type="dxa"/>
            <w:tcBorders>
              <w:bottom w:val="single" w:sz="4" w:space="0" w:color="auto"/>
            </w:tcBorders>
          </w:tcPr>
          <w:p w14:paraId="653CC03F" w14:textId="77777777" w:rsidR="00BC33BB" w:rsidRPr="00BC33BB" w:rsidRDefault="00BC33BB" w:rsidP="00BC33BB">
            <w:pPr>
              <w:tabs>
                <w:tab w:val="decimal" w:pos="1148"/>
                <w:tab w:val="right" w:pos="9180"/>
              </w:tabs>
              <w:jc w:val="center"/>
              <w:rPr>
                <w:snapToGrid w:val="0"/>
                <w:color w:val="000000"/>
                <w:sz w:val="19"/>
                <w:szCs w:val="19"/>
              </w:rPr>
            </w:pPr>
            <w:r w:rsidRPr="00BC33BB">
              <w:rPr>
                <w:snapToGrid w:val="0"/>
                <w:color w:val="000000"/>
                <w:sz w:val="19"/>
                <w:szCs w:val="19"/>
              </w:rPr>
              <w:t>Amount</w:t>
            </w:r>
          </w:p>
        </w:tc>
        <w:tc>
          <w:tcPr>
            <w:tcW w:w="1440" w:type="dxa"/>
            <w:tcBorders>
              <w:bottom w:val="single" w:sz="4" w:space="0" w:color="auto"/>
            </w:tcBorders>
          </w:tcPr>
          <w:p w14:paraId="66A80FE5" w14:textId="77777777" w:rsidR="00BC33BB" w:rsidRPr="00BC33BB" w:rsidRDefault="00BC33BB" w:rsidP="00BC33BB">
            <w:pPr>
              <w:tabs>
                <w:tab w:val="decimal" w:pos="1148"/>
                <w:tab w:val="right" w:pos="9180"/>
              </w:tabs>
              <w:jc w:val="center"/>
              <w:rPr>
                <w:snapToGrid w:val="0"/>
                <w:color w:val="000000"/>
                <w:sz w:val="19"/>
                <w:szCs w:val="19"/>
              </w:rPr>
            </w:pPr>
            <w:r w:rsidRPr="00BC33BB">
              <w:rPr>
                <w:snapToGrid w:val="0"/>
                <w:color w:val="000000"/>
                <w:sz w:val="19"/>
                <w:szCs w:val="19"/>
              </w:rPr>
              <w:t>Paid-in Capital</w:t>
            </w:r>
          </w:p>
        </w:tc>
        <w:tc>
          <w:tcPr>
            <w:tcW w:w="1350" w:type="dxa"/>
            <w:tcBorders>
              <w:bottom w:val="single" w:sz="4" w:space="0" w:color="auto"/>
            </w:tcBorders>
          </w:tcPr>
          <w:p w14:paraId="5876AA51" w14:textId="77777777" w:rsidR="00BC33BB" w:rsidRPr="00BC33BB" w:rsidRDefault="00BC33BB" w:rsidP="00BC33BB">
            <w:pPr>
              <w:tabs>
                <w:tab w:val="right" w:pos="9180"/>
              </w:tabs>
              <w:jc w:val="center"/>
              <w:rPr>
                <w:snapToGrid w:val="0"/>
                <w:color w:val="000000"/>
                <w:sz w:val="19"/>
                <w:szCs w:val="19"/>
              </w:rPr>
            </w:pPr>
            <w:r w:rsidRPr="00BC33BB">
              <w:rPr>
                <w:snapToGrid w:val="0"/>
                <w:color w:val="000000"/>
                <w:sz w:val="19"/>
                <w:szCs w:val="19"/>
              </w:rPr>
              <w:t>Deficit</w:t>
            </w:r>
          </w:p>
        </w:tc>
        <w:tc>
          <w:tcPr>
            <w:tcW w:w="1800" w:type="dxa"/>
            <w:tcBorders>
              <w:bottom w:val="single" w:sz="4" w:space="0" w:color="auto"/>
            </w:tcBorders>
          </w:tcPr>
          <w:p w14:paraId="5B70D55E" w14:textId="77777777" w:rsidR="00BC33BB" w:rsidRPr="00BC33BB" w:rsidRDefault="00BC33BB" w:rsidP="00BC33BB">
            <w:pPr>
              <w:tabs>
                <w:tab w:val="left" w:pos="2340"/>
                <w:tab w:val="right" w:pos="9180"/>
              </w:tabs>
              <w:jc w:val="center"/>
              <w:rPr>
                <w:snapToGrid w:val="0"/>
                <w:color w:val="000000"/>
                <w:sz w:val="19"/>
                <w:szCs w:val="19"/>
              </w:rPr>
            </w:pPr>
            <w:r w:rsidRPr="00BC33BB">
              <w:rPr>
                <w:snapToGrid w:val="0"/>
                <w:color w:val="000000"/>
                <w:sz w:val="19"/>
                <w:szCs w:val="19"/>
              </w:rPr>
              <w:t>Equity (Deficiency)</w:t>
            </w:r>
          </w:p>
        </w:tc>
      </w:tr>
      <w:tr w:rsidR="00BC33BB" w:rsidRPr="00BC33BB" w14:paraId="67B825D6" w14:textId="77777777" w:rsidTr="004F5282">
        <w:tc>
          <w:tcPr>
            <w:tcW w:w="4320" w:type="dxa"/>
          </w:tcPr>
          <w:p w14:paraId="796FF302" w14:textId="77777777" w:rsidR="00BC33BB" w:rsidRPr="00BC33BB" w:rsidRDefault="00BC33BB" w:rsidP="00BC33BB">
            <w:pPr>
              <w:tabs>
                <w:tab w:val="left" w:pos="144"/>
                <w:tab w:val="left" w:pos="324"/>
                <w:tab w:val="right" w:pos="9180"/>
              </w:tabs>
              <w:rPr>
                <w:snapToGrid w:val="0"/>
                <w:color w:val="000000"/>
                <w:sz w:val="19"/>
                <w:szCs w:val="19"/>
              </w:rPr>
            </w:pPr>
            <w:bookmarkStart w:id="71" w:name="_Hlk91679063"/>
            <w:r w:rsidRPr="00BC33BB">
              <w:rPr>
                <w:snapToGrid w:val="0"/>
                <w:color w:val="000000"/>
                <w:sz w:val="19"/>
                <w:szCs w:val="19"/>
              </w:rPr>
              <w:t>Balance at December 31, 2019</w:t>
            </w:r>
          </w:p>
        </w:tc>
        <w:tc>
          <w:tcPr>
            <w:tcW w:w="1260" w:type="dxa"/>
            <w:tcBorders>
              <w:top w:val="single" w:sz="4" w:space="0" w:color="auto"/>
            </w:tcBorders>
          </w:tcPr>
          <w:p w14:paraId="56CA83BE"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2,486</w:t>
            </w:r>
          </w:p>
        </w:tc>
        <w:tc>
          <w:tcPr>
            <w:tcW w:w="1170" w:type="dxa"/>
            <w:tcBorders>
              <w:top w:val="single" w:sz="4" w:space="0" w:color="auto"/>
            </w:tcBorders>
          </w:tcPr>
          <w:p w14:paraId="322CFF25"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1,932,433</w:t>
            </w:r>
          </w:p>
        </w:tc>
        <w:tc>
          <w:tcPr>
            <w:tcW w:w="1170" w:type="dxa"/>
            <w:tcBorders>
              <w:top w:val="single" w:sz="4" w:space="0" w:color="auto"/>
            </w:tcBorders>
          </w:tcPr>
          <w:p w14:paraId="0344F03C"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14,992</w:t>
            </w:r>
          </w:p>
        </w:tc>
        <w:tc>
          <w:tcPr>
            <w:tcW w:w="1174" w:type="dxa"/>
            <w:tcBorders>
              <w:top w:val="single" w:sz="4" w:space="0" w:color="auto"/>
            </w:tcBorders>
          </w:tcPr>
          <w:p w14:paraId="06C0CD58"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15</w:t>
            </w:r>
          </w:p>
        </w:tc>
        <w:tc>
          <w:tcPr>
            <w:tcW w:w="1440" w:type="dxa"/>
            <w:tcBorders>
              <w:top w:val="single" w:sz="4" w:space="0" w:color="auto"/>
            </w:tcBorders>
          </w:tcPr>
          <w:p w14:paraId="2D926E82"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39,340,509</w:t>
            </w:r>
          </w:p>
        </w:tc>
        <w:tc>
          <w:tcPr>
            <w:tcW w:w="1350" w:type="dxa"/>
            <w:tcBorders>
              <w:top w:val="single" w:sz="4" w:space="0" w:color="auto"/>
            </w:tcBorders>
          </w:tcPr>
          <w:p w14:paraId="65A62AE9"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(42,847,513)</w:t>
            </w:r>
          </w:p>
        </w:tc>
        <w:tc>
          <w:tcPr>
            <w:tcW w:w="1800" w:type="dxa"/>
            <w:tcBorders>
              <w:top w:val="single" w:sz="4" w:space="0" w:color="auto"/>
            </w:tcBorders>
          </w:tcPr>
          <w:p w14:paraId="32C9185B"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(1,574,556)</w:t>
            </w:r>
          </w:p>
        </w:tc>
      </w:tr>
      <w:bookmarkEnd w:id="71"/>
      <w:tr w:rsidR="00BC33BB" w:rsidRPr="00BC33BB" w14:paraId="33472D6D" w14:textId="77777777" w:rsidTr="004F5282">
        <w:tc>
          <w:tcPr>
            <w:tcW w:w="4320" w:type="dxa"/>
          </w:tcPr>
          <w:p w14:paraId="1E906739"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Sale of convertible preferred stock for cash</w:t>
            </w:r>
          </w:p>
        </w:tc>
        <w:tc>
          <w:tcPr>
            <w:tcW w:w="1260" w:type="dxa"/>
          </w:tcPr>
          <w:p w14:paraId="24D4BF70"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300</w:t>
            </w:r>
          </w:p>
        </w:tc>
        <w:tc>
          <w:tcPr>
            <w:tcW w:w="1170" w:type="dxa"/>
          </w:tcPr>
          <w:p w14:paraId="10C0FB57"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300,000</w:t>
            </w:r>
          </w:p>
        </w:tc>
        <w:tc>
          <w:tcPr>
            <w:tcW w:w="1170" w:type="dxa"/>
          </w:tcPr>
          <w:p w14:paraId="5676EF4D"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174" w:type="dxa"/>
          </w:tcPr>
          <w:p w14:paraId="2BC74DBE"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440" w:type="dxa"/>
          </w:tcPr>
          <w:p w14:paraId="17FE33AA"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350" w:type="dxa"/>
          </w:tcPr>
          <w:p w14:paraId="0E10B8BC"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328BABB6"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300,000</w:t>
            </w:r>
          </w:p>
        </w:tc>
      </w:tr>
      <w:tr w:rsidR="00BC33BB" w:rsidRPr="00BC33BB" w14:paraId="25EE1874" w14:textId="77777777" w:rsidTr="004F5282">
        <w:tc>
          <w:tcPr>
            <w:tcW w:w="4320" w:type="dxa"/>
          </w:tcPr>
          <w:p w14:paraId="4CA66CF0"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Conversion of preferred stock to common stock</w:t>
            </w:r>
          </w:p>
        </w:tc>
        <w:tc>
          <w:tcPr>
            <w:tcW w:w="1260" w:type="dxa"/>
          </w:tcPr>
          <w:p w14:paraId="27AE11D3"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(2,686)</w:t>
            </w:r>
          </w:p>
        </w:tc>
        <w:tc>
          <w:tcPr>
            <w:tcW w:w="1170" w:type="dxa"/>
          </w:tcPr>
          <w:p w14:paraId="5BEE8EF0"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(2,156,338)</w:t>
            </w:r>
          </w:p>
        </w:tc>
        <w:tc>
          <w:tcPr>
            <w:tcW w:w="1170" w:type="dxa"/>
          </w:tcPr>
          <w:p w14:paraId="69EE6B5F"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716,790</w:t>
            </w:r>
          </w:p>
        </w:tc>
        <w:tc>
          <w:tcPr>
            <w:tcW w:w="1174" w:type="dxa"/>
          </w:tcPr>
          <w:p w14:paraId="7A9A01B6"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717</w:t>
            </w:r>
          </w:p>
        </w:tc>
        <w:tc>
          <w:tcPr>
            <w:tcW w:w="1440" w:type="dxa"/>
          </w:tcPr>
          <w:p w14:paraId="01409A08"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2,155,621</w:t>
            </w:r>
          </w:p>
        </w:tc>
        <w:tc>
          <w:tcPr>
            <w:tcW w:w="1350" w:type="dxa"/>
          </w:tcPr>
          <w:p w14:paraId="2661E293"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143DE7B0"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w:t>
            </w:r>
          </w:p>
        </w:tc>
      </w:tr>
      <w:tr w:rsidR="00BC33BB" w:rsidRPr="00BC33BB" w14:paraId="04D6EDB8" w14:textId="77777777" w:rsidTr="004F5282">
        <w:tc>
          <w:tcPr>
            <w:tcW w:w="4320" w:type="dxa"/>
          </w:tcPr>
          <w:p w14:paraId="3A2CDD3D"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Warrants issued in bridge financing</w:t>
            </w:r>
          </w:p>
        </w:tc>
        <w:tc>
          <w:tcPr>
            <w:tcW w:w="1260" w:type="dxa"/>
          </w:tcPr>
          <w:p w14:paraId="66304D1B"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660AE22B"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4A9371E6"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174" w:type="dxa"/>
          </w:tcPr>
          <w:p w14:paraId="15855C13"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440" w:type="dxa"/>
          </w:tcPr>
          <w:p w14:paraId="3829FE60"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457,833</w:t>
            </w:r>
          </w:p>
        </w:tc>
        <w:tc>
          <w:tcPr>
            <w:tcW w:w="1350" w:type="dxa"/>
          </w:tcPr>
          <w:p w14:paraId="3E106891"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1688454A"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457,833</w:t>
            </w:r>
          </w:p>
        </w:tc>
      </w:tr>
      <w:tr w:rsidR="00BC33BB" w:rsidRPr="00BC33BB" w14:paraId="5C94C112" w14:textId="77777777" w:rsidTr="004F5282">
        <w:tc>
          <w:tcPr>
            <w:tcW w:w="4320" w:type="dxa"/>
          </w:tcPr>
          <w:p w14:paraId="446A6A69"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Issuance of common stock upon warrant exercise</w:t>
            </w:r>
          </w:p>
        </w:tc>
        <w:tc>
          <w:tcPr>
            <w:tcW w:w="1260" w:type="dxa"/>
          </w:tcPr>
          <w:p w14:paraId="41810B52"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0E9C2614"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176D8637"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286,902</w:t>
            </w:r>
          </w:p>
        </w:tc>
        <w:tc>
          <w:tcPr>
            <w:tcW w:w="1174" w:type="dxa"/>
          </w:tcPr>
          <w:p w14:paraId="5FC2A141"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287</w:t>
            </w:r>
          </w:p>
        </w:tc>
        <w:tc>
          <w:tcPr>
            <w:tcW w:w="1440" w:type="dxa"/>
          </w:tcPr>
          <w:p w14:paraId="48B11A12"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2,213</w:t>
            </w:r>
          </w:p>
        </w:tc>
        <w:tc>
          <w:tcPr>
            <w:tcW w:w="1350" w:type="dxa"/>
          </w:tcPr>
          <w:p w14:paraId="4D420E1D"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7A2445C0"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2,500</w:t>
            </w:r>
          </w:p>
        </w:tc>
      </w:tr>
      <w:tr w:rsidR="00BC33BB" w:rsidRPr="00BC33BB" w14:paraId="754D84FB" w14:textId="77777777" w:rsidTr="004F5282">
        <w:tc>
          <w:tcPr>
            <w:tcW w:w="4320" w:type="dxa"/>
          </w:tcPr>
          <w:p w14:paraId="51BFC626"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 xml:space="preserve">Issuance of common stock upon debenture </w:t>
            </w:r>
          </w:p>
          <w:p w14:paraId="45218E40"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 xml:space="preserve">  conversion</w:t>
            </w:r>
          </w:p>
        </w:tc>
        <w:tc>
          <w:tcPr>
            <w:tcW w:w="1260" w:type="dxa"/>
          </w:tcPr>
          <w:p w14:paraId="335AFD0D" w14:textId="77777777" w:rsidR="00BC33BB" w:rsidRPr="00BC33BB" w:rsidRDefault="00BC33BB" w:rsidP="00BC33BB">
            <w:pPr>
              <w:tabs>
                <w:tab w:val="decimal" w:pos="917"/>
                <w:tab w:val="left" w:pos="2340"/>
                <w:tab w:val="right" w:pos="9180"/>
              </w:tabs>
              <w:rPr>
                <w:snapToGrid w:val="0"/>
                <w:color w:val="000000"/>
                <w:sz w:val="19"/>
                <w:szCs w:val="19"/>
              </w:rPr>
            </w:pPr>
          </w:p>
          <w:p w14:paraId="44AAA05B"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60D6AB95" w14:textId="77777777" w:rsidR="00BC33BB" w:rsidRPr="00BC33BB" w:rsidRDefault="00BC33BB" w:rsidP="00BC33BB">
            <w:pPr>
              <w:tabs>
                <w:tab w:val="decimal" w:pos="798"/>
                <w:tab w:val="left" w:pos="2340"/>
                <w:tab w:val="right" w:pos="9180"/>
              </w:tabs>
              <w:rPr>
                <w:snapToGrid w:val="0"/>
                <w:color w:val="000000"/>
                <w:sz w:val="19"/>
                <w:szCs w:val="19"/>
              </w:rPr>
            </w:pPr>
          </w:p>
          <w:p w14:paraId="26815BE1"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4BAE9E08"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p>
          <w:p w14:paraId="04F163D7"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177,626</w:t>
            </w:r>
          </w:p>
        </w:tc>
        <w:tc>
          <w:tcPr>
            <w:tcW w:w="1174" w:type="dxa"/>
          </w:tcPr>
          <w:p w14:paraId="3B8FD4CC"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p>
          <w:p w14:paraId="17E35799"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177</w:t>
            </w:r>
          </w:p>
        </w:tc>
        <w:tc>
          <w:tcPr>
            <w:tcW w:w="1440" w:type="dxa"/>
          </w:tcPr>
          <w:p w14:paraId="07A458FC"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p>
          <w:p w14:paraId="46F66B34"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569,340</w:t>
            </w:r>
          </w:p>
        </w:tc>
        <w:tc>
          <w:tcPr>
            <w:tcW w:w="1350" w:type="dxa"/>
          </w:tcPr>
          <w:p w14:paraId="767B7172" w14:textId="77777777" w:rsidR="00BC33BB" w:rsidRPr="00BC33BB" w:rsidRDefault="00BC33BB" w:rsidP="00BC33BB">
            <w:pPr>
              <w:tabs>
                <w:tab w:val="decimal" w:pos="1150"/>
                <w:tab w:val="left" w:pos="2340"/>
                <w:tab w:val="right" w:pos="9180"/>
              </w:tabs>
              <w:rPr>
                <w:snapToGrid w:val="0"/>
                <w:color w:val="000000"/>
                <w:sz w:val="19"/>
                <w:szCs w:val="19"/>
              </w:rPr>
            </w:pPr>
          </w:p>
          <w:p w14:paraId="78BC0E28"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61781C86" w14:textId="77777777" w:rsidR="00BC33BB" w:rsidRPr="00BC33BB" w:rsidRDefault="00BC33BB" w:rsidP="00BC33BB">
            <w:pPr>
              <w:tabs>
                <w:tab w:val="decimal" w:pos="1418"/>
                <w:tab w:val="right" w:pos="9180"/>
              </w:tabs>
              <w:rPr>
                <w:snapToGrid w:val="0"/>
                <w:color w:val="000000"/>
                <w:sz w:val="19"/>
                <w:szCs w:val="19"/>
              </w:rPr>
            </w:pPr>
          </w:p>
          <w:p w14:paraId="57EB3498"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569,517</w:t>
            </w:r>
          </w:p>
        </w:tc>
      </w:tr>
      <w:tr w:rsidR="00BC33BB" w:rsidRPr="00BC33BB" w14:paraId="79AF9F65" w14:textId="77777777" w:rsidTr="004F5282">
        <w:tc>
          <w:tcPr>
            <w:tcW w:w="4320" w:type="dxa"/>
          </w:tcPr>
          <w:p w14:paraId="39F38240"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Issuance of common stock upon cancellation</w:t>
            </w:r>
          </w:p>
          <w:p w14:paraId="4DD8AED6"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 xml:space="preserve">  of accrued compensation</w:t>
            </w:r>
          </w:p>
        </w:tc>
        <w:tc>
          <w:tcPr>
            <w:tcW w:w="1260" w:type="dxa"/>
          </w:tcPr>
          <w:p w14:paraId="0CB81C91" w14:textId="77777777" w:rsidR="00BC33BB" w:rsidRPr="00BC33BB" w:rsidRDefault="00BC33BB" w:rsidP="00BC33BB">
            <w:pPr>
              <w:tabs>
                <w:tab w:val="decimal" w:pos="917"/>
                <w:tab w:val="left" w:pos="2340"/>
                <w:tab w:val="right" w:pos="9180"/>
              </w:tabs>
              <w:rPr>
                <w:snapToGrid w:val="0"/>
                <w:color w:val="000000"/>
                <w:sz w:val="19"/>
                <w:szCs w:val="19"/>
              </w:rPr>
            </w:pPr>
          </w:p>
          <w:p w14:paraId="0E2C8B78"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5DEF3530" w14:textId="77777777" w:rsidR="00BC33BB" w:rsidRPr="00BC33BB" w:rsidRDefault="00BC33BB" w:rsidP="00BC33BB">
            <w:pPr>
              <w:tabs>
                <w:tab w:val="decimal" w:pos="798"/>
                <w:tab w:val="left" w:pos="2340"/>
                <w:tab w:val="right" w:pos="9180"/>
              </w:tabs>
              <w:rPr>
                <w:snapToGrid w:val="0"/>
                <w:color w:val="000000"/>
                <w:sz w:val="19"/>
                <w:szCs w:val="19"/>
              </w:rPr>
            </w:pPr>
          </w:p>
          <w:p w14:paraId="3CD84DED"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51324E9E"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p>
          <w:p w14:paraId="11FEF538"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300,001</w:t>
            </w:r>
          </w:p>
        </w:tc>
        <w:tc>
          <w:tcPr>
            <w:tcW w:w="1174" w:type="dxa"/>
          </w:tcPr>
          <w:p w14:paraId="7D121572"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p>
          <w:p w14:paraId="39CDA7C8"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300</w:t>
            </w:r>
          </w:p>
        </w:tc>
        <w:tc>
          <w:tcPr>
            <w:tcW w:w="1440" w:type="dxa"/>
          </w:tcPr>
          <w:p w14:paraId="21AA76C1"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p>
          <w:p w14:paraId="239A8E73"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1,499,700</w:t>
            </w:r>
          </w:p>
        </w:tc>
        <w:tc>
          <w:tcPr>
            <w:tcW w:w="1350" w:type="dxa"/>
          </w:tcPr>
          <w:p w14:paraId="7B579E6D" w14:textId="77777777" w:rsidR="00BC33BB" w:rsidRPr="00BC33BB" w:rsidRDefault="00BC33BB" w:rsidP="00BC33BB">
            <w:pPr>
              <w:tabs>
                <w:tab w:val="decimal" w:pos="1150"/>
                <w:tab w:val="left" w:pos="2340"/>
                <w:tab w:val="right" w:pos="9180"/>
              </w:tabs>
              <w:rPr>
                <w:snapToGrid w:val="0"/>
                <w:color w:val="000000"/>
                <w:sz w:val="19"/>
                <w:szCs w:val="19"/>
              </w:rPr>
            </w:pPr>
          </w:p>
          <w:p w14:paraId="6B65B4D4"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37D72553" w14:textId="77777777" w:rsidR="00BC33BB" w:rsidRPr="00BC33BB" w:rsidRDefault="00BC33BB" w:rsidP="00BC33BB">
            <w:pPr>
              <w:tabs>
                <w:tab w:val="decimal" w:pos="1418"/>
                <w:tab w:val="right" w:pos="9180"/>
              </w:tabs>
              <w:rPr>
                <w:snapToGrid w:val="0"/>
                <w:color w:val="000000"/>
                <w:sz w:val="19"/>
                <w:szCs w:val="19"/>
              </w:rPr>
            </w:pPr>
          </w:p>
          <w:p w14:paraId="53BFA1D1"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1,500,000</w:t>
            </w:r>
          </w:p>
        </w:tc>
      </w:tr>
      <w:tr w:rsidR="00BC33BB" w:rsidRPr="00BC33BB" w14:paraId="2540F1F4" w14:textId="77777777" w:rsidTr="004F5282">
        <w:tc>
          <w:tcPr>
            <w:tcW w:w="4320" w:type="dxa"/>
          </w:tcPr>
          <w:p w14:paraId="6182E90A" w14:textId="77777777" w:rsidR="00BC33BB" w:rsidRPr="00BC33BB" w:rsidRDefault="00BC33BB" w:rsidP="00BC33BB">
            <w:pPr>
              <w:tabs>
                <w:tab w:val="left" w:pos="144"/>
                <w:tab w:val="left" w:pos="324"/>
                <w:tab w:val="right" w:pos="9180"/>
              </w:tabs>
              <w:rPr>
                <w:snapToGrid w:val="0"/>
                <w:color w:val="000000"/>
                <w:sz w:val="19"/>
                <w:szCs w:val="19"/>
              </w:rPr>
            </w:pPr>
            <w:bookmarkStart w:id="72" w:name="_Hlk91679801"/>
            <w:r w:rsidRPr="00BC33BB">
              <w:rPr>
                <w:snapToGrid w:val="0"/>
                <w:color w:val="000000"/>
                <w:sz w:val="19"/>
                <w:szCs w:val="19"/>
              </w:rPr>
              <w:tab/>
              <w:t>Sale of common stock for cash</w:t>
            </w:r>
          </w:p>
        </w:tc>
        <w:tc>
          <w:tcPr>
            <w:tcW w:w="1260" w:type="dxa"/>
          </w:tcPr>
          <w:p w14:paraId="76330E81"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1FC05DF5"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31E1337B"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2,310,000</w:t>
            </w:r>
          </w:p>
        </w:tc>
        <w:tc>
          <w:tcPr>
            <w:tcW w:w="1174" w:type="dxa"/>
          </w:tcPr>
          <w:p w14:paraId="2780C75B"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2,310</w:t>
            </w:r>
          </w:p>
        </w:tc>
        <w:tc>
          <w:tcPr>
            <w:tcW w:w="1440" w:type="dxa"/>
          </w:tcPr>
          <w:p w14:paraId="126CC773"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11,156,186</w:t>
            </w:r>
          </w:p>
        </w:tc>
        <w:tc>
          <w:tcPr>
            <w:tcW w:w="1350" w:type="dxa"/>
          </w:tcPr>
          <w:p w14:paraId="722C5500"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29C5D31E"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11,158,496</w:t>
            </w:r>
          </w:p>
        </w:tc>
      </w:tr>
      <w:tr w:rsidR="00BC33BB" w:rsidRPr="00BC33BB" w14:paraId="173014E5" w14:textId="77777777" w:rsidTr="004F5282">
        <w:tc>
          <w:tcPr>
            <w:tcW w:w="4320" w:type="dxa"/>
          </w:tcPr>
          <w:p w14:paraId="478EDF21"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Issuance of common stock for services</w:t>
            </w:r>
          </w:p>
        </w:tc>
        <w:tc>
          <w:tcPr>
            <w:tcW w:w="1260" w:type="dxa"/>
          </w:tcPr>
          <w:p w14:paraId="4F12C563"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1E2B3CFC"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7BCF571A"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26,581</w:t>
            </w:r>
          </w:p>
        </w:tc>
        <w:tc>
          <w:tcPr>
            <w:tcW w:w="1174" w:type="dxa"/>
          </w:tcPr>
          <w:p w14:paraId="5C4D6C31"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27</w:t>
            </w:r>
          </w:p>
        </w:tc>
        <w:tc>
          <w:tcPr>
            <w:tcW w:w="1440" w:type="dxa"/>
          </w:tcPr>
          <w:p w14:paraId="213C756F"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94,373</w:t>
            </w:r>
          </w:p>
        </w:tc>
        <w:tc>
          <w:tcPr>
            <w:tcW w:w="1350" w:type="dxa"/>
          </w:tcPr>
          <w:p w14:paraId="2771F0CD"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592FBB44"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94,400</w:t>
            </w:r>
          </w:p>
        </w:tc>
      </w:tr>
      <w:tr w:rsidR="00BC33BB" w:rsidRPr="00BC33BB" w14:paraId="71513F12" w14:textId="77777777" w:rsidTr="004F5282">
        <w:tc>
          <w:tcPr>
            <w:tcW w:w="4320" w:type="dxa"/>
          </w:tcPr>
          <w:p w14:paraId="2A9E4BF7"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Stock option expense</w:t>
            </w:r>
          </w:p>
        </w:tc>
        <w:tc>
          <w:tcPr>
            <w:tcW w:w="1260" w:type="dxa"/>
          </w:tcPr>
          <w:p w14:paraId="15D5141B"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2A710D54"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4E1907DC"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174" w:type="dxa"/>
          </w:tcPr>
          <w:p w14:paraId="314F738A"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440" w:type="dxa"/>
          </w:tcPr>
          <w:p w14:paraId="50104F32"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18,730</w:t>
            </w:r>
          </w:p>
        </w:tc>
        <w:tc>
          <w:tcPr>
            <w:tcW w:w="1350" w:type="dxa"/>
          </w:tcPr>
          <w:p w14:paraId="1CBB17BE"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508AA10D"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18,730</w:t>
            </w:r>
          </w:p>
        </w:tc>
      </w:tr>
      <w:tr w:rsidR="00BC33BB" w:rsidRPr="00BC33BB" w14:paraId="13E1910B" w14:textId="77777777" w:rsidTr="004F5282">
        <w:tc>
          <w:tcPr>
            <w:tcW w:w="4320" w:type="dxa"/>
          </w:tcPr>
          <w:p w14:paraId="54ED7D17"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Roundup of shares following reverse stock split</w:t>
            </w:r>
          </w:p>
        </w:tc>
        <w:tc>
          <w:tcPr>
            <w:tcW w:w="1260" w:type="dxa"/>
          </w:tcPr>
          <w:p w14:paraId="35E4B665"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22360EC5"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0EE15963"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1,203</w:t>
            </w:r>
          </w:p>
        </w:tc>
        <w:tc>
          <w:tcPr>
            <w:tcW w:w="1174" w:type="dxa"/>
          </w:tcPr>
          <w:p w14:paraId="762ED8D1"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w:t>
            </w:r>
          </w:p>
        </w:tc>
        <w:tc>
          <w:tcPr>
            <w:tcW w:w="1440" w:type="dxa"/>
          </w:tcPr>
          <w:p w14:paraId="7E40D06B"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w:t>
            </w:r>
          </w:p>
        </w:tc>
        <w:tc>
          <w:tcPr>
            <w:tcW w:w="1350" w:type="dxa"/>
          </w:tcPr>
          <w:p w14:paraId="17889AE0"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6EAA3C8B"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w:t>
            </w:r>
          </w:p>
        </w:tc>
      </w:tr>
      <w:tr w:rsidR="00BC33BB" w:rsidRPr="00BC33BB" w14:paraId="02711E91" w14:textId="77777777" w:rsidTr="004F5282">
        <w:tc>
          <w:tcPr>
            <w:tcW w:w="4320" w:type="dxa"/>
          </w:tcPr>
          <w:p w14:paraId="4F85FFE1"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Net loss for the year ended December 31, 2020</w:t>
            </w:r>
          </w:p>
        </w:tc>
        <w:tc>
          <w:tcPr>
            <w:tcW w:w="1260" w:type="dxa"/>
            <w:tcBorders>
              <w:bottom w:val="single" w:sz="4" w:space="0" w:color="auto"/>
            </w:tcBorders>
          </w:tcPr>
          <w:p w14:paraId="62B62D02"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Borders>
              <w:bottom w:val="single" w:sz="4" w:space="0" w:color="auto"/>
            </w:tcBorders>
          </w:tcPr>
          <w:p w14:paraId="01E99081"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Borders>
              <w:bottom w:val="single" w:sz="4" w:space="0" w:color="auto"/>
            </w:tcBorders>
          </w:tcPr>
          <w:p w14:paraId="7859521E"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174" w:type="dxa"/>
            <w:tcBorders>
              <w:bottom w:val="single" w:sz="4" w:space="0" w:color="auto"/>
            </w:tcBorders>
          </w:tcPr>
          <w:p w14:paraId="15B03E04"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440" w:type="dxa"/>
            <w:tcBorders>
              <w:bottom w:val="single" w:sz="4" w:space="0" w:color="auto"/>
            </w:tcBorders>
          </w:tcPr>
          <w:p w14:paraId="2547E643"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350" w:type="dxa"/>
            <w:tcBorders>
              <w:bottom w:val="single" w:sz="4" w:space="0" w:color="auto"/>
            </w:tcBorders>
          </w:tcPr>
          <w:p w14:paraId="525964C4"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(2,958,068)</w:t>
            </w:r>
          </w:p>
        </w:tc>
        <w:tc>
          <w:tcPr>
            <w:tcW w:w="1800" w:type="dxa"/>
            <w:tcBorders>
              <w:bottom w:val="single" w:sz="4" w:space="0" w:color="auto"/>
            </w:tcBorders>
          </w:tcPr>
          <w:p w14:paraId="4A7B9788"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(2,958,068)</w:t>
            </w:r>
          </w:p>
        </w:tc>
      </w:tr>
      <w:tr w:rsidR="00BC33BB" w:rsidRPr="00BC33BB" w14:paraId="5C5188FE" w14:textId="77777777" w:rsidTr="004F5282">
        <w:tc>
          <w:tcPr>
            <w:tcW w:w="4320" w:type="dxa"/>
          </w:tcPr>
          <w:p w14:paraId="48AE5234"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Balance at December 31, 2020</w:t>
            </w:r>
          </w:p>
        </w:tc>
        <w:tc>
          <w:tcPr>
            <w:tcW w:w="1260" w:type="dxa"/>
            <w:tcBorders>
              <w:top w:val="single" w:sz="4" w:space="0" w:color="auto"/>
            </w:tcBorders>
          </w:tcPr>
          <w:p w14:paraId="62947134"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100</w:t>
            </w:r>
          </w:p>
        </w:tc>
        <w:tc>
          <w:tcPr>
            <w:tcW w:w="1170" w:type="dxa"/>
            <w:tcBorders>
              <w:top w:val="single" w:sz="4" w:space="0" w:color="auto"/>
            </w:tcBorders>
          </w:tcPr>
          <w:p w14:paraId="73C7C056"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76,095</w:t>
            </w:r>
          </w:p>
        </w:tc>
        <w:tc>
          <w:tcPr>
            <w:tcW w:w="1170" w:type="dxa"/>
            <w:tcBorders>
              <w:top w:val="single" w:sz="4" w:space="0" w:color="auto"/>
            </w:tcBorders>
          </w:tcPr>
          <w:p w14:paraId="512AAB63"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3,834,095</w:t>
            </w:r>
          </w:p>
        </w:tc>
        <w:tc>
          <w:tcPr>
            <w:tcW w:w="1174" w:type="dxa"/>
            <w:tcBorders>
              <w:top w:val="single" w:sz="4" w:space="0" w:color="auto"/>
            </w:tcBorders>
          </w:tcPr>
          <w:p w14:paraId="6CFDD073"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3,834</w:t>
            </w:r>
          </w:p>
        </w:tc>
        <w:tc>
          <w:tcPr>
            <w:tcW w:w="1440" w:type="dxa"/>
            <w:tcBorders>
              <w:top w:val="single" w:sz="4" w:space="0" w:color="auto"/>
            </w:tcBorders>
          </w:tcPr>
          <w:p w14:paraId="6032C3A9"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55,294,504</w:t>
            </w:r>
          </w:p>
        </w:tc>
        <w:tc>
          <w:tcPr>
            <w:tcW w:w="1350" w:type="dxa"/>
            <w:tcBorders>
              <w:top w:val="single" w:sz="4" w:space="0" w:color="auto"/>
            </w:tcBorders>
          </w:tcPr>
          <w:p w14:paraId="16891C37"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(45,805,581)</w:t>
            </w:r>
          </w:p>
        </w:tc>
        <w:tc>
          <w:tcPr>
            <w:tcW w:w="1800" w:type="dxa"/>
            <w:tcBorders>
              <w:top w:val="single" w:sz="4" w:space="0" w:color="auto"/>
            </w:tcBorders>
          </w:tcPr>
          <w:p w14:paraId="250C1A16"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9,568,852</w:t>
            </w:r>
          </w:p>
        </w:tc>
      </w:tr>
      <w:bookmarkEnd w:id="72"/>
      <w:tr w:rsidR="00BC33BB" w:rsidRPr="00BC33BB" w14:paraId="51A3A0EB" w14:textId="77777777" w:rsidTr="004F5282">
        <w:tc>
          <w:tcPr>
            <w:tcW w:w="4320" w:type="dxa"/>
          </w:tcPr>
          <w:p w14:paraId="3F0171A8"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Sale of common stock for cash</w:t>
            </w:r>
          </w:p>
        </w:tc>
        <w:tc>
          <w:tcPr>
            <w:tcW w:w="1260" w:type="dxa"/>
          </w:tcPr>
          <w:p w14:paraId="35721DC3"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75EC929C"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0FC16389"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1,644,000</w:t>
            </w:r>
          </w:p>
        </w:tc>
        <w:tc>
          <w:tcPr>
            <w:tcW w:w="1174" w:type="dxa"/>
          </w:tcPr>
          <w:p w14:paraId="091431CD"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1,644</w:t>
            </w:r>
          </w:p>
        </w:tc>
        <w:tc>
          <w:tcPr>
            <w:tcW w:w="1440" w:type="dxa"/>
          </w:tcPr>
          <w:p w14:paraId="66C72D55"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9,407,276</w:t>
            </w:r>
          </w:p>
        </w:tc>
        <w:tc>
          <w:tcPr>
            <w:tcW w:w="1350" w:type="dxa"/>
          </w:tcPr>
          <w:p w14:paraId="02230800"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14F68D9E"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9,408,920</w:t>
            </w:r>
          </w:p>
        </w:tc>
      </w:tr>
      <w:tr w:rsidR="00BC33BB" w:rsidRPr="00BC33BB" w14:paraId="751A1FAC" w14:textId="77777777" w:rsidTr="004F5282">
        <w:tc>
          <w:tcPr>
            <w:tcW w:w="4320" w:type="dxa"/>
          </w:tcPr>
          <w:p w14:paraId="0D6142E6"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Issuance of common stock upon warrant exercise</w:t>
            </w:r>
          </w:p>
        </w:tc>
        <w:tc>
          <w:tcPr>
            <w:tcW w:w="1260" w:type="dxa"/>
          </w:tcPr>
          <w:p w14:paraId="675017C4"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06ACAC79"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29615182"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889,739</w:t>
            </w:r>
          </w:p>
        </w:tc>
        <w:tc>
          <w:tcPr>
            <w:tcW w:w="1174" w:type="dxa"/>
          </w:tcPr>
          <w:p w14:paraId="1580C0DF"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890</w:t>
            </w:r>
          </w:p>
        </w:tc>
        <w:tc>
          <w:tcPr>
            <w:tcW w:w="1440" w:type="dxa"/>
          </w:tcPr>
          <w:p w14:paraId="0773D9EC"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3,403,266</w:t>
            </w:r>
          </w:p>
        </w:tc>
        <w:tc>
          <w:tcPr>
            <w:tcW w:w="1350" w:type="dxa"/>
          </w:tcPr>
          <w:p w14:paraId="027BDAFA"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648C4AB0"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3,404,156</w:t>
            </w:r>
          </w:p>
        </w:tc>
      </w:tr>
      <w:tr w:rsidR="00BC33BB" w:rsidRPr="00BC33BB" w14:paraId="03DE76D5" w14:textId="77777777" w:rsidTr="004F5282">
        <w:tc>
          <w:tcPr>
            <w:tcW w:w="4320" w:type="dxa"/>
          </w:tcPr>
          <w:p w14:paraId="063E033F"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Issuance of common stock for services</w:t>
            </w:r>
          </w:p>
        </w:tc>
        <w:tc>
          <w:tcPr>
            <w:tcW w:w="1260" w:type="dxa"/>
          </w:tcPr>
          <w:p w14:paraId="140F41CF"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285C6556"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7BA8647D"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13,707</w:t>
            </w:r>
          </w:p>
        </w:tc>
        <w:tc>
          <w:tcPr>
            <w:tcW w:w="1174" w:type="dxa"/>
          </w:tcPr>
          <w:p w14:paraId="0623FDDC"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14</w:t>
            </w:r>
          </w:p>
        </w:tc>
        <w:tc>
          <w:tcPr>
            <w:tcW w:w="1440" w:type="dxa"/>
          </w:tcPr>
          <w:p w14:paraId="2DCE8A82"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71,827</w:t>
            </w:r>
          </w:p>
        </w:tc>
        <w:tc>
          <w:tcPr>
            <w:tcW w:w="1350" w:type="dxa"/>
          </w:tcPr>
          <w:p w14:paraId="67A46FCC"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2A61C565"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71,841</w:t>
            </w:r>
          </w:p>
        </w:tc>
      </w:tr>
      <w:tr w:rsidR="00BC33BB" w:rsidRPr="00BC33BB" w14:paraId="240FFFD1" w14:textId="77777777" w:rsidTr="004F5282">
        <w:tc>
          <w:tcPr>
            <w:tcW w:w="4320" w:type="dxa"/>
          </w:tcPr>
          <w:p w14:paraId="08817344"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Issuance of warrant for technology license</w:t>
            </w:r>
          </w:p>
        </w:tc>
        <w:tc>
          <w:tcPr>
            <w:tcW w:w="1260" w:type="dxa"/>
          </w:tcPr>
          <w:p w14:paraId="692FBFC8"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67DD51D1"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3098A9ED"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174" w:type="dxa"/>
          </w:tcPr>
          <w:p w14:paraId="6BBBAB42"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440" w:type="dxa"/>
          </w:tcPr>
          <w:p w14:paraId="19A5EBBB"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209,825</w:t>
            </w:r>
          </w:p>
        </w:tc>
        <w:tc>
          <w:tcPr>
            <w:tcW w:w="1350" w:type="dxa"/>
          </w:tcPr>
          <w:p w14:paraId="0D511604"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7AC649F4"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209,825</w:t>
            </w:r>
          </w:p>
        </w:tc>
      </w:tr>
      <w:tr w:rsidR="00BC33BB" w:rsidRPr="00BC33BB" w14:paraId="2B29512C" w14:textId="77777777" w:rsidTr="004F5282">
        <w:tc>
          <w:tcPr>
            <w:tcW w:w="4320" w:type="dxa"/>
          </w:tcPr>
          <w:p w14:paraId="14D5B73E"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Repurchase of preferred stock</w:t>
            </w:r>
          </w:p>
        </w:tc>
        <w:tc>
          <w:tcPr>
            <w:tcW w:w="1260" w:type="dxa"/>
          </w:tcPr>
          <w:p w14:paraId="65E36F7B"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(100)</w:t>
            </w:r>
          </w:p>
        </w:tc>
        <w:tc>
          <w:tcPr>
            <w:tcW w:w="1170" w:type="dxa"/>
          </w:tcPr>
          <w:p w14:paraId="6138B718"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(76,095)</w:t>
            </w:r>
          </w:p>
        </w:tc>
        <w:tc>
          <w:tcPr>
            <w:tcW w:w="1170" w:type="dxa"/>
          </w:tcPr>
          <w:p w14:paraId="57D505C2"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174" w:type="dxa"/>
          </w:tcPr>
          <w:p w14:paraId="224ACEDA"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440" w:type="dxa"/>
          </w:tcPr>
          <w:p w14:paraId="2AEE3FD6"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75,095</w:t>
            </w:r>
          </w:p>
        </w:tc>
        <w:tc>
          <w:tcPr>
            <w:tcW w:w="1350" w:type="dxa"/>
          </w:tcPr>
          <w:p w14:paraId="1113C8E4"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3F0E85A1"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(1,000)</w:t>
            </w:r>
          </w:p>
        </w:tc>
      </w:tr>
      <w:tr w:rsidR="00BC33BB" w:rsidRPr="00BC33BB" w14:paraId="2E3908DF" w14:textId="77777777" w:rsidTr="004F5282">
        <w:tc>
          <w:tcPr>
            <w:tcW w:w="4320" w:type="dxa"/>
          </w:tcPr>
          <w:p w14:paraId="6B1BDD19"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Stock option expense</w:t>
            </w:r>
          </w:p>
        </w:tc>
        <w:tc>
          <w:tcPr>
            <w:tcW w:w="1260" w:type="dxa"/>
          </w:tcPr>
          <w:p w14:paraId="26FDF94D"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7851C421"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Pr>
          <w:p w14:paraId="73DE18ED"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174" w:type="dxa"/>
          </w:tcPr>
          <w:p w14:paraId="2A6F2E84"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440" w:type="dxa"/>
          </w:tcPr>
          <w:p w14:paraId="06583F85"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269,427</w:t>
            </w:r>
          </w:p>
        </w:tc>
        <w:tc>
          <w:tcPr>
            <w:tcW w:w="1350" w:type="dxa"/>
          </w:tcPr>
          <w:p w14:paraId="02898253"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w:t>
            </w:r>
          </w:p>
        </w:tc>
        <w:tc>
          <w:tcPr>
            <w:tcW w:w="1800" w:type="dxa"/>
          </w:tcPr>
          <w:p w14:paraId="705955AF"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269,427</w:t>
            </w:r>
          </w:p>
        </w:tc>
      </w:tr>
      <w:tr w:rsidR="00BC33BB" w:rsidRPr="00BC33BB" w14:paraId="46B52063" w14:textId="77777777" w:rsidTr="004F5282">
        <w:tc>
          <w:tcPr>
            <w:tcW w:w="4320" w:type="dxa"/>
          </w:tcPr>
          <w:p w14:paraId="5D162BF3"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ab/>
              <w:t>Net loss for the year ended December 31, 2021</w:t>
            </w:r>
          </w:p>
        </w:tc>
        <w:tc>
          <w:tcPr>
            <w:tcW w:w="1260" w:type="dxa"/>
            <w:tcBorders>
              <w:bottom w:val="single" w:sz="4" w:space="0" w:color="auto"/>
            </w:tcBorders>
          </w:tcPr>
          <w:p w14:paraId="36A0FA6C"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Borders>
              <w:bottom w:val="single" w:sz="4" w:space="0" w:color="auto"/>
            </w:tcBorders>
          </w:tcPr>
          <w:p w14:paraId="58B3BF59"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ab/>
              <w:t>-</w:t>
            </w:r>
          </w:p>
        </w:tc>
        <w:tc>
          <w:tcPr>
            <w:tcW w:w="1170" w:type="dxa"/>
            <w:tcBorders>
              <w:bottom w:val="single" w:sz="4" w:space="0" w:color="auto"/>
            </w:tcBorders>
          </w:tcPr>
          <w:p w14:paraId="02C0A96E"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174" w:type="dxa"/>
            <w:tcBorders>
              <w:bottom w:val="single" w:sz="4" w:space="0" w:color="auto"/>
            </w:tcBorders>
          </w:tcPr>
          <w:p w14:paraId="34308A3F"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440" w:type="dxa"/>
            <w:tcBorders>
              <w:bottom w:val="single" w:sz="4" w:space="0" w:color="auto"/>
            </w:tcBorders>
          </w:tcPr>
          <w:p w14:paraId="45346FF3"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w:t>
            </w:r>
          </w:p>
        </w:tc>
        <w:tc>
          <w:tcPr>
            <w:tcW w:w="1350" w:type="dxa"/>
            <w:tcBorders>
              <w:bottom w:val="single" w:sz="4" w:space="0" w:color="auto"/>
            </w:tcBorders>
          </w:tcPr>
          <w:p w14:paraId="07B79EB0"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ab/>
              <w:t>(18,570,317)</w:t>
            </w:r>
          </w:p>
        </w:tc>
        <w:tc>
          <w:tcPr>
            <w:tcW w:w="1800" w:type="dxa"/>
            <w:tcBorders>
              <w:bottom w:val="single" w:sz="4" w:space="0" w:color="auto"/>
            </w:tcBorders>
          </w:tcPr>
          <w:p w14:paraId="2A4F7E83"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ab/>
              <w:t>(18,570,317)</w:t>
            </w:r>
          </w:p>
        </w:tc>
      </w:tr>
      <w:tr w:rsidR="00BC33BB" w:rsidRPr="00BC33BB" w14:paraId="6E123999" w14:textId="77777777" w:rsidTr="004F5282">
        <w:tc>
          <w:tcPr>
            <w:tcW w:w="4320" w:type="dxa"/>
          </w:tcPr>
          <w:p w14:paraId="2DA843AB" w14:textId="77777777" w:rsidR="00BC33BB" w:rsidRPr="00BC33BB" w:rsidRDefault="00BC33BB" w:rsidP="00BC33BB">
            <w:pPr>
              <w:tabs>
                <w:tab w:val="left" w:pos="144"/>
                <w:tab w:val="left" w:pos="324"/>
                <w:tab w:val="right" w:pos="9180"/>
              </w:tabs>
              <w:rPr>
                <w:snapToGrid w:val="0"/>
                <w:color w:val="000000"/>
                <w:sz w:val="19"/>
                <w:szCs w:val="19"/>
              </w:rPr>
            </w:pPr>
            <w:r w:rsidRPr="00BC33BB">
              <w:rPr>
                <w:snapToGrid w:val="0"/>
                <w:color w:val="000000"/>
                <w:sz w:val="19"/>
                <w:szCs w:val="19"/>
              </w:rPr>
              <w:t>Balance at December 31, 2021</w:t>
            </w:r>
          </w:p>
        </w:tc>
        <w:tc>
          <w:tcPr>
            <w:tcW w:w="1260" w:type="dxa"/>
            <w:tcBorders>
              <w:top w:val="single" w:sz="4" w:space="0" w:color="auto"/>
              <w:bottom w:val="double" w:sz="4" w:space="0" w:color="auto"/>
            </w:tcBorders>
          </w:tcPr>
          <w:p w14:paraId="2B38B876" w14:textId="77777777" w:rsidR="00BC33BB" w:rsidRPr="00BC33BB" w:rsidRDefault="00BC33BB" w:rsidP="00BC33BB">
            <w:pPr>
              <w:tabs>
                <w:tab w:val="decimal" w:pos="917"/>
                <w:tab w:val="left" w:pos="2340"/>
                <w:tab w:val="right" w:pos="9180"/>
              </w:tabs>
              <w:rPr>
                <w:snapToGrid w:val="0"/>
                <w:color w:val="000000"/>
                <w:sz w:val="19"/>
                <w:szCs w:val="19"/>
              </w:rPr>
            </w:pPr>
            <w:r w:rsidRPr="00BC33BB">
              <w:rPr>
                <w:snapToGrid w:val="0"/>
                <w:color w:val="000000"/>
                <w:sz w:val="19"/>
                <w:szCs w:val="19"/>
              </w:rPr>
              <w:tab/>
              <w:t>-</w:t>
            </w:r>
          </w:p>
        </w:tc>
        <w:tc>
          <w:tcPr>
            <w:tcW w:w="1170" w:type="dxa"/>
            <w:tcBorders>
              <w:top w:val="single" w:sz="4" w:space="0" w:color="auto"/>
              <w:bottom w:val="double" w:sz="4" w:space="0" w:color="auto"/>
            </w:tcBorders>
          </w:tcPr>
          <w:p w14:paraId="3A094954" w14:textId="77777777" w:rsidR="00BC33BB" w:rsidRPr="00BC33BB" w:rsidRDefault="00BC33BB" w:rsidP="00BC33BB">
            <w:pPr>
              <w:tabs>
                <w:tab w:val="decimal" w:pos="798"/>
                <w:tab w:val="left" w:pos="2340"/>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w:t>
            </w:r>
          </w:p>
        </w:tc>
        <w:tc>
          <w:tcPr>
            <w:tcW w:w="1170" w:type="dxa"/>
            <w:tcBorders>
              <w:top w:val="single" w:sz="4" w:space="0" w:color="auto"/>
              <w:bottom w:val="double" w:sz="4" w:space="0" w:color="auto"/>
            </w:tcBorders>
          </w:tcPr>
          <w:p w14:paraId="114EF9C7"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ab/>
              <w:t>6,381,541</w:t>
            </w:r>
          </w:p>
        </w:tc>
        <w:tc>
          <w:tcPr>
            <w:tcW w:w="1174" w:type="dxa"/>
            <w:tcBorders>
              <w:top w:val="single" w:sz="4" w:space="0" w:color="auto"/>
              <w:bottom w:val="double" w:sz="4" w:space="0" w:color="auto"/>
            </w:tcBorders>
          </w:tcPr>
          <w:p w14:paraId="1DD10E1A"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6,382</w:t>
            </w:r>
          </w:p>
        </w:tc>
        <w:tc>
          <w:tcPr>
            <w:tcW w:w="1440" w:type="dxa"/>
            <w:tcBorders>
              <w:top w:val="single" w:sz="4" w:space="0" w:color="auto"/>
              <w:bottom w:val="double" w:sz="4" w:space="0" w:color="auto"/>
            </w:tcBorders>
          </w:tcPr>
          <w:p w14:paraId="7816C7DE"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68,731,220</w:t>
            </w:r>
          </w:p>
        </w:tc>
        <w:tc>
          <w:tcPr>
            <w:tcW w:w="1350" w:type="dxa"/>
            <w:tcBorders>
              <w:top w:val="single" w:sz="4" w:space="0" w:color="auto"/>
              <w:bottom w:val="double" w:sz="4" w:space="0" w:color="auto"/>
            </w:tcBorders>
          </w:tcPr>
          <w:p w14:paraId="1CFE9A58" w14:textId="77777777" w:rsidR="00BC33BB" w:rsidRPr="00BC33BB" w:rsidRDefault="00BC33BB" w:rsidP="00BC33BB">
            <w:pPr>
              <w:tabs>
                <w:tab w:val="decimal" w:pos="1150"/>
                <w:tab w:val="left" w:pos="2340"/>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(64,375,898)</w:t>
            </w:r>
          </w:p>
        </w:tc>
        <w:tc>
          <w:tcPr>
            <w:tcW w:w="1800" w:type="dxa"/>
            <w:tcBorders>
              <w:top w:val="single" w:sz="4" w:space="0" w:color="auto"/>
              <w:bottom w:val="double" w:sz="4" w:space="0" w:color="auto"/>
            </w:tcBorders>
          </w:tcPr>
          <w:p w14:paraId="6E73DDD5" w14:textId="77777777" w:rsidR="00BC33BB" w:rsidRPr="00BC33BB" w:rsidRDefault="00BC33BB" w:rsidP="00BC33BB">
            <w:pPr>
              <w:tabs>
                <w:tab w:val="decimal" w:pos="1418"/>
                <w:tab w:val="right" w:pos="9180"/>
              </w:tabs>
              <w:rPr>
                <w:snapToGrid w:val="0"/>
                <w:color w:val="000000"/>
                <w:sz w:val="19"/>
                <w:szCs w:val="19"/>
              </w:rPr>
            </w:pPr>
            <w:r w:rsidRPr="00BC33BB">
              <w:rPr>
                <w:snapToGrid w:val="0"/>
                <w:color w:val="000000"/>
                <w:sz w:val="19"/>
                <w:szCs w:val="19"/>
              </w:rPr>
              <w:t>$</w:t>
            </w:r>
            <w:r w:rsidRPr="00BC33BB">
              <w:rPr>
                <w:snapToGrid w:val="0"/>
                <w:color w:val="000000"/>
                <w:sz w:val="19"/>
                <w:szCs w:val="19"/>
              </w:rPr>
              <w:tab/>
              <w:t>4,361,704</w:t>
            </w:r>
          </w:p>
        </w:tc>
      </w:tr>
      <w:tr w:rsidR="00BC33BB" w:rsidRPr="00BC33BB" w14:paraId="79B175CC" w14:textId="77777777" w:rsidTr="004F5282">
        <w:tc>
          <w:tcPr>
            <w:tcW w:w="4320" w:type="dxa"/>
          </w:tcPr>
          <w:p w14:paraId="4C38A149" w14:textId="77777777" w:rsidR="00BC33BB" w:rsidRPr="00BC33BB" w:rsidRDefault="00BC33BB" w:rsidP="00BC33BB">
            <w:pPr>
              <w:tabs>
                <w:tab w:val="left" w:pos="144"/>
                <w:tab w:val="left" w:pos="324"/>
                <w:tab w:val="right" w:pos="9180"/>
              </w:tabs>
              <w:rPr>
                <w:snapToGrid w:val="0"/>
                <w:color w:val="000000"/>
                <w:sz w:val="19"/>
                <w:szCs w:val="19"/>
              </w:rPr>
            </w:pPr>
          </w:p>
        </w:tc>
        <w:tc>
          <w:tcPr>
            <w:tcW w:w="1260" w:type="dxa"/>
          </w:tcPr>
          <w:p w14:paraId="33904D5B" w14:textId="77777777" w:rsidR="00BC33BB" w:rsidRPr="00BC33BB" w:rsidRDefault="00BC33BB" w:rsidP="00BC33BB">
            <w:pPr>
              <w:tabs>
                <w:tab w:val="decimal" w:pos="917"/>
                <w:tab w:val="left" w:pos="2340"/>
                <w:tab w:val="right" w:pos="9180"/>
              </w:tabs>
              <w:rPr>
                <w:snapToGrid w:val="0"/>
                <w:color w:val="000000"/>
                <w:sz w:val="19"/>
                <w:szCs w:val="19"/>
              </w:rPr>
            </w:pPr>
          </w:p>
        </w:tc>
        <w:tc>
          <w:tcPr>
            <w:tcW w:w="1170" w:type="dxa"/>
          </w:tcPr>
          <w:p w14:paraId="41F45BBF" w14:textId="77777777" w:rsidR="00BC33BB" w:rsidRPr="00BC33BB" w:rsidRDefault="00BC33BB" w:rsidP="00BC33BB">
            <w:pPr>
              <w:tabs>
                <w:tab w:val="decimal" w:pos="798"/>
                <w:tab w:val="left" w:pos="2340"/>
                <w:tab w:val="right" w:pos="9180"/>
              </w:tabs>
              <w:rPr>
                <w:snapToGrid w:val="0"/>
                <w:color w:val="000000"/>
                <w:sz w:val="19"/>
                <w:szCs w:val="19"/>
              </w:rPr>
            </w:pPr>
          </w:p>
        </w:tc>
        <w:tc>
          <w:tcPr>
            <w:tcW w:w="1170" w:type="dxa"/>
          </w:tcPr>
          <w:p w14:paraId="5670975C"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p>
        </w:tc>
        <w:tc>
          <w:tcPr>
            <w:tcW w:w="1174" w:type="dxa"/>
          </w:tcPr>
          <w:p w14:paraId="386B909E"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p>
        </w:tc>
        <w:tc>
          <w:tcPr>
            <w:tcW w:w="1440" w:type="dxa"/>
          </w:tcPr>
          <w:p w14:paraId="1197E254" w14:textId="77777777" w:rsidR="00BC33BB" w:rsidRPr="00BC33BB" w:rsidRDefault="00BC33BB" w:rsidP="00BC33BB">
            <w:pPr>
              <w:tabs>
                <w:tab w:val="decimal" w:pos="1148"/>
                <w:tab w:val="decimal" w:pos="1422"/>
                <w:tab w:val="left" w:pos="2340"/>
                <w:tab w:val="right" w:pos="9180"/>
              </w:tabs>
              <w:rPr>
                <w:snapToGrid w:val="0"/>
                <w:color w:val="000000"/>
                <w:sz w:val="19"/>
                <w:szCs w:val="19"/>
              </w:rPr>
            </w:pPr>
          </w:p>
        </w:tc>
        <w:tc>
          <w:tcPr>
            <w:tcW w:w="1350" w:type="dxa"/>
          </w:tcPr>
          <w:p w14:paraId="0AD27DB2" w14:textId="77777777" w:rsidR="00BC33BB" w:rsidRPr="00BC33BB" w:rsidRDefault="00BC33BB" w:rsidP="00BC33BB">
            <w:pPr>
              <w:tabs>
                <w:tab w:val="decimal" w:pos="1150"/>
                <w:tab w:val="left" w:pos="2340"/>
                <w:tab w:val="right" w:pos="9180"/>
              </w:tabs>
              <w:rPr>
                <w:snapToGrid w:val="0"/>
                <w:color w:val="000000"/>
                <w:sz w:val="19"/>
                <w:szCs w:val="19"/>
              </w:rPr>
            </w:pPr>
          </w:p>
        </w:tc>
        <w:tc>
          <w:tcPr>
            <w:tcW w:w="1800" w:type="dxa"/>
          </w:tcPr>
          <w:p w14:paraId="482CCC96" w14:textId="77777777" w:rsidR="00BC33BB" w:rsidRPr="00BC33BB" w:rsidRDefault="00BC33BB" w:rsidP="00BC33BB">
            <w:pPr>
              <w:tabs>
                <w:tab w:val="decimal" w:pos="1418"/>
                <w:tab w:val="right" w:pos="9180"/>
              </w:tabs>
              <w:rPr>
                <w:snapToGrid w:val="0"/>
                <w:color w:val="000000"/>
                <w:sz w:val="19"/>
                <w:szCs w:val="19"/>
              </w:rPr>
            </w:pPr>
          </w:p>
        </w:tc>
      </w:tr>
    </w:tbl>
    <w:p w14:paraId="2801151D" w14:textId="77777777" w:rsidR="00BC33BB" w:rsidRPr="00BC33BB" w:rsidRDefault="00BC33BB" w:rsidP="00BC33BB">
      <w:pPr>
        <w:tabs>
          <w:tab w:val="decimal" w:pos="1152"/>
          <w:tab w:val="left" w:pos="2340"/>
          <w:tab w:val="right" w:pos="9180"/>
        </w:tabs>
        <w:rPr>
          <w:snapToGrid w:val="0"/>
          <w:color w:val="000000"/>
          <w:sz w:val="20"/>
          <w:szCs w:val="20"/>
        </w:rPr>
      </w:pPr>
    </w:p>
    <w:p w14:paraId="4C93B2B4" w14:textId="77777777" w:rsidR="00BC33BB" w:rsidRPr="00BC33BB" w:rsidRDefault="00BC33BB" w:rsidP="00BC33BB">
      <w:pPr>
        <w:tabs>
          <w:tab w:val="decimal" w:pos="1152"/>
          <w:tab w:val="left" w:pos="2340"/>
          <w:tab w:val="right" w:pos="9180"/>
        </w:tabs>
        <w:rPr>
          <w:snapToGrid w:val="0"/>
          <w:color w:val="000000"/>
          <w:sz w:val="20"/>
          <w:szCs w:val="20"/>
        </w:rPr>
      </w:pPr>
    </w:p>
    <w:p w14:paraId="593B93EF" w14:textId="77777777" w:rsidR="00BC33BB" w:rsidRPr="00BC33BB" w:rsidRDefault="00BC33BB" w:rsidP="00BC33BB">
      <w:pPr>
        <w:tabs>
          <w:tab w:val="decimal" w:pos="1152"/>
          <w:tab w:val="left" w:pos="2340"/>
          <w:tab w:val="right" w:pos="9180"/>
        </w:tabs>
        <w:rPr>
          <w:snapToGrid w:val="0"/>
          <w:color w:val="000000"/>
          <w:sz w:val="20"/>
          <w:szCs w:val="20"/>
        </w:rPr>
      </w:pPr>
    </w:p>
    <w:p w14:paraId="5DA70AEB" w14:textId="77777777" w:rsidR="00BC33BB" w:rsidRPr="00BC33BB" w:rsidRDefault="00BC33BB" w:rsidP="00BC33BB">
      <w:pPr>
        <w:tabs>
          <w:tab w:val="decimal" w:pos="1152"/>
          <w:tab w:val="left" w:pos="2340"/>
          <w:tab w:val="right" w:pos="9180"/>
        </w:tabs>
        <w:rPr>
          <w:snapToGrid w:val="0"/>
          <w:color w:val="000000"/>
          <w:sz w:val="20"/>
          <w:szCs w:val="20"/>
        </w:rPr>
      </w:pPr>
    </w:p>
    <w:p w14:paraId="6C5AC411" w14:textId="77777777" w:rsidR="00BC33BB" w:rsidRPr="00BC33BB" w:rsidRDefault="00BC33BB" w:rsidP="00BC33BB">
      <w:pPr>
        <w:tabs>
          <w:tab w:val="decimal" w:pos="1152"/>
          <w:tab w:val="left" w:pos="2340"/>
          <w:tab w:val="right" w:pos="9180"/>
        </w:tabs>
        <w:rPr>
          <w:snapToGrid w:val="0"/>
          <w:color w:val="000000"/>
          <w:sz w:val="20"/>
          <w:szCs w:val="20"/>
        </w:rPr>
      </w:pPr>
    </w:p>
    <w:p w14:paraId="7120B330" w14:textId="77777777" w:rsidR="00BC33BB" w:rsidRPr="00BC33BB" w:rsidRDefault="00BC33BB" w:rsidP="00BC33BB">
      <w:pPr>
        <w:tabs>
          <w:tab w:val="left" w:pos="1080"/>
          <w:tab w:val="left" w:pos="1260"/>
          <w:tab w:val="left" w:pos="2340"/>
          <w:tab w:val="right" w:pos="9180"/>
        </w:tabs>
        <w:ind w:left="1160" w:right="-360" w:hanging="1160"/>
        <w:jc w:val="center"/>
        <w:rPr>
          <w:b/>
          <w:sz w:val="20"/>
          <w:szCs w:val="20"/>
        </w:rPr>
      </w:pPr>
      <w:r w:rsidRPr="00BC33BB">
        <w:rPr>
          <w:snapToGrid w:val="0"/>
          <w:color w:val="000000"/>
          <w:sz w:val="20"/>
          <w:szCs w:val="20"/>
        </w:rPr>
        <w:t>See accompanying notes to consolidated financial statements.</w:t>
      </w:r>
    </w:p>
    <w:p w14:paraId="0D10F61E" w14:textId="0E8731C0" w:rsidR="00BC33BB" w:rsidRDefault="008A3183" w:rsidP="00BC33BB">
      <w:pPr>
        <w:ind w:left="144" w:right="144"/>
        <w:rPr>
          <w:sz w:val="20"/>
          <w:szCs w:val="20"/>
        </w:rPr>
        <w:sectPr w:rsidR="00BC33BB" w:rsidSect="00BC33BB">
          <w:pgSz w:w="15840" w:h="12240" w:orient="landscape"/>
          <w:pgMar w:top="1440" w:right="1440" w:bottom="1440" w:left="1440" w:header="720" w:footer="720" w:gutter="0"/>
          <w:cols w:space="720"/>
          <w:docGrid w:linePitch="326"/>
        </w:sectPr>
      </w:pPr>
      <w:r>
        <w:rPr>
          <w:sz w:val="20"/>
          <w:szCs w:val="20"/>
        </w:rPr>
        <w:t> </w:t>
      </w:r>
    </w:p>
    <w:tbl>
      <w:tblPr>
        <w:tblW w:w="10728" w:type="dxa"/>
        <w:tblLayout w:type="fixed"/>
        <w:tblLook w:val="01E0" w:firstRow="1" w:lastRow="1" w:firstColumn="1" w:lastColumn="1" w:noHBand="0" w:noVBand="0"/>
      </w:tblPr>
      <w:tblGrid>
        <w:gridCol w:w="288"/>
        <w:gridCol w:w="270"/>
        <w:gridCol w:w="360"/>
        <w:gridCol w:w="720"/>
        <w:gridCol w:w="540"/>
        <w:gridCol w:w="2250"/>
        <w:gridCol w:w="1170"/>
        <w:gridCol w:w="1170"/>
        <w:gridCol w:w="180"/>
        <w:gridCol w:w="180"/>
        <w:gridCol w:w="90"/>
        <w:gridCol w:w="1170"/>
        <w:gridCol w:w="180"/>
        <w:gridCol w:w="180"/>
        <w:gridCol w:w="90"/>
        <w:gridCol w:w="1350"/>
        <w:gridCol w:w="270"/>
        <w:gridCol w:w="270"/>
      </w:tblGrid>
      <w:tr w:rsidR="00E239E3" w:rsidRPr="00E239E3" w14:paraId="29FF8616" w14:textId="77777777" w:rsidTr="004F5282">
        <w:tc>
          <w:tcPr>
            <w:tcW w:w="10728" w:type="dxa"/>
            <w:gridSpan w:val="18"/>
          </w:tcPr>
          <w:p w14:paraId="6DC497C6" w14:textId="77777777" w:rsidR="00E239E3" w:rsidRPr="00E239E3" w:rsidRDefault="00E239E3" w:rsidP="00E239E3">
            <w:pPr>
              <w:tabs>
                <w:tab w:val="left" w:pos="2340"/>
                <w:tab w:val="right" w:pos="9180"/>
              </w:tabs>
              <w:jc w:val="center"/>
              <w:rPr>
                <w:b/>
              </w:rPr>
            </w:pPr>
            <w:r w:rsidRPr="00E239E3">
              <w:rPr>
                <w:b/>
              </w:rPr>
              <w:lastRenderedPageBreak/>
              <w:t>GEOVAX LABS. INC.</w:t>
            </w:r>
          </w:p>
        </w:tc>
      </w:tr>
      <w:tr w:rsidR="00E239E3" w:rsidRPr="00E239E3" w14:paraId="6AC0D5F8" w14:textId="77777777" w:rsidTr="004F5282">
        <w:tc>
          <w:tcPr>
            <w:tcW w:w="10728" w:type="dxa"/>
            <w:gridSpan w:val="18"/>
          </w:tcPr>
          <w:p w14:paraId="4AC7B6E9" w14:textId="77777777" w:rsidR="00E239E3" w:rsidRPr="00E239E3" w:rsidRDefault="00E239E3" w:rsidP="00E239E3">
            <w:pPr>
              <w:tabs>
                <w:tab w:val="left" w:pos="2340"/>
                <w:tab w:val="right" w:pos="9180"/>
              </w:tabs>
              <w:jc w:val="center"/>
              <w:rPr>
                <w:b/>
              </w:rPr>
            </w:pPr>
            <w:r w:rsidRPr="00E239E3">
              <w:rPr>
                <w:b/>
              </w:rPr>
              <w:t>CONSOLIDATED STATEMENTS OF CASH FLOWS</w:t>
            </w:r>
          </w:p>
        </w:tc>
      </w:tr>
      <w:tr w:rsidR="00E239E3" w:rsidRPr="00E239E3" w14:paraId="5A111E63" w14:textId="77777777" w:rsidTr="004F5282">
        <w:tc>
          <w:tcPr>
            <w:tcW w:w="558" w:type="dxa"/>
            <w:gridSpan w:val="2"/>
          </w:tcPr>
          <w:p w14:paraId="02DD7652" w14:textId="77777777" w:rsidR="00E239E3" w:rsidRPr="00E239E3" w:rsidRDefault="00E239E3" w:rsidP="00E239E3">
            <w:pPr>
              <w:ind w:right="-360"/>
              <w:rPr>
                <w:sz w:val="20"/>
                <w:szCs w:val="20"/>
              </w:rPr>
            </w:pPr>
          </w:p>
        </w:tc>
        <w:tc>
          <w:tcPr>
            <w:tcW w:w="360" w:type="dxa"/>
          </w:tcPr>
          <w:p w14:paraId="0510D87F" w14:textId="77777777" w:rsidR="00E239E3" w:rsidRPr="00E239E3" w:rsidRDefault="00E239E3" w:rsidP="00E239E3">
            <w:pPr>
              <w:ind w:right="-360"/>
              <w:rPr>
                <w:sz w:val="20"/>
                <w:szCs w:val="20"/>
              </w:rPr>
            </w:pPr>
          </w:p>
        </w:tc>
        <w:tc>
          <w:tcPr>
            <w:tcW w:w="720" w:type="dxa"/>
          </w:tcPr>
          <w:p w14:paraId="724E3629" w14:textId="77777777" w:rsidR="00E239E3" w:rsidRPr="00E239E3" w:rsidRDefault="00E239E3" w:rsidP="00E239E3">
            <w:pPr>
              <w:ind w:right="-360"/>
              <w:rPr>
                <w:sz w:val="20"/>
                <w:szCs w:val="20"/>
              </w:rPr>
            </w:pPr>
          </w:p>
        </w:tc>
        <w:tc>
          <w:tcPr>
            <w:tcW w:w="540" w:type="dxa"/>
          </w:tcPr>
          <w:p w14:paraId="3D80B24E" w14:textId="77777777" w:rsidR="00E239E3" w:rsidRPr="00E239E3" w:rsidRDefault="00E239E3" w:rsidP="00E239E3">
            <w:pPr>
              <w:tabs>
                <w:tab w:val="right" w:pos="9180"/>
              </w:tabs>
              <w:ind w:right="-360"/>
              <w:rPr>
                <w:sz w:val="20"/>
                <w:szCs w:val="20"/>
              </w:rPr>
            </w:pPr>
          </w:p>
        </w:tc>
        <w:tc>
          <w:tcPr>
            <w:tcW w:w="2250" w:type="dxa"/>
          </w:tcPr>
          <w:p w14:paraId="0D4528CA" w14:textId="77777777" w:rsidR="00E239E3" w:rsidRPr="00E239E3" w:rsidRDefault="00E239E3" w:rsidP="00E239E3">
            <w:pPr>
              <w:tabs>
                <w:tab w:val="right" w:pos="9180"/>
              </w:tabs>
              <w:ind w:right="-18"/>
              <w:jc w:val="center"/>
              <w:rPr>
                <w:sz w:val="20"/>
                <w:szCs w:val="20"/>
              </w:rPr>
            </w:pPr>
          </w:p>
        </w:tc>
        <w:tc>
          <w:tcPr>
            <w:tcW w:w="1170" w:type="dxa"/>
          </w:tcPr>
          <w:p w14:paraId="313A87AE" w14:textId="77777777" w:rsidR="00E239E3" w:rsidRPr="00E239E3" w:rsidRDefault="00E239E3" w:rsidP="00E239E3">
            <w:pPr>
              <w:tabs>
                <w:tab w:val="right" w:pos="9180"/>
              </w:tabs>
              <w:ind w:right="-360"/>
              <w:jc w:val="center"/>
              <w:rPr>
                <w:sz w:val="20"/>
                <w:szCs w:val="20"/>
              </w:rPr>
            </w:pPr>
          </w:p>
        </w:tc>
        <w:tc>
          <w:tcPr>
            <w:tcW w:w="1170" w:type="dxa"/>
          </w:tcPr>
          <w:p w14:paraId="2D73DDD4" w14:textId="77777777" w:rsidR="00E239E3" w:rsidRPr="00E239E3" w:rsidRDefault="00E239E3" w:rsidP="00E239E3">
            <w:pPr>
              <w:tabs>
                <w:tab w:val="right" w:pos="9180"/>
              </w:tabs>
              <w:ind w:right="-46"/>
              <w:jc w:val="center"/>
              <w:rPr>
                <w:sz w:val="20"/>
                <w:szCs w:val="20"/>
              </w:rPr>
            </w:pPr>
          </w:p>
        </w:tc>
        <w:tc>
          <w:tcPr>
            <w:tcW w:w="360" w:type="dxa"/>
            <w:gridSpan w:val="2"/>
          </w:tcPr>
          <w:p w14:paraId="5111C9A8" w14:textId="77777777" w:rsidR="00E239E3" w:rsidRPr="00E239E3" w:rsidRDefault="00E239E3" w:rsidP="00E239E3">
            <w:pPr>
              <w:tabs>
                <w:tab w:val="right" w:pos="9180"/>
              </w:tabs>
              <w:ind w:right="-360"/>
              <w:jc w:val="center"/>
              <w:rPr>
                <w:sz w:val="20"/>
                <w:szCs w:val="20"/>
              </w:rPr>
            </w:pPr>
          </w:p>
        </w:tc>
        <w:tc>
          <w:tcPr>
            <w:tcW w:w="1260" w:type="dxa"/>
            <w:gridSpan w:val="2"/>
          </w:tcPr>
          <w:p w14:paraId="3272225A" w14:textId="77777777" w:rsidR="00E239E3" w:rsidRPr="00E239E3" w:rsidRDefault="00E239E3" w:rsidP="00E239E3">
            <w:pPr>
              <w:tabs>
                <w:tab w:val="right" w:pos="9180"/>
              </w:tabs>
              <w:ind w:right="-18"/>
              <w:jc w:val="center"/>
              <w:rPr>
                <w:sz w:val="20"/>
                <w:szCs w:val="20"/>
              </w:rPr>
            </w:pPr>
          </w:p>
        </w:tc>
        <w:tc>
          <w:tcPr>
            <w:tcW w:w="360" w:type="dxa"/>
            <w:gridSpan w:val="2"/>
          </w:tcPr>
          <w:p w14:paraId="5F9C94E2" w14:textId="77777777" w:rsidR="00E239E3" w:rsidRPr="00E239E3" w:rsidRDefault="00E239E3" w:rsidP="00E239E3">
            <w:pPr>
              <w:tabs>
                <w:tab w:val="right" w:pos="9180"/>
              </w:tabs>
              <w:ind w:right="-360"/>
              <w:jc w:val="center"/>
              <w:rPr>
                <w:sz w:val="20"/>
                <w:szCs w:val="20"/>
              </w:rPr>
            </w:pPr>
          </w:p>
        </w:tc>
        <w:tc>
          <w:tcPr>
            <w:tcW w:w="1440" w:type="dxa"/>
            <w:gridSpan w:val="2"/>
          </w:tcPr>
          <w:p w14:paraId="1508992A" w14:textId="77777777" w:rsidR="00E239E3" w:rsidRPr="00E239E3" w:rsidRDefault="00E239E3" w:rsidP="00E239E3">
            <w:pPr>
              <w:tabs>
                <w:tab w:val="right" w:pos="9180"/>
              </w:tabs>
              <w:ind w:right="-18"/>
              <w:jc w:val="center"/>
              <w:rPr>
                <w:sz w:val="20"/>
                <w:szCs w:val="20"/>
              </w:rPr>
            </w:pPr>
          </w:p>
        </w:tc>
        <w:tc>
          <w:tcPr>
            <w:tcW w:w="270" w:type="dxa"/>
          </w:tcPr>
          <w:p w14:paraId="05E8ABCA" w14:textId="77777777" w:rsidR="00E239E3" w:rsidRPr="00E239E3" w:rsidRDefault="00E239E3" w:rsidP="00E239E3">
            <w:pPr>
              <w:tabs>
                <w:tab w:val="right" w:pos="9180"/>
              </w:tabs>
              <w:ind w:right="-360"/>
              <w:rPr>
                <w:sz w:val="20"/>
                <w:szCs w:val="20"/>
              </w:rPr>
            </w:pPr>
          </w:p>
        </w:tc>
        <w:tc>
          <w:tcPr>
            <w:tcW w:w="270" w:type="dxa"/>
          </w:tcPr>
          <w:p w14:paraId="4A131B74" w14:textId="77777777" w:rsidR="00E239E3" w:rsidRPr="00E239E3" w:rsidRDefault="00E239E3" w:rsidP="00E239E3">
            <w:pPr>
              <w:tabs>
                <w:tab w:val="left" w:pos="2340"/>
                <w:tab w:val="right" w:pos="9180"/>
              </w:tabs>
              <w:jc w:val="center"/>
              <w:rPr>
                <w:sz w:val="20"/>
                <w:szCs w:val="20"/>
              </w:rPr>
            </w:pPr>
          </w:p>
        </w:tc>
      </w:tr>
      <w:tr w:rsidR="00E239E3" w:rsidRPr="00E239E3" w14:paraId="43AF70F9" w14:textId="77777777" w:rsidTr="004F5282">
        <w:tc>
          <w:tcPr>
            <w:tcW w:w="558" w:type="dxa"/>
            <w:gridSpan w:val="2"/>
          </w:tcPr>
          <w:p w14:paraId="055AAF6C" w14:textId="77777777" w:rsidR="00E239E3" w:rsidRPr="00E239E3" w:rsidRDefault="00E239E3" w:rsidP="00E239E3">
            <w:pPr>
              <w:ind w:right="-360"/>
              <w:rPr>
                <w:sz w:val="20"/>
                <w:szCs w:val="20"/>
              </w:rPr>
            </w:pPr>
          </w:p>
        </w:tc>
        <w:tc>
          <w:tcPr>
            <w:tcW w:w="360" w:type="dxa"/>
          </w:tcPr>
          <w:p w14:paraId="03086B99" w14:textId="77777777" w:rsidR="00E239E3" w:rsidRPr="00E239E3" w:rsidRDefault="00E239E3" w:rsidP="00E239E3">
            <w:pPr>
              <w:ind w:right="-360"/>
              <w:rPr>
                <w:sz w:val="20"/>
                <w:szCs w:val="20"/>
              </w:rPr>
            </w:pPr>
          </w:p>
        </w:tc>
        <w:tc>
          <w:tcPr>
            <w:tcW w:w="720" w:type="dxa"/>
          </w:tcPr>
          <w:p w14:paraId="75148A3F" w14:textId="77777777" w:rsidR="00E239E3" w:rsidRPr="00E239E3" w:rsidRDefault="00E239E3" w:rsidP="00E239E3">
            <w:pPr>
              <w:ind w:right="-360"/>
              <w:rPr>
                <w:sz w:val="20"/>
                <w:szCs w:val="20"/>
              </w:rPr>
            </w:pPr>
          </w:p>
        </w:tc>
        <w:tc>
          <w:tcPr>
            <w:tcW w:w="540" w:type="dxa"/>
          </w:tcPr>
          <w:p w14:paraId="30087F89" w14:textId="77777777" w:rsidR="00E239E3" w:rsidRPr="00E239E3" w:rsidRDefault="00E239E3" w:rsidP="00E239E3">
            <w:pPr>
              <w:tabs>
                <w:tab w:val="right" w:pos="9180"/>
              </w:tabs>
              <w:ind w:right="-360"/>
              <w:rPr>
                <w:sz w:val="20"/>
                <w:szCs w:val="20"/>
              </w:rPr>
            </w:pPr>
          </w:p>
        </w:tc>
        <w:tc>
          <w:tcPr>
            <w:tcW w:w="2250" w:type="dxa"/>
          </w:tcPr>
          <w:p w14:paraId="511183DC" w14:textId="77777777" w:rsidR="00E239E3" w:rsidRPr="00E239E3" w:rsidRDefault="00E239E3" w:rsidP="00E239E3">
            <w:pPr>
              <w:tabs>
                <w:tab w:val="right" w:pos="9180"/>
              </w:tabs>
              <w:ind w:right="-18"/>
              <w:jc w:val="center"/>
              <w:rPr>
                <w:sz w:val="20"/>
                <w:szCs w:val="20"/>
              </w:rPr>
            </w:pPr>
          </w:p>
        </w:tc>
        <w:tc>
          <w:tcPr>
            <w:tcW w:w="1170" w:type="dxa"/>
          </w:tcPr>
          <w:p w14:paraId="27FC67A4" w14:textId="77777777" w:rsidR="00E239E3" w:rsidRPr="00E239E3" w:rsidRDefault="00E239E3" w:rsidP="00E239E3">
            <w:pPr>
              <w:tabs>
                <w:tab w:val="right" w:pos="9180"/>
              </w:tabs>
              <w:ind w:right="-360"/>
              <w:jc w:val="center"/>
              <w:rPr>
                <w:sz w:val="20"/>
                <w:szCs w:val="20"/>
              </w:rPr>
            </w:pPr>
          </w:p>
        </w:tc>
        <w:tc>
          <w:tcPr>
            <w:tcW w:w="1170" w:type="dxa"/>
          </w:tcPr>
          <w:p w14:paraId="1920B474" w14:textId="77777777" w:rsidR="00E239E3" w:rsidRPr="00E239E3" w:rsidRDefault="00E239E3" w:rsidP="00E239E3">
            <w:pPr>
              <w:tabs>
                <w:tab w:val="right" w:pos="9180"/>
              </w:tabs>
              <w:ind w:right="-46"/>
              <w:rPr>
                <w:sz w:val="20"/>
                <w:szCs w:val="20"/>
              </w:rPr>
            </w:pPr>
          </w:p>
        </w:tc>
        <w:tc>
          <w:tcPr>
            <w:tcW w:w="360" w:type="dxa"/>
            <w:gridSpan w:val="2"/>
          </w:tcPr>
          <w:p w14:paraId="16B7909F" w14:textId="77777777" w:rsidR="00E239E3" w:rsidRPr="00E239E3" w:rsidRDefault="00E239E3" w:rsidP="00E239E3">
            <w:pPr>
              <w:tabs>
                <w:tab w:val="right" w:pos="9180"/>
              </w:tabs>
              <w:ind w:right="-360"/>
              <w:jc w:val="center"/>
              <w:rPr>
                <w:sz w:val="20"/>
                <w:szCs w:val="20"/>
              </w:rPr>
            </w:pPr>
          </w:p>
        </w:tc>
        <w:tc>
          <w:tcPr>
            <w:tcW w:w="3060" w:type="dxa"/>
            <w:gridSpan w:val="6"/>
          </w:tcPr>
          <w:p w14:paraId="1B33EC5F" w14:textId="77777777" w:rsidR="00E239E3" w:rsidRPr="00E239E3" w:rsidRDefault="00E239E3" w:rsidP="00E239E3">
            <w:pPr>
              <w:tabs>
                <w:tab w:val="right" w:pos="9180"/>
              </w:tabs>
              <w:ind w:right="-18"/>
              <w:jc w:val="center"/>
              <w:rPr>
                <w:sz w:val="20"/>
                <w:szCs w:val="20"/>
              </w:rPr>
            </w:pPr>
            <w:r w:rsidRPr="00E239E3">
              <w:rPr>
                <w:sz w:val="20"/>
                <w:szCs w:val="20"/>
              </w:rPr>
              <w:t>Years Ended December 31,</w:t>
            </w:r>
          </w:p>
        </w:tc>
        <w:tc>
          <w:tcPr>
            <w:tcW w:w="270" w:type="dxa"/>
          </w:tcPr>
          <w:p w14:paraId="31FFAC5D" w14:textId="77777777" w:rsidR="00E239E3" w:rsidRPr="00E239E3" w:rsidRDefault="00E239E3" w:rsidP="00E239E3">
            <w:pPr>
              <w:tabs>
                <w:tab w:val="right" w:pos="9180"/>
              </w:tabs>
              <w:ind w:right="-360"/>
              <w:rPr>
                <w:sz w:val="20"/>
                <w:szCs w:val="20"/>
              </w:rPr>
            </w:pPr>
          </w:p>
        </w:tc>
        <w:tc>
          <w:tcPr>
            <w:tcW w:w="270" w:type="dxa"/>
          </w:tcPr>
          <w:p w14:paraId="388439F0" w14:textId="77777777" w:rsidR="00E239E3" w:rsidRPr="00E239E3" w:rsidRDefault="00E239E3" w:rsidP="00E239E3">
            <w:pPr>
              <w:tabs>
                <w:tab w:val="left" w:pos="2340"/>
                <w:tab w:val="right" w:pos="9180"/>
              </w:tabs>
              <w:jc w:val="center"/>
              <w:rPr>
                <w:sz w:val="20"/>
                <w:szCs w:val="20"/>
              </w:rPr>
            </w:pPr>
          </w:p>
        </w:tc>
      </w:tr>
      <w:tr w:rsidR="00E239E3" w:rsidRPr="00E239E3" w14:paraId="64BA2A53" w14:textId="77777777" w:rsidTr="004F5282">
        <w:tc>
          <w:tcPr>
            <w:tcW w:w="558" w:type="dxa"/>
            <w:gridSpan w:val="2"/>
          </w:tcPr>
          <w:p w14:paraId="3C8DD08E" w14:textId="77777777" w:rsidR="00E239E3" w:rsidRPr="00E239E3" w:rsidRDefault="00E239E3" w:rsidP="00E239E3">
            <w:pPr>
              <w:ind w:right="-360"/>
              <w:rPr>
                <w:sz w:val="20"/>
                <w:szCs w:val="20"/>
              </w:rPr>
            </w:pPr>
          </w:p>
        </w:tc>
        <w:tc>
          <w:tcPr>
            <w:tcW w:w="360" w:type="dxa"/>
          </w:tcPr>
          <w:p w14:paraId="2786B818" w14:textId="77777777" w:rsidR="00E239E3" w:rsidRPr="00E239E3" w:rsidRDefault="00E239E3" w:rsidP="00E239E3">
            <w:pPr>
              <w:ind w:right="-360"/>
              <w:rPr>
                <w:sz w:val="20"/>
                <w:szCs w:val="20"/>
              </w:rPr>
            </w:pPr>
          </w:p>
        </w:tc>
        <w:tc>
          <w:tcPr>
            <w:tcW w:w="720" w:type="dxa"/>
          </w:tcPr>
          <w:p w14:paraId="765148C2" w14:textId="77777777" w:rsidR="00E239E3" w:rsidRPr="00E239E3" w:rsidRDefault="00E239E3" w:rsidP="00E239E3">
            <w:pPr>
              <w:ind w:right="-360"/>
              <w:rPr>
                <w:sz w:val="20"/>
                <w:szCs w:val="20"/>
              </w:rPr>
            </w:pPr>
          </w:p>
        </w:tc>
        <w:tc>
          <w:tcPr>
            <w:tcW w:w="540" w:type="dxa"/>
          </w:tcPr>
          <w:p w14:paraId="276124BA" w14:textId="77777777" w:rsidR="00E239E3" w:rsidRPr="00E239E3" w:rsidRDefault="00E239E3" w:rsidP="00E239E3">
            <w:pPr>
              <w:tabs>
                <w:tab w:val="right" w:pos="9180"/>
              </w:tabs>
              <w:ind w:right="-360"/>
              <w:rPr>
                <w:sz w:val="20"/>
                <w:szCs w:val="20"/>
              </w:rPr>
            </w:pPr>
          </w:p>
        </w:tc>
        <w:tc>
          <w:tcPr>
            <w:tcW w:w="2250" w:type="dxa"/>
          </w:tcPr>
          <w:p w14:paraId="54CABCED" w14:textId="77777777" w:rsidR="00E239E3" w:rsidRPr="00E239E3" w:rsidRDefault="00E239E3" w:rsidP="00E239E3">
            <w:pPr>
              <w:tabs>
                <w:tab w:val="right" w:pos="9180"/>
              </w:tabs>
              <w:ind w:right="-18"/>
              <w:jc w:val="center"/>
              <w:rPr>
                <w:sz w:val="20"/>
                <w:szCs w:val="20"/>
              </w:rPr>
            </w:pPr>
          </w:p>
        </w:tc>
        <w:tc>
          <w:tcPr>
            <w:tcW w:w="1170" w:type="dxa"/>
          </w:tcPr>
          <w:p w14:paraId="00BEA346" w14:textId="77777777" w:rsidR="00E239E3" w:rsidRPr="00E239E3" w:rsidRDefault="00E239E3" w:rsidP="00E239E3">
            <w:pPr>
              <w:tabs>
                <w:tab w:val="right" w:pos="9180"/>
              </w:tabs>
              <w:ind w:right="-360"/>
              <w:jc w:val="center"/>
              <w:rPr>
                <w:sz w:val="20"/>
                <w:szCs w:val="20"/>
              </w:rPr>
            </w:pPr>
          </w:p>
        </w:tc>
        <w:tc>
          <w:tcPr>
            <w:tcW w:w="1350" w:type="dxa"/>
            <w:gridSpan w:val="2"/>
          </w:tcPr>
          <w:p w14:paraId="2C8A595F" w14:textId="77777777" w:rsidR="00E239E3" w:rsidRPr="00E239E3" w:rsidRDefault="00E239E3" w:rsidP="00E239E3">
            <w:pPr>
              <w:tabs>
                <w:tab w:val="right" w:pos="9180"/>
              </w:tabs>
              <w:ind w:right="-46"/>
              <w:rPr>
                <w:sz w:val="20"/>
                <w:szCs w:val="20"/>
              </w:rPr>
            </w:pPr>
          </w:p>
        </w:tc>
        <w:tc>
          <w:tcPr>
            <w:tcW w:w="270" w:type="dxa"/>
            <w:gridSpan w:val="2"/>
          </w:tcPr>
          <w:p w14:paraId="52935A0B" w14:textId="77777777" w:rsidR="00E239E3" w:rsidRPr="00E239E3" w:rsidRDefault="00E239E3" w:rsidP="00E239E3">
            <w:pPr>
              <w:tabs>
                <w:tab w:val="right" w:pos="9180"/>
              </w:tabs>
              <w:ind w:right="-360"/>
              <w:jc w:val="center"/>
              <w:rPr>
                <w:sz w:val="20"/>
                <w:szCs w:val="20"/>
              </w:rPr>
            </w:pPr>
          </w:p>
        </w:tc>
        <w:tc>
          <w:tcPr>
            <w:tcW w:w="1350" w:type="dxa"/>
            <w:gridSpan w:val="2"/>
            <w:tcBorders>
              <w:top w:val="single" w:sz="4" w:space="0" w:color="auto"/>
              <w:bottom w:val="single" w:sz="4" w:space="0" w:color="auto"/>
            </w:tcBorders>
          </w:tcPr>
          <w:p w14:paraId="79F236BD" w14:textId="77777777" w:rsidR="00E239E3" w:rsidRPr="00E239E3" w:rsidRDefault="00E239E3" w:rsidP="00E239E3">
            <w:pPr>
              <w:tabs>
                <w:tab w:val="right" w:pos="9180"/>
              </w:tabs>
              <w:ind w:right="-18"/>
              <w:jc w:val="center"/>
              <w:rPr>
                <w:sz w:val="20"/>
                <w:szCs w:val="20"/>
              </w:rPr>
            </w:pPr>
            <w:r w:rsidRPr="00E239E3">
              <w:rPr>
                <w:sz w:val="20"/>
                <w:szCs w:val="20"/>
              </w:rPr>
              <w:t>2021</w:t>
            </w:r>
          </w:p>
        </w:tc>
        <w:tc>
          <w:tcPr>
            <w:tcW w:w="270" w:type="dxa"/>
            <w:gridSpan w:val="2"/>
            <w:tcBorders>
              <w:top w:val="single" w:sz="4" w:space="0" w:color="auto"/>
            </w:tcBorders>
          </w:tcPr>
          <w:p w14:paraId="5C2AF7FB" w14:textId="77777777" w:rsidR="00E239E3" w:rsidRPr="00E239E3" w:rsidRDefault="00E239E3" w:rsidP="00E239E3">
            <w:pPr>
              <w:tabs>
                <w:tab w:val="right" w:pos="9180"/>
              </w:tabs>
              <w:ind w:right="-360"/>
              <w:jc w:val="center"/>
              <w:rPr>
                <w:sz w:val="20"/>
                <w:szCs w:val="20"/>
              </w:rPr>
            </w:pPr>
          </w:p>
        </w:tc>
        <w:tc>
          <w:tcPr>
            <w:tcW w:w="1350" w:type="dxa"/>
            <w:tcBorders>
              <w:top w:val="single" w:sz="4" w:space="0" w:color="auto"/>
              <w:bottom w:val="single" w:sz="4" w:space="0" w:color="auto"/>
            </w:tcBorders>
          </w:tcPr>
          <w:p w14:paraId="777833D1" w14:textId="77777777" w:rsidR="00E239E3" w:rsidRPr="00E239E3" w:rsidRDefault="00E239E3" w:rsidP="00E239E3">
            <w:pPr>
              <w:tabs>
                <w:tab w:val="right" w:pos="9180"/>
              </w:tabs>
              <w:ind w:right="-18"/>
              <w:jc w:val="center"/>
              <w:rPr>
                <w:sz w:val="20"/>
                <w:szCs w:val="20"/>
              </w:rPr>
            </w:pPr>
            <w:r w:rsidRPr="00E239E3">
              <w:rPr>
                <w:sz w:val="20"/>
                <w:szCs w:val="20"/>
              </w:rPr>
              <w:t>2020</w:t>
            </w:r>
          </w:p>
        </w:tc>
        <w:tc>
          <w:tcPr>
            <w:tcW w:w="270" w:type="dxa"/>
          </w:tcPr>
          <w:p w14:paraId="5968DEBF" w14:textId="77777777" w:rsidR="00E239E3" w:rsidRPr="00E239E3" w:rsidRDefault="00E239E3" w:rsidP="00E239E3">
            <w:pPr>
              <w:tabs>
                <w:tab w:val="right" w:pos="9180"/>
              </w:tabs>
              <w:ind w:right="-360"/>
              <w:rPr>
                <w:sz w:val="20"/>
                <w:szCs w:val="20"/>
              </w:rPr>
            </w:pPr>
          </w:p>
        </w:tc>
        <w:tc>
          <w:tcPr>
            <w:tcW w:w="270" w:type="dxa"/>
          </w:tcPr>
          <w:p w14:paraId="27362F1D" w14:textId="77777777" w:rsidR="00E239E3" w:rsidRPr="00E239E3" w:rsidRDefault="00E239E3" w:rsidP="00E239E3">
            <w:pPr>
              <w:tabs>
                <w:tab w:val="left" w:pos="2340"/>
                <w:tab w:val="right" w:pos="9180"/>
              </w:tabs>
              <w:jc w:val="center"/>
              <w:rPr>
                <w:sz w:val="20"/>
                <w:szCs w:val="20"/>
              </w:rPr>
            </w:pPr>
          </w:p>
        </w:tc>
      </w:tr>
      <w:tr w:rsidR="00E239E3" w:rsidRPr="00E239E3" w14:paraId="067B5C00" w14:textId="77777777" w:rsidTr="004F5282">
        <w:tc>
          <w:tcPr>
            <w:tcW w:w="4428" w:type="dxa"/>
            <w:gridSpan w:val="6"/>
          </w:tcPr>
          <w:p w14:paraId="54F6943C" w14:textId="77777777" w:rsidR="00E239E3" w:rsidRPr="00E239E3" w:rsidRDefault="00E239E3" w:rsidP="00E239E3">
            <w:pPr>
              <w:tabs>
                <w:tab w:val="right" w:pos="9180"/>
              </w:tabs>
              <w:ind w:right="-18"/>
              <w:rPr>
                <w:sz w:val="20"/>
                <w:szCs w:val="20"/>
              </w:rPr>
            </w:pPr>
            <w:r w:rsidRPr="00E239E3">
              <w:rPr>
                <w:sz w:val="20"/>
                <w:szCs w:val="20"/>
              </w:rPr>
              <w:t>Cash flows from operating activities:</w:t>
            </w:r>
          </w:p>
        </w:tc>
        <w:tc>
          <w:tcPr>
            <w:tcW w:w="1170" w:type="dxa"/>
          </w:tcPr>
          <w:p w14:paraId="12A192B9" w14:textId="77777777" w:rsidR="00E239E3" w:rsidRPr="00E239E3" w:rsidRDefault="00E239E3" w:rsidP="00E239E3">
            <w:pPr>
              <w:tabs>
                <w:tab w:val="right" w:pos="9180"/>
              </w:tabs>
              <w:ind w:right="-360"/>
              <w:rPr>
                <w:sz w:val="20"/>
                <w:szCs w:val="20"/>
              </w:rPr>
            </w:pPr>
          </w:p>
        </w:tc>
        <w:tc>
          <w:tcPr>
            <w:tcW w:w="1350" w:type="dxa"/>
            <w:gridSpan w:val="2"/>
          </w:tcPr>
          <w:p w14:paraId="5B867D46" w14:textId="77777777" w:rsidR="00E239E3" w:rsidRPr="00E239E3" w:rsidRDefault="00E239E3" w:rsidP="00E239E3">
            <w:pPr>
              <w:tabs>
                <w:tab w:val="right" w:pos="9180"/>
              </w:tabs>
              <w:ind w:right="-46"/>
              <w:rPr>
                <w:sz w:val="20"/>
                <w:szCs w:val="20"/>
              </w:rPr>
            </w:pPr>
          </w:p>
        </w:tc>
        <w:tc>
          <w:tcPr>
            <w:tcW w:w="270" w:type="dxa"/>
            <w:gridSpan w:val="2"/>
          </w:tcPr>
          <w:p w14:paraId="5180DDDD" w14:textId="77777777" w:rsidR="00E239E3" w:rsidRPr="00E239E3" w:rsidRDefault="00E239E3" w:rsidP="00E239E3">
            <w:pPr>
              <w:tabs>
                <w:tab w:val="right" w:pos="9180"/>
              </w:tabs>
              <w:ind w:right="-360"/>
              <w:rPr>
                <w:sz w:val="20"/>
                <w:szCs w:val="20"/>
              </w:rPr>
            </w:pPr>
          </w:p>
        </w:tc>
        <w:tc>
          <w:tcPr>
            <w:tcW w:w="1350" w:type="dxa"/>
            <w:gridSpan w:val="2"/>
          </w:tcPr>
          <w:p w14:paraId="57CC55A7" w14:textId="77777777" w:rsidR="00E239E3" w:rsidRPr="00E239E3" w:rsidRDefault="00E239E3" w:rsidP="00E239E3">
            <w:pPr>
              <w:tabs>
                <w:tab w:val="right" w:pos="9180"/>
              </w:tabs>
              <w:ind w:right="-18"/>
              <w:rPr>
                <w:sz w:val="20"/>
                <w:szCs w:val="20"/>
              </w:rPr>
            </w:pPr>
          </w:p>
        </w:tc>
        <w:tc>
          <w:tcPr>
            <w:tcW w:w="270" w:type="dxa"/>
            <w:gridSpan w:val="2"/>
          </w:tcPr>
          <w:p w14:paraId="54FED6DC" w14:textId="77777777" w:rsidR="00E239E3" w:rsidRPr="00E239E3" w:rsidRDefault="00E239E3" w:rsidP="00E239E3">
            <w:pPr>
              <w:tabs>
                <w:tab w:val="right" w:pos="9180"/>
              </w:tabs>
              <w:ind w:right="-360"/>
              <w:rPr>
                <w:sz w:val="20"/>
                <w:szCs w:val="20"/>
              </w:rPr>
            </w:pPr>
          </w:p>
        </w:tc>
        <w:tc>
          <w:tcPr>
            <w:tcW w:w="1350" w:type="dxa"/>
          </w:tcPr>
          <w:p w14:paraId="4F85A50A" w14:textId="77777777" w:rsidR="00E239E3" w:rsidRPr="00E239E3" w:rsidRDefault="00E239E3" w:rsidP="00E239E3">
            <w:pPr>
              <w:tabs>
                <w:tab w:val="right" w:pos="9180"/>
              </w:tabs>
              <w:ind w:right="-18"/>
              <w:rPr>
                <w:sz w:val="20"/>
                <w:szCs w:val="20"/>
              </w:rPr>
            </w:pPr>
          </w:p>
        </w:tc>
        <w:tc>
          <w:tcPr>
            <w:tcW w:w="270" w:type="dxa"/>
          </w:tcPr>
          <w:p w14:paraId="551958C8" w14:textId="77777777" w:rsidR="00E239E3" w:rsidRPr="00E239E3" w:rsidRDefault="00E239E3" w:rsidP="00E239E3">
            <w:pPr>
              <w:tabs>
                <w:tab w:val="right" w:pos="9180"/>
              </w:tabs>
              <w:ind w:right="-360"/>
              <w:rPr>
                <w:sz w:val="20"/>
                <w:szCs w:val="20"/>
              </w:rPr>
            </w:pPr>
          </w:p>
        </w:tc>
        <w:tc>
          <w:tcPr>
            <w:tcW w:w="270" w:type="dxa"/>
          </w:tcPr>
          <w:p w14:paraId="486FDCED" w14:textId="77777777" w:rsidR="00E239E3" w:rsidRPr="00E239E3" w:rsidRDefault="00E239E3" w:rsidP="00E239E3">
            <w:pPr>
              <w:tabs>
                <w:tab w:val="left" w:pos="2340"/>
                <w:tab w:val="right" w:pos="9180"/>
              </w:tabs>
              <w:rPr>
                <w:sz w:val="20"/>
                <w:szCs w:val="20"/>
              </w:rPr>
            </w:pPr>
          </w:p>
        </w:tc>
      </w:tr>
      <w:tr w:rsidR="00E239E3" w:rsidRPr="00E239E3" w14:paraId="5D775FD7" w14:textId="77777777" w:rsidTr="004F5282">
        <w:tc>
          <w:tcPr>
            <w:tcW w:w="288" w:type="dxa"/>
          </w:tcPr>
          <w:p w14:paraId="45850EB1" w14:textId="77777777" w:rsidR="00E239E3" w:rsidRPr="00E239E3" w:rsidRDefault="00E239E3" w:rsidP="00E239E3">
            <w:pPr>
              <w:ind w:right="-360"/>
              <w:rPr>
                <w:sz w:val="20"/>
                <w:szCs w:val="20"/>
              </w:rPr>
            </w:pPr>
          </w:p>
        </w:tc>
        <w:tc>
          <w:tcPr>
            <w:tcW w:w="4140" w:type="dxa"/>
            <w:gridSpan w:val="5"/>
          </w:tcPr>
          <w:p w14:paraId="1C9179F7" w14:textId="77777777" w:rsidR="00E239E3" w:rsidRPr="00E239E3" w:rsidRDefault="00E239E3" w:rsidP="00E239E3">
            <w:pPr>
              <w:tabs>
                <w:tab w:val="right" w:pos="9180"/>
              </w:tabs>
              <w:ind w:right="-18"/>
              <w:rPr>
                <w:sz w:val="20"/>
                <w:szCs w:val="20"/>
              </w:rPr>
            </w:pPr>
            <w:r w:rsidRPr="00E239E3">
              <w:rPr>
                <w:sz w:val="20"/>
                <w:szCs w:val="20"/>
              </w:rPr>
              <w:t>Net loss</w:t>
            </w:r>
          </w:p>
        </w:tc>
        <w:tc>
          <w:tcPr>
            <w:tcW w:w="1170" w:type="dxa"/>
          </w:tcPr>
          <w:p w14:paraId="1400AE28" w14:textId="77777777" w:rsidR="00E239E3" w:rsidRPr="00E239E3" w:rsidRDefault="00E239E3" w:rsidP="00E239E3">
            <w:pPr>
              <w:tabs>
                <w:tab w:val="right" w:pos="9180"/>
              </w:tabs>
              <w:ind w:right="-360"/>
              <w:rPr>
                <w:sz w:val="20"/>
                <w:szCs w:val="20"/>
              </w:rPr>
            </w:pPr>
          </w:p>
        </w:tc>
        <w:tc>
          <w:tcPr>
            <w:tcW w:w="1350" w:type="dxa"/>
            <w:gridSpan w:val="2"/>
          </w:tcPr>
          <w:p w14:paraId="7925FB8F" w14:textId="77777777" w:rsidR="00E239E3" w:rsidRPr="00E239E3" w:rsidRDefault="00E239E3" w:rsidP="00E239E3">
            <w:pPr>
              <w:tabs>
                <w:tab w:val="decimal" w:pos="972"/>
                <w:tab w:val="right" w:pos="9180"/>
              </w:tabs>
              <w:ind w:right="-46"/>
              <w:rPr>
                <w:sz w:val="20"/>
                <w:szCs w:val="20"/>
              </w:rPr>
            </w:pPr>
          </w:p>
        </w:tc>
        <w:tc>
          <w:tcPr>
            <w:tcW w:w="270" w:type="dxa"/>
            <w:gridSpan w:val="2"/>
          </w:tcPr>
          <w:p w14:paraId="4130A4A5" w14:textId="77777777" w:rsidR="00E239E3" w:rsidRPr="00E239E3" w:rsidRDefault="00E239E3" w:rsidP="00E239E3">
            <w:pPr>
              <w:tabs>
                <w:tab w:val="right" w:pos="9180"/>
              </w:tabs>
              <w:ind w:right="-360"/>
              <w:rPr>
                <w:sz w:val="20"/>
                <w:szCs w:val="20"/>
              </w:rPr>
            </w:pPr>
          </w:p>
        </w:tc>
        <w:tc>
          <w:tcPr>
            <w:tcW w:w="1350" w:type="dxa"/>
            <w:gridSpan w:val="2"/>
          </w:tcPr>
          <w:p w14:paraId="022925FC" w14:textId="77777777" w:rsidR="00E239E3" w:rsidRPr="00E239E3" w:rsidRDefault="00E239E3" w:rsidP="00E239E3">
            <w:pPr>
              <w:tabs>
                <w:tab w:val="decimal" w:pos="972"/>
                <w:tab w:val="right" w:pos="9180"/>
              </w:tabs>
              <w:ind w:right="-18"/>
              <w:rPr>
                <w:sz w:val="20"/>
                <w:szCs w:val="20"/>
              </w:rPr>
            </w:pPr>
            <w:r w:rsidRPr="00E239E3">
              <w:rPr>
                <w:sz w:val="20"/>
                <w:szCs w:val="20"/>
              </w:rPr>
              <w:t>$</w:t>
            </w:r>
            <w:r w:rsidRPr="00E239E3">
              <w:rPr>
                <w:sz w:val="20"/>
                <w:szCs w:val="20"/>
              </w:rPr>
              <w:tab/>
              <w:t>(18,570,317)</w:t>
            </w:r>
          </w:p>
        </w:tc>
        <w:tc>
          <w:tcPr>
            <w:tcW w:w="270" w:type="dxa"/>
            <w:gridSpan w:val="2"/>
          </w:tcPr>
          <w:p w14:paraId="7FA2F86E" w14:textId="77777777" w:rsidR="00E239E3" w:rsidRPr="00E239E3" w:rsidRDefault="00E239E3" w:rsidP="00E239E3">
            <w:pPr>
              <w:tabs>
                <w:tab w:val="right" w:pos="9180"/>
              </w:tabs>
              <w:ind w:right="-360"/>
              <w:rPr>
                <w:sz w:val="20"/>
                <w:szCs w:val="20"/>
              </w:rPr>
            </w:pPr>
          </w:p>
        </w:tc>
        <w:tc>
          <w:tcPr>
            <w:tcW w:w="1350" w:type="dxa"/>
          </w:tcPr>
          <w:p w14:paraId="2A218388" w14:textId="77777777" w:rsidR="00E239E3" w:rsidRPr="00E239E3" w:rsidRDefault="00E239E3" w:rsidP="00E239E3">
            <w:pPr>
              <w:tabs>
                <w:tab w:val="decimal" w:pos="972"/>
                <w:tab w:val="right" w:pos="9180"/>
              </w:tabs>
              <w:ind w:right="-18"/>
              <w:rPr>
                <w:sz w:val="20"/>
                <w:szCs w:val="20"/>
              </w:rPr>
            </w:pPr>
            <w:r w:rsidRPr="00E239E3">
              <w:rPr>
                <w:sz w:val="20"/>
                <w:szCs w:val="20"/>
              </w:rPr>
              <w:t>$</w:t>
            </w:r>
            <w:r w:rsidRPr="00E239E3">
              <w:rPr>
                <w:sz w:val="20"/>
                <w:szCs w:val="20"/>
              </w:rPr>
              <w:tab/>
              <w:t>(2,958,068)</w:t>
            </w:r>
          </w:p>
        </w:tc>
        <w:tc>
          <w:tcPr>
            <w:tcW w:w="270" w:type="dxa"/>
          </w:tcPr>
          <w:p w14:paraId="62BFD4A4" w14:textId="77777777" w:rsidR="00E239E3" w:rsidRPr="00E239E3" w:rsidRDefault="00E239E3" w:rsidP="00E239E3">
            <w:pPr>
              <w:tabs>
                <w:tab w:val="right" w:pos="9180"/>
              </w:tabs>
              <w:ind w:right="-360"/>
              <w:rPr>
                <w:sz w:val="20"/>
                <w:szCs w:val="20"/>
              </w:rPr>
            </w:pPr>
          </w:p>
        </w:tc>
        <w:tc>
          <w:tcPr>
            <w:tcW w:w="270" w:type="dxa"/>
          </w:tcPr>
          <w:p w14:paraId="744D886B" w14:textId="77777777" w:rsidR="00E239E3" w:rsidRPr="00E239E3" w:rsidRDefault="00E239E3" w:rsidP="00E239E3">
            <w:pPr>
              <w:tabs>
                <w:tab w:val="decimal" w:pos="1422"/>
                <w:tab w:val="left" w:pos="2340"/>
                <w:tab w:val="right" w:pos="9180"/>
              </w:tabs>
              <w:rPr>
                <w:sz w:val="20"/>
                <w:szCs w:val="20"/>
              </w:rPr>
            </w:pPr>
          </w:p>
        </w:tc>
      </w:tr>
      <w:tr w:rsidR="00E239E3" w:rsidRPr="00E239E3" w14:paraId="1DCD2E96" w14:textId="77777777" w:rsidTr="004F5282">
        <w:tc>
          <w:tcPr>
            <w:tcW w:w="288" w:type="dxa"/>
          </w:tcPr>
          <w:p w14:paraId="47A49565" w14:textId="77777777" w:rsidR="00E239E3" w:rsidRPr="00E239E3" w:rsidRDefault="00E239E3" w:rsidP="00E239E3">
            <w:pPr>
              <w:ind w:right="-360"/>
              <w:rPr>
                <w:sz w:val="20"/>
                <w:szCs w:val="20"/>
              </w:rPr>
            </w:pPr>
          </w:p>
        </w:tc>
        <w:tc>
          <w:tcPr>
            <w:tcW w:w="4140" w:type="dxa"/>
            <w:gridSpan w:val="5"/>
          </w:tcPr>
          <w:p w14:paraId="100418D0" w14:textId="77777777" w:rsidR="00E239E3" w:rsidRPr="00E239E3" w:rsidRDefault="00E239E3" w:rsidP="00E239E3">
            <w:pPr>
              <w:tabs>
                <w:tab w:val="right" w:pos="9180"/>
              </w:tabs>
              <w:ind w:right="-18"/>
              <w:rPr>
                <w:sz w:val="20"/>
                <w:szCs w:val="20"/>
              </w:rPr>
            </w:pPr>
            <w:r w:rsidRPr="00E239E3">
              <w:rPr>
                <w:sz w:val="20"/>
                <w:szCs w:val="20"/>
              </w:rPr>
              <w:t>Adjustments to reconcile net loss to net cash</w:t>
            </w:r>
          </w:p>
        </w:tc>
        <w:tc>
          <w:tcPr>
            <w:tcW w:w="1170" w:type="dxa"/>
          </w:tcPr>
          <w:p w14:paraId="0838A43B" w14:textId="77777777" w:rsidR="00E239E3" w:rsidRPr="00E239E3" w:rsidRDefault="00E239E3" w:rsidP="00E239E3">
            <w:pPr>
              <w:tabs>
                <w:tab w:val="right" w:pos="9180"/>
              </w:tabs>
              <w:ind w:right="-360"/>
              <w:rPr>
                <w:sz w:val="20"/>
                <w:szCs w:val="20"/>
              </w:rPr>
            </w:pPr>
          </w:p>
        </w:tc>
        <w:tc>
          <w:tcPr>
            <w:tcW w:w="1350" w:type="dxa"/>
            <w:gridSpan w:val="2"/>
          </w:tcPr>
          <w:p w14:paraId="0001158C" w14:textId="77777777" w:rsidR="00E239E3" w:rsidRPr="00E239E3" w:rsidRDefault="00E239E3" w:rsidP="00E239E3">
            <w:pPr>
              <w:tabs>
                <w:tab w:val="right" w:pos="9180"/>
              </w:tabs>
              <w:ind w:right="-46"/>
              <w:rPr>
                <w:sz w:val="20"/>
                <w:szCs w:val="20"/>
              </w:rPr>
            </w:pPr>
          </w:p>
        </w:tc>
        <w:tc>
          <w:tcPr>
            <w:tcW w:w="270" w:type="dxa"/>
            <w:gridSpan w:val="2"/>
          </w:tcPr>
          <w:p w14:paraId="44A4527B" w14:textId="77777777" w:rsidR="00E239E3" w:rsidRPr="00E239E3" w:rsidRDefault="00E239E3" w:rsidP="00E239E3">
            <w:pPr>
              <w:tabs>
                <w:tab w:val="right" w:pos="9180"/>
              </w:tabs>
              <w:ind w:right="-360"/>
              <w:rPr>
                <w:sz w:val="20"/>
                <w:szCs w:val="20"/>
              </w:rPr>
            </w:pPr>
          </w:p>
        </w:tc>
        <w:tc>
          <w:tcPr>
            <w:tcW w:w="1350" w:type="dxa"/>
            <w:gridSpan w:val="2"/>
          </w:tcPr>
          <w:p w14:paraId="6EFD227B" w14:textId="77777777" w:rsidR="00E239E3" w:rsidRPr="00E239E3" w:rsidRDefault="00E239E3" w:rsidP="00E239E3">
            <w:pPr>
              <w:tabs>
                <w:tab w:val="decimal" w:pos="972"/>
                <w:tab w:val="right" w:pos="9180"/>
              </w:tabs>
              <w:ind w:right="-18"/>
              <w:rPr>
                <w:sz w:val="20"/>
                <w:szCs w:val="20"/>
              </w:rPr>
            </w:pPr>
            <w:r w:rsidRPr="00E239E3">
              <w:rPr>
                <w:sz w:val="20"/>
                <w:szCs w:val="20"/>
              </w:rPr>
              <w:tab/>
            </w:r>
          </w:p>
        </w:tc>
        <w:tc>
          <w:tcPr>
            <w:tcW w:w="270" w:type="dxa"/>
            <w:gridSpan w:val="2"/>
          </w:tcPr>
          <w:p w14:paraId="0020C2AC" w14:textId="77777777" w:rsidR="00E239E3" w:rsidRPr="00E239E3" w:rsidRDefault="00E239E3" w:rsidP="00E239E3">
            <w:pPr>
              <w:tabs>
                <w:tab w:val="right" w:pos="9180"/>
              </w:tabs>
              <w:ind w:right="-360"/>
              <w:rPr>
                <w:sz w:val="20"/>
                <w:szCs w:val="20"/>
              </w:rPr>
            </w:pPr>
          </w:p>
        </w:tc>
        <w:tc>
          <w:tcPr>
            <w:tcW w:w="1350" w:type="dxa"/>
          </w:tcPr>
          <w:p w14:paraId="03D8E8E0" w14:textId="77777777" w:rsidR="00E239E3" w:rsidRPr="00E239E3" w:rsidRDefault="00E239E3" w:rsidP="00E239E3">
            <w:pPr>
              <w:tabs>
                <w:tab w:val="decimal" w:pos="972"/>
                <w:tab w:val="right" w:pos="9180"/>
              </w:tabs>
              <w:ind w:right="-18"/>
              <w:rPr>
                <w:sz w:val="20"/>
                <w:szCs w:val="20"/>
              </w:rPr>
            </w:pPr>
          </w:p>
        </w:tc>
        <w:tc>
          <w:tcPr>
            <w:tcW w:w="270" w:type="dxa"/>
          </w:tcPr>
          <w:p w14:paraId="336A892F" w14:textId="77777777" w:rsidR="00E239E3" w:rsidRPr="00E239E3" w:rsidRDefault="00E239E3" w:rsidP="00E239E3">
            <w:pPr>
              <w:tabs>
                <w:tab w:val="right" w:pos="9180"/>
              </w:tabs>
              <w:ind w:right="-360"/>
              <w:rPr>
                <w:sz w:val="20"/>
                <w:szCs w:val="20"/>
              </w:rPr>
            </w:pPr>
          </w:p>
        </w:tc>
        <w:tc>
          <w:tcPr>
            <w:tcW w:w="270" w:type="dxa"/>
          </w:tcPr>
          <w:p w14:paraId="191D8D94" w14:textId="77777777" w:rsidR="00E239E3" w:rsidRPr="00E239E3" w:rsidRDefault="00E239E3" w:rsidP="00E239E3">
            <w:pPr>
              <w:tabs>
                <w:tab w:val="left" w:pos="2340"/>
                <w:tab w:val="right" w:pos="9180"/>
              </w:tabs>
              <w:rPr>
                <w:sz w:val="20"/>
                <w:szCs w:val="20"/>
              </w:rPr>
            </w:pPr>
          </w:p>
        </w:tc>
      </w:tr>
      <w:tr w:rsidR="00E239E3" w:rsidRPr="00E239E3" w14:paraId="4955FCC9" w14:textId="77777777" w:rsidTr="004F5282">
        <w:tc>
          <w:tcPr>
            <w:tcW w:w="288" w:type="dxa"/>
          </w:tcPr>
          <w:p w14:paraId="6380FB15" w14:textId="77777777" w:rsidR="00E239E3" w:rsidRPr="00E239E3" w:rsidRDefault="00E239E3" w:rsidP="00E239E3">
            <w:pPr>
              <w:ind w:right="-360"/>
              <w:rPr>
                <w:sz w:val="20"/>
                <w:szCs w:val="20"/>
              </w:rPr>
            </w:pPr>
          </w:p>
        </w:tc>
        <w:tc>
          <w:tcPr>
            <w:tcW w:w="4140" w:type="dxa"/>
            <w:gridSpan w:val="5"/>
          </w:tcPr>
          <w:p w14:paraId="662D3ADE" w14:textId="77777777" w:rsidR="00E239E3" w:rsidRPr="00E239E3" w:rsidRDefault="00E239E3" w:rsidP="00E239E3">
            <w:pPr>
              <w:tabs>
                <w:tab w:val="right" w:pos="9180"/>
              </w:tabs>
              <w:ind w:right="-18"/>
              <w:rPr>
                <w:sz w:val="20"/>
                <w:szCs w:val="20"/>
              </w:rPr>
            </w:pPr>
            <w:r w:rsidRPr="00E239E3">
              <w:rPr>
                <w:sz w:val="20"/>
                <w:szCs w:val="20"/>
              </w:rPr>
              <w:t xml:space="preserve">  used in operating activities:</w:t>
            </w:r>
          </w:p>
        </w:tc>
        <w:tc>
          <w:tcPr>
            <w:tcW w:w="1170" w:type="dxa"/>
          </w:tcPr>
          <w:p w14:paraId="70383DE6" w14:textId="77777777" w:rsidR="00E239E3" w:rsidRPr="00E239E3" w:rsidRDefault="00E239E3" w:rsidP="00E239E3">
            <w:pPr>
              <w:tabs>
                <w:tab w:val="right" w:pos="9180"/>
              </w:tabs>
              <w:ind w:right="-360"/>
              <w:rPr>
                <w:sz w:val="20"/>
                <w:szCs w:val="20"/>
              </w:rPr>
            </w:pPr>
          </w:p>
        </w:tc>
        <w:tc>
          <w:tcPr>
            <w:tcW w:w="1350" w:type="dxa"/>
            <w:gridSpan w:val="2"/>
          </w:tcPr>
          <w:p w14:paraId="38AB85EF" w14:textId="77777777" w:rsidR="00E239E3" w:rsidRPr="00E239E3" w:rsidRDefault="00E239E3" w:rsidP="00E239E3">
            <w:pPr>
              <w:tabs>
                <w:tab w:val="right" w:pos="9180"/>
              </w:tabs>
              <w:ind w:right="-46"/>
              <w:rPr>
                <w:sz w:val="20"/>
                <w:szCs w:val="20"/>
              </w:rPr>
            </w:pPr>
          </w:p>
        </w:tc>
        <w:tc>
          <w:tcPr>
            <w:tcW w:w="270" w:type="dxa"/>
            <w:gridSpan w:val="2"/>
          </w:tcPr>
          <w:p w14:paraId="273DF286" w14:textId="77777777" w:rsidR="00E239E3" w:rsidRPr="00E239E3" w:rsidRDefault="00E239E3" w:rsidP="00E239E3">
            <w:pPr>
              <w:tabs>
                <w:tab w:val="right" w:pos="9180"/>
              </w:tabs>
              <w:ind w:right="-360"/>
              <w:rPr>
                <w:sz w:val="20"/>
                <w:szCs w:val="20"/>
              </w:rPr>
            </w:pPr>
          </w:p>
        </w:tc>
        <w:tc>
          <w:tcPr>
            <w:tcW w:w="1350" w:type="dxa"/>
            <w:gridSpan w:val="2"/>
          </w:tcPr>
          <w:p w14:paraId="0E8DCA36" w14:textId="77777777" w:rsidR="00E239E3" w:rsidRPr="00E239E3" w:rsidRDefault="00E239E3" w:rsidP="00E239E3">
            <w:pPr>
              <w:tabs>
                <w:tab w:val="decimal" w:pos="972"/>
                <w:tab w:val="right" w:pos="9180"/>
              </w:tabs>
              <w:ind w:right="-18"/>
              <w:rPr>
                <w:sz w:val="20"/>
                <w:szCs w:val="20"/>
              </w:rPr>
            </w:pPr>
            <w:r w:rsidRPr="00E239E3">
              <w:rPr>
                <w:sz w:val="20"/>
                <w:szCs w:val="20"/>
              </w:rPr>
              <w:tab/>
            </w:r>
          </w:p>
        </w:tc>
        <w:tc>
          <w:tcPr>
            <w:tcW w:w="270" w:type="dxa"/>
            <w:gridSpan w:val="2"/>
          </w:tcPr>
          <w:p w14:paraId="709330B0" w14:textId="77777777" w:rsidR="00E239E3" w:rsidRPr="00E239E3" w:rsidRDefault="00E239E3" w:rsidP="00E239E3">
            <w:pPr>
              <w:tabs>
                <w:tab w:val="right" w:pos="9180"/>
              </w:tabs>
              <w:ind w:right="-360"/>
              <w:rPr>
                <w:sz w:val="20"/>
                <w:szCs w:val="20"/>
              </w:rPr>
            </w:pPr>
          </w:p>
        </w:tc>
        <w:tc>
          <w:tcPr>
            <w:tcW w:w="1350" w:type="dxa"/>
          </w:tcPr>
          <w:p w14:paraId="59BFBD2F" w14:textId="77777777" w:rsidR="00E239E3" w:rsidRPr="00E239E3" w:rsidRDefault="00E239E3" w:rsidP="00E239E3">
            <w:pPr>
              <w:tabs>
                <w:tab w:val="decimal" w:pos="972"/>
                <w:tab w:val="right" w:pos="9180"/>
              </w:tabs>
              <w:ind w:right="-18"/>
              <w:rPr>
                <w:sz w:val="20"/>
                <w:szCs w:val="20"/>
              </w:rPr>
            </w:pPr>
          </w:p>
        </w:tc>
        <w:tc>
          <w:tcPr>
            <w:tcW w:w="270" w:type="dxa"/>
          </w:tcPr>
          <w:p w14:paraId="2BC9879F" w14:textId="77777777" w:rsidR="00E239E3" w:rsidRPr="00E239E3" w:rsidRDefault="00E239E3" w:rsidP="00E239E3">
            <w:pPr>
              <w:tabs>
                <w:tab w:val="right" w:pos="9180"/>
              </w:tabs>
              <w:ind w:right="-360"/>
              <w:rPr>
                <w:sz w:val="20"/>
                <w:szCs w:val="20"/>
              </w:rPr>
            </w:pPr>
          </w:p>
        </w:tc>
        <w:tc>
          <w:tcPr>
            <w:tcW w:w="270" w:type="dxa"/>
          </w:tcPr>
          <w:p w14:paraId="6D64A68A" w14:textId="77777777" w:rsidR="00E239E3" w:rsidRPr="00E239E3" w:rsidRDefault="00E239E3" w:rsidP="00E239E3">
            <w:pPr>
              <w:tabs>
                <w:tab w:val="left" w:pos="2340"/>
                <w:tab w:val="right" w:pos="9180"/>
              </w:tabs>
              <w:rPr>
                <w:sz w:val="20"/>
                <w:szCs w:val="20"/>
              </w:rPr>
            </w:pPr>
          </w:p>
        </w:tc>
      </w:tr>
      <w:tr w:rsidR="00E239E3" w:rsidRPr="00E239E3" w14:paraId="6A664ABD" w14:textId="77777777" w:rsidTr="004F5282">
        <w:tc>
          <w:tcPr>
            <w:tcW w:w="288" w:type="dxa"/>
          </w:tcPr>
          <w:p w14:paraId="02CF8038" w14:textId="77777777" w:rsidR="00E239E3" w:rsidRPr="00E239E3" w:rsidRDefault="00E239E3" w:rsidP="00E239E3">
            <w:pPr>
              <w:ind w:right="-360"/>
              <w:rPr>
                <w:sz w:val="20"/>
                <w:szCs w:val="20"/>
              </w:rPr>
            </w:pPr>
          </w:p>
        </w:tc>
        <w:tc>
          <w:tcPr>
            <w:tcW w:w="270" w:type="dxa"/>
          </w:tcPr>
          <w:p w14:paraId="6D76859C" w14:textId="77777777" w:rsidR="00E239E3" w:rsidRPr="00E239E3" w:rsidRDefault="00E239E3" w:rsidP="00E239E3">
            <w:pPr>
              <w:ind w:right="-360"/>
              <w:rPr>
                <w:sz w:val="20"/>
                <w:szCs w:val="20"/>
              </w:rPr>
            </w:pPr>
          </w:p>
        </w:tc>
        <w:tc>
          <w:tcPr>
            <w:tcW w:w="3870" w:type="dxa"/>
            <w:gridSpan w:val="4"/>
          </w:tcPr>
          <w:p w14:paraId="76F0A463" w14:textId="77777777" w:rsidR="00E239E3" w:rsidRPr="00E239E3" w:rsidRDefault="00E239E3" w:rsidP="00E239E3">
            <w:pPr>
              <w:tabs>
                <w:tab w:val="right" w:pos="9180"/>
              </w:tabs>
              <w:ind w:right="-18"/>
              <w:rPr>
                <w:b/>
                <w:sz w:val="20"/>
                <w:szCs w:val="20"/>
              </w:rPr>
            </w:pPr>
            <w:r w:rsidRPr="00E239E3">
              <w:rPr>
                <w:sz w:val="20"/>
                <w:szCs w:val="20"/>
              </w:rPr>
              <w:t>Depreciation and amortization</w:t>
            </w:r>
          </w:p>
        </w:tc>
        <w:tc>
          <w:tcPr>
            <w:tcW w:w="1170" w:type="dxa"/>
          </w:tcPr>
          <w:p w14:paraId="08DF5E55" w14:textId="77777777" w:rsidR="00E239E3" w:rsidRPr="00E239E3" w:rsidRDefault="00E239E3" w:rsidP="00E239E3">
            <w:pPr>
              <w:tabs>
                <w:tab w:val="right" w:pos="9180"/>
              </w:tabs>
              <w:ind w:right="-360"/>
              <w:rPr>
                <w:sz w:val="20"/>
                <w:szCs w:val="20"/>
              </w:rPr>
            </w:pPr>
          </w:p>
        </w:tc>
        <w:tc>
          <w:tcPr>
            <w:tcW w:w="1350" w:type="dxa"/>
            <w:gridSpan w:val="2"/>
          </w:tcPr>
          <w:p w14:paraId="7C3299CC" w14:textId="77777777" w:rsidR="00E239E3" w:rsidRPr="00E239E3" w:rsidRDefault="00E239E3" w:rsidP="00E239E3">
            <w:pPr>
              <w:tabs>
                <w:tab w:val="decimal" w:pos="957"/>
                <w:tab w:val="right" w:pos="9180"/>
              </w:tabs>
              <w:ind w:right="-46"/>
              <w:rPr>
                <w:sz w:val="20"/>
                <w:szCs w:val="20"/>
              </w:rPr>
            </w:pPr>
          </w:p>
        </w:tc>
        <w:tc>
          <w:tcPr>
            <w:tcW w:w="270" w:type="dxa"/>
            <w:gridSpan w:val="2"/>
          </w:tcPr>
          <w:p w14:paraId="3C432CC8" w14:textId="77777777" w:rsidR="00E239E3" w:rsidRPr="00E239E3" w:rsidRDefault="00E239E3" w:rsidP="00E239E3">
            <w:pPr>
              <w:tabs>
                <w:tab w:val="right" w:pos="9180"/>
              </w:tabs>
              <w:ind w:right="-360"/>
              <w:rPr>
                <w:sz w:val="20"/>
                <w:szCs w:val="20"/>
              </w:rPr>
            </w:pPr>
          </w:p>
        </w:tc>
        <w:tc>
          <w:tcPr>
            <w:tcW w:w="1350" w:type="dxa"/>
            <w:gridSpan w:val="2"/>
          </w:tcPr>
          <w:p w14:paraId="7819D04A" w14:textId="77777777" w:rsidR="00E239E3" w:rsidRPr="00E239E3" w:rsidRDefault="00E239E3" w:rsidP="00E239E3">
            <w:pPr>
              <w:tabs>
                <w:tab w:val="decimal" w:pos="972"/>
                <w:tab w:val="right" w:pos="9180"/>
              </w:tabs>
              <w:ind w:right="-18"/>
              <w:rPr>
                <w:sz w:val="20"/>
                <w:szCs w:val="20"/>
              </w:rPr>
            </w:pPr>
            <w:r w:rsidRPr="00E239E3">
              <w:rPr>
                <w:sz w:val="20"/>
                <w:szCs w:val="20"/>
              </w:rPr>
              <w:tab/>
              <w:t>38,521</w:t>
            </w:r>
          </w:p>
        </w:tc>
        <w:tc>
          <w:tcPr>
            <w:tcW w:w="270" w:type="dxa"/>
            <w:gridSpan w:val="2"/>
          </w:tcPr>
          <w:p w14:paraId="1158ACB5" w14:textId="77777777" w:rsidR="00E239E3" w:rsidRPr="00E239E3" w:rsidRDefault="00E239E3" w:rsidP="00E239E3">
            <w:pPr>
              <w:tabs>
                <w:tab w:val="right" w:pos="9180"/>
              </w:tabs>
              <w:ind w:right="-360"/>
              <w:rPr>
                <w:sz w:val="20"/>
                <w:szCs w:val="20"/>
              </w:rPr>
            </w:pPr>
          </w:p>
        </w:tc>
        <w:tc>
          <w:tcPr>
            <w:tcW w:w="1350" w:type="dxa"/>
          </w:tcPr>
          <w:p w14:paraId="11E65F1E" w14:textId="77777777" w:rsidR="00E239E3" w:rsidRPr="00E239E3" w:rsidRDefault="00E239E3" w:rsidP="00E239E3">
            <w:pPr>
              <w:tabs>
                <w:tab w:val="decimal" w:pos="972"/>
                <w:tab w:val="right" w:pos="9180"/>
              </w:tabs>
              <w:ind w:right="-18"/>
              <w:rPr>
                <w:sz w:val="20"/>
                <w:szCs w:val="20"/>
              </w:rPr>
            </w:pPr>
            <w:r w:rsidRPr="00E239E3">
              <w:rPr>
                <w:sz w:val="20"/>
                <w:szCs w:val="20"/>
              </w:rPr>
              <w:tab/>
              <w:t>19,656</w:t>
            </w:r>
          </w:p>
        </w:tc>
        <w:tc>
          <w:tcPr>
            <w:tcW w:w="270" w:type="dxa"/>
          </w:tcPr>
          <w:p w14:paraId="4DDBC0B0" w14:textId="77777777" w:rsidR="00E239E3" w:rsidRPr="00E239E3" w:rsidRDefault="00E239E3" w:rsidP="00E239E3">
            <w:pPr>
              <w:tabs>
                <w:tab w:val="right" w:pos="9180"/>
              </w:tabs>
              <w:ind w:right="-360"/>
              <w:rPr>
                <w:sz w:val="20"/>
                <w:szCs w:val="20"/>
              </w:rPr>
            </w:pPr>
          </w:p>
        </w:tc>
        <w:tc>
          <w:tcPr>
            <w:tcW w:w="270" w:type="dxa"/>
          </w:tcPr>
          <w:p w14:paraId="027C0206" w14:textId="77777777" w:rsidR="00E239E3" w:rsidRPr="00E239E3" w:rsidRDefault="00E239E3" w:rsidP="00E239E3">
            <w:pPr>
              <w:tabs>
                <w:tab w:val="decimal" w:pos="1392"/>
                <w:tab w:val="left" w:pos="2340"/>
                <w:tab w:val="right" w:pos="9180"/>
              </w:tabs>
              <w:rPr>
                <w:sz w:val="20"/>
                <w:szCs w:val="20"/>
              </w:rPr>
            </w:pPr>
          </w:p>
        </w:tc>
      </w:tr>
      <w:tr w:rsidR="00E239E3" w:rsidRPr="00E239E3" w14:paraId="718DA8DF" w14:textId="77777777" w:rsidTr="004F5282">
        <w:tc>
          <w:tcPr>
            <w:tcW w:w="288" w:type="dxa"/>
          </w:tcPr>
          <w:p w14:paraId="714E1518" w14:textId="77777777" w:rsidR="00E239E3" w:rsidRPr="00E239E3" w:rsidRDefault="00E239E3" w:rsidP="00E239E3">
            <w:pPr>
              <w:ind w:right="-360"/>
              <w:rPr>
                <w:sz w:val="20"/>
                <w:szCs w:val="20"/>
              </w:rPr>
            </w:pPr>
          </w:p>
        </w:tc>
        <w:tc>
          <w:tcPr>
            <w:tcW w:w="270" w:type="dxa"/>
          </w:tcPr>
          <w:p w14:paraId="5B8C21CB" w14:textId="77777777" w:rsidR="00E239E3" w:rsidRPr="00E239E3" w:rsidRDefault="00E239E3" w:rsidP="00E239E3">
            <w:pPr>
              <w:ind w:right="-360"/>
              <w:rPr>
                <w:sz w:val="20"/>
                <w:szCs w:val="20"/>
              </w:rPr>
            </w:pPr>
          </w:p>
        </w:tc>
        <w:tc>
          <w:tcPr>
            <w:tcW w:w="3870" w:type="dxa"/>
            <w:gridSpan w:val="4"/>
          </w:tcPr>
          <w:p w14:paraId="29F94E20" w14:textId="77777777" w:rsidR="00E239E3" w:rsidRPr="00E239E3" w:rsidRDefault="00E239E3" w:rsidP="00E239E3">
            <w:pPr>
              <w:tabs>
                <w:tab w:val="right" w:pos="9180"/>
              </w:tabs>
              <w:ind w:right="-18"/>
              <w:rPr>
                <w:sz w:val="20"/>
                <w:szCs w:val="20"/>
              </w:rPr>
            </w:pPr>
            <w:r w:rsidRPr="00E239E3">
              <w:rPr>
                <w:sz w:val="20"/>
                <w:szCs w:val="20"/>
              </w:rPr>
              <w:t>Amortization of debt discount</w:t>
            </w:r>
          </w:p>
        </w:tc>
        <w:tc>
          <w:tcPr>
            <w:tcW w:w="1170" w:type="dxa"/>
          </w:tcPr>
          <w:p w14:paraId="5C36F23F" w14:textId="77777777" w:rsidR="00E239E3" w:rsidRPr="00E239E3" w:rsidRDefault="00E239E3" w:rsidP="00E239E3">
            <w:pPr>
              <w:tabs>
                <w:tab w:val="right" w:pos="9180"/>
              </w:tabs>
              <w:ind w:right="-360"/>
              <w:rPr>
                <w:sz w:val="20"/>
                <w:szCs w:val="20"/>
              </w:rPr>
            </w:pPr>
          </w:p>
        </w:tc>
        <w:tc>
          <w:tcPr>
            <w:tcW w:w="1350" w:type="dxa"/>
            <w:gridSpan w:val="2"/>
          </w:tcPr>
          <w:p w14:paraId="42F845CF" w14:textId="77777777" w:rsidR="00E239E3" w:rsidRPr="00E239E3" w:rsidRDefault="00E239E3" w:rsidP="00E239E3">
            <w:pPr>
              <w:tabs>
                <w:tab w:val="decimal" w:pos="957"/>
                <w:tab w:val="right" w:pos="9180"/>
              </w:tabs>
              <w:ind w:right="-46"/>
              <w:rPr>
                <w:sz w:val="20"/>
                <w:szCs w:val="20"/>
              </w:rPr>
            </w:pPr>
          </w:p>
        </w:tc>
        <w:tc>
          <w:tcPr>
            <w:tcW w:w="270" w:type="dxa"/>
            <w:gridSpan w:val="2"/>
          </w:tcPr>
          <w:p w14:paraId="499AF7C1" w14:textId="77777777" w:rsidR="00E239E3" w:rsidRPr="00E239E3" w:rsidRDefault="00E239E3" w:rsidP="00E239E3">
            <w:pPr>
              <w:tabs>
                <w:tab w:val="right" w:pos="9180"/>
              </w:tabs>
              <w:ind w:right="-360"/>
              <w:rPr>
                <w:sz w:val="20"/>
                <w:szCs w:val="20"/>
              </w:rPr>
            </w:pPr>
          </w:p>
        </w:tc>
        <w:tc>
          <w:tcPr>
            <w:tcW w:w="1350" w:type="dxa"/>
            <w:gridSpan w:val="2"/>
          </w:tcPr>
          <w:p w14:paraId="591F93FC" w14:textId="77777777" w:rsidR="00E239E3" w:rsidRPr="00E239E3" w:rsidRDefault="00E239E3" w:rsidP="00E239E3">
            <w:pPr>
              <w:tabs>
                <w:tab w:val="decimal" w:pos="972"/>
                <w:tab w:val="right" w:pos="9180"/>
              </w:tabs>
              <w:ind w:right="-18"/>
              <w:rPr>
                <w:sz w:val="20"/>
                <w:szCs w:val="20"/>
              </w:rPr>
            </w:pPr>
            <w:r w:rsidRPr="00E239E3">
              <w:rPr>
                <w:sz w:val="20"/>
                <w:szCs w:val="20"/>
              </w:rPr>
              <w:tab/>
              <w:t>-</w:t>
            </w:r>
          </w:p>
        </w:tc>
        <w:tc>
          <w:tcPr>
            <w:tcW w:w="270" w:type="dxa"/>
            <w:gridSpan w:val="2"/>
          </w:tcPr>
          <w:p w14:paraId="2B7D0177" w14:textId="77777777" w:rsidR="00E239E3" w:rsidRPr="00E239E3" w:rsidRDefault="00E239E3" w:rsidP="00E239E3">
            <w:pPr>
              <w:tabs>
                <w:tab w:val="right" w:pos="9180"/>
              </w:tabs>
              <w:ind w:right="-360"/>
              <w:rPr>
                <w:sz w:val="20"/>
                <w:szCs w:val="20"/>
              </w:rPr>
            </w:pPr>
          </w:p>
        </w:tc>
        <w:tc>
          <w:tcPr>
            <w:tcW w:w="1350" w:type="dxa"/>
          </w:tcPr>
          <w:p w14:paraId="75AE00AD" w14:textId="77777777" w:rsidR="00E239E3" w:rsidRPr="00E239E3" w:rsidRDefault="00E239E3" w:rsidP="00E239E3">
            <w:pPr>
              <w:tabs>
                <w:tab w:val="decimal" w:pos="972"/>
                <w:tab w:val="right" w:pos="9180"/>
              </w:tabs>
              <w:ind w:right="-18"/>
              <w:rPr>
                <w:sz w:val="20"/>
                <w:szCs w:val="20"/>
              </w:rPr>
            </w:pPr>
            <w:r w:rsidRPr="00E239E3">
              <w:rPr>
                <w:sz w:val="20"/>
                <w:szCs w:val="20"/>
              </w:rPr>
              <w:tab/>
              <w:t>124,185</w:t>
            </w:r>
          </w:p>
        </w:tc>
        <w:tc>
          <w:tcPr>
            <w:tcW w:w="270" w:type="dxa"/>
          </w:tcPr>
          <w:p w14:paraId="2F5CF3DF" w14:textId="77777777" w:rsidR="00E239E3" w:rsidRPr="00E239E3" w:rsidRDefault="00E239E3" w:rsidP="00E239E3">
            <w:pPr>
              <w:tabs>
                <w:tab w:val="right" w:pos="9180"/>
              </w:tabs>
              <w:ind w:right="-360"/>
              <w:rPr>
                <w:sz w:val="20"/>
                <w:szCs w:val="20"/>
              </w:rPr>
            </w:pPr>
          </w:p>
        </w:tc>
        <w:tc>
          <w:tcPr>
            <w:tcW w:w="270" w:type="dxa"/>
          </w:tcPr>
          <w:p w14:paraId="1C0471C7" w14:textId="77777777" w:rsidR="00E239E3" w:rsidRPr="00E239E3" w:rsidRDefault="00E239E3" w:rsidP="00E239E3">
            <w:pPr>
              <w:tabs>
                <w:tab w:val="decimal" w:pos="1392"/>
                <w:tab w:val="left" w:pos="2340"/>
                <w:tab w:val="right" w:pos="9180"/>
              </w:tabs>
              <w:rPr>
                <w:sz w:val="20"/>
                <w:szCs w:val="20"/>
              </w:rPr>
            </w:pPr>
          </w:p>
        </w:tc>
      </w:tr>
      <w:tr w:rsidR="00E239E3" w:rsidRPr="00E239E3" w14:paraId="5B09B025" w14:textId="77777777" w:rsidTr="004F5282">
        <w:tc>
          <w:tcPr>
            <w:tcW w:w="288" w:type="dxa"/>
          </w:tcPr>
          <w:p w14:paraId="62945B16" w14:textId="77777777" w:rsidR="00E239E3" w:rsidRPr="00E239E3" w:rsidRDefault="00E239E3" w:rsidP="00E239E3">
            <w:pPr>
              <w:ind w:right="-360"/>
              <w:rPr>
                <w:sz w:val="20"/>
                <w:szCs w:val="20"/>
              </w:rPr>
            </w:pPr>
          </w:p>
        </w:tc>
        <w:tc>
          <w:tcPr>
            <w:tcW w:w="270" w:type="dxa"/>
          </w:tcPr>
          <w:p w14:paraId="7077405E" w14:textId="77777777" w:rsidR="00E239E3" w:rsidRPr="00E239E3" w:rsidRDefault="00E239E3" w:rsidP="00E239E3">
            <w:pPr>
              <w:ind w:right="-360"/>
              <w:rPr>
                <w:sz w:val="20"/>
                <w:szCs w:val="20"/>
              </w:rPr>
            </w:pPr>
          </w:p>
        </w:tc>
        <w:tc>
          <w:tcPr>
            <w:tcW w:w="3870" w:type="dxa"/>
            <w:gridSpan w:val="4"/>
          </w:tcPr>
          <w:p w14:paraId="29ED4D23" w14:textId="77777777" w:rsidR="00E239E3" w:rsidRPr="00E239E3" w:rsidRDefault="00E239E3" w:rsidP="00E239E3">
            <w:pPr>
              <w:tabs>
                <w:tab w:val="right" w:pos="9180"/>
              </w:tabs>
              <w:ind w:right="-18"/>
              <w:rPr>
                <w:sz w:val="20"/>
                <w:szCs w:val="20"/>
              </w:rPr>
            </w:pPr>
            <w:r w:rsidRPr="00E239E3">
              <w:rPr>
                <w:sz w:val="20"/>
                <w:szCs w:val="20"/>
              </w:rPr>
              <w:t>Stock-based compensation expense</w:t>
            </w:r>
          </w:p>
        </w:tc>
        <w:tc>
          <w:tcPr>
            <w:tcW w:w="1170" w:type="dxa"/>
          </w:tcPr>
          <w:p w14:paraId="0FB4FC47" w14:textId="77777777" w:rsidR="00E239E3" w:rsidRPr="00E239E3" w:rsidRDefault="00E239E3" w:rsidP="00E239E3">
            <w:pPr>
              <w:tabs>
                <w:tab w:val="right" w:pos="9180"/>
              </w:tabs>
              <w:ind w:right="-360"/>
              <w:rPr>
                <w:sz w:val="20"/>
                <w:szCs w:val="20"/>
              </w:rPr>
            </w:pPr>
          </w:p>
        </w:tc>
        <w:tc>
          <w:tcPr>
            <w:tcW w:w="1350" w:type="dxa"/>
            <w:gridSpan w:val="2"/>
          </w:tcPr>
          <w:p w14:paraId="2D3EEAFD" w14:textId="77777777" w:rsidR="00E239E3" w:rsidRPr="00E239E3" w:rsidRDefault="00E239E3" w:rsidP="00E239E3">
            <w:pPr>
              <w:tabs>
                <w:tab w:val="decimal" w:pos="957"/>
                <w:tab w:val="right" w:pos="9180"/>
              </w:tabs>
              <w:ind w:right="-46"/>
              <w:rPr>
                <w:sz w:val="20"/>
                <w:szCs w:val="20"/>
              </w:rPr>
            </w:pPr>
          </w:p>
        </w:tc>
        <w:tc>
          <w:tcPr>
            <w:tcW w:w="270" w:type="dxa"/>
            <w:gridSpan w:val="2"/>
          </w:tcPr>
          <w:p w14:paraId="61C9B26A" w14:textId="77777777" w:rsidR="00E239E3" w:rsidRPr="00E239E3" w:rsidRDefault="00E239E3" w:rsidP="00E239E3">
            <w:pPr>
              <w:tabs>
                <w:tab w:val="right" w:pos="9180"/>
              </w:tabs>
              <w:ind w:right="-360"/>
              <w:rPr>
                <w:sz w:val="20"/>
                <w:szCs w:val="20"/>
              </w:rPr>
            </w:pPr>
          </w:p>
        </w:tc>
        <w:tc>
          <w:tcPr>
            <w:tcW w:w="1350" w:type="dxa"/>
            <w:gridSpan w:val="2"/>
          </w:tcPr>
          <w:p w14:paraId="11CE89CB" w14:textId="77777777" w:rsidR="00E239E3" w:rsidRPr="00E239E3" w:rsidRDefault="00E239E3" w:rsidP="00E239E3">
            <w:pPr>
              <w:tabs>
                <w:tab w:val="decimal" w:pos="942"/>
                <w:tab w:val="right" w:pos="9180"/>
              </w:tabs>
              <w:ind w:right="-18"/>
              <w:rPr>
                <w:sz w:val="20"/>
                <w:szCs w:val="20"/>
              </w:rPr>
            </w:pPr>
            <w:r w:rsidRPr="00E239E3">
              <w:rPr>
                <w:sz w:val="20"/>
                <w:szCs w:val="20"/>
              </w:rPr>
              <w:tab/>
              <w:t>369,987</w:t>
            </w:r>
          </w:p>
        </w:tc>
        <w:tc>
          <w:tcPr>
            <w:tcW w:w="270" w:type="dxa"/>
            <w:gridSpan w:val="2"/>
          </w:tcPr>
          <w:p w14:paraId="3B88D8D5" w14:textId="77777777" w:rsidR="00E239E3" w:rsidRPr="00E239E3" w:rsidRDefault="00E239E3" w:rsidP="00E239E3">
            <w:pPr>
              <w:tabs>
                <w:tab w:val="right" w:pos="9180"/>
              </w:tabs>
              <w:ind w:right="-360"/>
              <w:rPr>
                <w:sz w:val="20"/>
                <w:szCs w:val="20"/>
              </w:rPr>
            </w:pPr>
          </w:p>
        </w:tc>
        <w:tc>
          <w:tcPr>
            <w:tcW w:w="1350" w:type="dxa"/>
          </w:tcPr>
          <w:p w14:paraId="0BF3440A" w14:textId="77777777" w:rsidR="00E239E3" w:rsidRPr="00E239E3" w:rsidRDefault="00E239E3" w:rsidP="00E239E3">
            <w:pPr>
              <w:tabs>
                <w:tab w:val="decimal" w:pos="972"/>
                <w:tab w:val="right" w:pos="9180"/>
              </w:tabs>
              <w:ind w:right="-18"/>
              <w:rPr>
                <w:sz w:val="20"/>
                <w:szCs w:val="20"/>
              </w:rPr>
            </w:pPr>
            <w:r w:rsidRPr="00E239E3">
              <w:rPr>
                <w:sz w:val="20"/>
                <w:szCs w:val="20"/>
              </w:rPr>
              <w:tab/>
              <w:t>64,463</w:t>
            </w:r>
          </w:p>
        </w:tc>
        <w:tc>
          <w:tcPr>
            <w:tcW w:w="270" w:type="dxa"/>
          </w:tcPr>
          <w:p w14:paraId="0E85F340" w14:textId="77777777" w:rsidR="00E239E3" w:rsidRPr="00E239E3" w:rsidRDefault="00E239E3" w:rsidP="00E239E3">
            <w:pPr>
              <w:tabs>
                <w:tab w:val="right" w:pos="9180"/>
              </w:tabs>
              <w:ind w:right="-360"/>
              <w:rPr>
                <w:sz w:val="20"/>
                <w:szCs w:val="20"/>
              </w:rPr>
            </w:pPr>
          </w:p>
        </w:tc>
        <w:tc>
          <w:tcPr>
            <w:tcW w:w="270" w:type="dxa"/>
          </w:tcPr>
          <w:p w14:paraId="43D199E5" w14:textId="77777777" w:rsidR="00E239E3" w:rsidRPr="00E239E3" w:rsidRDefault="00E239E3" w:rsidP="00E239E3">
            <w:pPr>
              <w:tabs>
                <w:tab w:val="decimal" w:pos="1392"/>
                <w:tab w:val="left" w:pos="2340"/>
                <w:tab w:val="right" w:pos="9180"/>
              </w:tabs>
              <w:rPr>
                <w:sz w:val="20"/>
                <w:szCs w:val="20"/>
              </w:rPr>
            </w:pPr>
          </w:p>
        </w:tc>
      </w:tr>
      <w:tr w:rsidR="00E239E3" w:rsidRPr="00E239E3" w14:paraId="3E60E538" w14:textId="77777777" w:rsidTr="004F5282">
        <w:tc>
          <w:tcPr>
            <w:tcW w:w="288" w:type="dxa"/>
          </w:tcPr>
          <w:p w14:paraId="1DB75FFF" w14:textId="77777777" w:rsidR="00E239E3" w:rsidRPr="00E239E3" w:rsidRDefault="00E239E3" w:rsidP="00E239E3">
            <w:pPr>
              <w:ind w:right="-360"/>
              <w:rPr>
                <w:sz w:val="20"/>
                <w:szCs w:val="20"/>
              </w:rPr>
            </w:pPr>
          </w:p>
        </w:tc>
        <w:tc>
          <w:tcPr>
            <w:tcW w:w="270" w:type="dxa"/>
          </w:tcPr>
          <w:p w14:paraId="1EEA8A56" w14:textId="77777777" w:rsidR="00E239E3" w:rsidRPr="00E239E3" w:rsidRDefault="00E239E3" w:rsidP="00E239E3">
            <w:pPr>
              <w:ind w:right="-360"/>
              <w:rPr>
                <w:sz w:val="20"/>
                <w:szCs w:val="20"/>
              </w:rPr>
            </w:pPr>
          </w:p>
        </w:tc>
        <w:tc>
          <w:tcPr>
            <w:tcW w:w="3870" w:type="dxa"/>
            <w:gridSpan w:val="4"/>
          </w:tcPr>
          <w:p w14:paraId="26C9D0C6" w14:textId="77777777" w:rsidR="00E239E3" w:rsidRPr="00E239E3" w:rsidRDefault="00E239E3" w:rsidP="00E239E3">
            <w:pPr>
              <w:tabs>
                <w:tab w:val="right" w:pos="9180"/>
              </w:tabs>
              <w:ind w:right="-18"/>
              <w:rPr>
                <w:sz w:val="20"/>
                <w:szCs w:val="20"/>
              </w:rPr>
            </w:pPr>
            <w:r w:rsidRPr="00E239E3">
              <w:rPr>
                <w:sz w:val="20"/>
                <w:szCs w:val="20"/>
              </w:rPr>
              <w:t>Warrant issued for technology license fee</w:t>
            </w:r>
          </w:p>
        </w:tc>
        <w:tc>
          <w:tcPr>
            <w:tcW w:w="1170" w:type="dxa"/>
          </w:tcPr>
          <w:p w14:paraId="275AF301" w14:textId="77777777" w:rsidR="00E239E3" w:rsidRPr="00E239E3" w:rsidRDefault="00E239E3" w:rsidP="00E239E3">
            <w:pPr>
              <w:tabs>
                <w:tab w:val="right" w:pos="9180"/>
              </w:tabs>
              <w:ind w:right="-360"/>
              <w:rPr>
                <w:sz w:val="20"/>
                <w:szCs w:val="20"/>
              </w:rPr>
            </w:pPr>
          </w:p>
        </w:tc>
        <w:tc>
          <w:tcPr>
            <w:tcW w:w="1350" w:type="dxa"/>
            <w:gridSpan w:val="2"/>
          </w:tcPr>
          <w:p w14:paraId="6729343E" w14:textId="77777777" w:rsidR="00E239E3" w:rsidRPr="00E239E3" w:rsidRDefault="00E239E3" w:rsidP="00E239E3">
            <w:pPr>
              <w:tabs>
                <w:tab w:val="decimal" w:pos="957"/>
                <w:tab w:val="right" w:pos="9180"/>
              </w:tabs>
              <w:ind w:right="-46"/>
              <w:rPr>
                <w:sz w:val="20"/>
                <w:szCs w:val="20"/>
              </w:rPr>
            </w:pPr>
          </w:p>
        </w:tc>
        <w:tc>
          <w:tcPr>
            <w:tcW w:w="270" w:type="dxa"/>
            <w:gridSpan w:val="2"/>
          </w:tcPr>
          <w:p w14:paraId="32C62848" w14:textId="77777777" w:rsidR="00E239E3" w:rsidRPr="00E239E3" w:rsidRDefault="00E239E3" w:rsidP="00E239E3">
            <w:pPr>
              <w:tabs>
                <w:tab w:val="right" w:pos="9180"/>
              </w:tabs>
              <w:ind w:right="-360"/>
              <w:rPr>
                <w:sz w:val="20"/>
                <w:szCs w:val="20"/>
              </w:rPr>
            </w:pPr>
          </w:p>
        </w:tc>
        <w:tc>
          <w:tcPr>
            <w:tcW w:w="1350" w:type="dxa"/>
            <w:gridSpan w:val="2"/>
          </w:tcPr>
          <w:p w14:paraId="7704325C" w14:textId="77777777" w:rsidR="00E239E3" w:rsidRPr="00E239E3" w:rsidRDefault="00E239E3" w:rsidP="00E239E3">
            <w:pPr>
              <w:tabs>
                <w:tab w:val="decimal" w:pos="942"/>
                <w:tab w:val="right" w:pos="9180"/>
              </w:tabs>
              <w:ind w:right="-18"/>
              <w:rPr>
                <w:sz w:val="20"/>
                <w:szCs w:val="20"/>
              </w:rPr>
            </w:pPr>
            <w:r w:rsidRPr="00E239E3">
              <w:rPr>
                <w:sz w:val="20"/>
                <w:szCs w:val="20"/>
              </w:rPr>
              <w:tab/>
              <w:t>209,825</w:t>
            </w:r>
          </w:p>
        </w:tc>
        <w:tc>
          <w:tcPr>
            <w:tcW w:w="270" w:type="dxa"/>
            <w:gridSpan w:val="2"/>
          </w:tcPr>
          <w:p w14:paraId="770CFC50" w14:textId="77777777" w:rsidR="00E239E3" w:rsidRPr="00E239E3" w:rsidRDefault="00E239E3" w:rsidP="00E239E3">
            <w:pPr>
              <w:tabs>
                <w:tab w:val="right" w:pos="9180"/>
              </w:tabs>
              <w:ind w:right="-360"/>
              <w:rPr>
                <w:sz w:val="20"/>
                <w:szCs w:val="20"/>
              </w:rPr>
            </w:pPr>
          </w:p>
        </w:tc>
        <w:tc>
          <w:tcPr>
            <w:tcW w:w="1350" w:type="dxa"/>
          </w:tcPr>
          <w:p w14:paraId="483883DF" w14:textId="77777777" w:rsidR="00E239E3" w:rsidRPr="00E239E3" w:rsidRDefault="00E239E3" w:rsidP="00E239E3">
            <w:pPr>
              <w:tabs>
                <w:tab w:val="decimal" w:pos="972"/>
                <w:tab w:val="right" w:pos="9180"/>
              </w:tabs>
              <w:ind w:right="-18"/>
              <w:rPr>
                <w:sz w:val="20"/>
                <w:szCs w:val="20"/>
              </w:rPr>
            </w:pPr>
            <w:r w:rsidRPr="00E239E3">
              <w:rPr>
                <w:sz w:val="20"/>
                <w:szCs w:val="20"/>
              </w:rPr>
              <w:tab/>
              <w:t>-</w:t>
            </w:r>
          </w:p>
        </w:tc>
        <w:tc>
          <w:tcPr>
            <w:tcW w:w="270" w:type="dxa"/>
          </w:tcPr>
          <w:p w14:paraId="3B27D0C3" w14:textId="77777777" w:rsidR="00E239E3" w:rsidRPr="00E239E3" w:rsidRDefault="00E239E3" w:rsidP="00E239E3">
            <w:pPr>
              <w:tabs>
                <w:tab w:val="right" w:pos="9180"/>
              </w:tabs>
              <w:ind w:right="-360"/>
              <w:rPr>
                <w:sz w:val="20"/>
                <w:szCs w:val="20"/>
              </w:rPr>
            </w:pPr>
          </w:p>
        </w:tc>
        <w:tc>
          <w:tcPr>
            <w:tcW w:w="270" w:type="dxa"/>
          </w:tcPr>
          <w:p w14:paraId="01809F03" w14:textId="77777777" w:rsidR="00E239E3" w:rsidRPr="00E239E3" w:rsidRDefault="00E239E3" w:rsidP="00E239E3">
            <w:pPr>
              <w:tabs>
                <w:tab w:val="decimal" w:pos="1392"/>
                <w:tab w:val="left" w:pos="2340"/>
                <w:tab w:val="right" w:pos="9180"/>
              </w:tabs>
              <w:rPr>
                <w:sz w:val="20"/>
                <w:szCs w:val="20"/>
              </w:rPr>
            </w:pPr>
          </w:p>
        </w:tc>
      </w:tr>
      <w:tr w:rsidR="00E239E3" w:rsidRPr="00E239E3" w14:paraId="7DBE06C9" w14:textId="77777777" w:rsidTr="004F5282">
        <w:tc>
          <w:tcPr>
            <w:tcW w:w="288" w:type="dxa"/>
          </w:tcPr>
          <w:p w14:paraId="264678DA" w14:textId="77777777" w:rsidR="00E239E3" w:rsidRPr="00E239E3" w:rsidRDefault="00E239E3" w:rsidP="00E239E3">
            <w:pPr>
              <w:ind w:right="-360"/>
              <w:rPr>
                <w:sz w:val="20"/>
                <w:szCs w:val="20"/>
              </w:rPr>
            </w:pPr>
          </w:p>
        </w:tc>
        <w:tc>
          <w:tcPr>
            <w:tcW w:w="270" w:type="dxa"/>
          </w:tcPr>
          <w:p w14:paraId="78970A86" w14:textId="77777777" w:rsidR="00E239E3" w:rsidRPr="00E239E3" w:rsidRDefault="00E239E3" w:rsidP="00E239E3">
            <w:pPr>
              <w:ind w:right="-360"/>
              <w:rPr>
                <w:sz w:val="20"/>
                <w:szCs w:val="20"/>
              </w:rPr>
            </w:pPr>
          </w:p>
        </w:tc>
        <w:tc>
          <w:tcPr>
            <w:tcW w:w="3870" w:type="dxa"/>
            <w:gridSpan w:val="4"/>
          </w:tcPr>
          <w:p w14:paraId="557BB3E2" w14:textId="77777777" w:rsidR="00E239E3" w:rsidRPr="00E239E3" w:rsidRDefault="00E239E3" w:rsidP="00E239E3">
            <w:pPr>
              <w:tabs>
                <w:tab w:val="right" w:pos="9180"/>
              </w:tabs>
              <w:ind w:right="-18"/>
              <w:rPr>
                <w:sz w:val="20"/>
                <w:szCs w:val="20"/>
              </w:rPr>
            </w:pPr>
            <w:r w:rsidRPr="00E239E3">
              <w:rPr>
                <w:sz w:val="20"/>
                <w:szCs w:val="20"/>
              </w:rPr>
              <w:t>Gain on debt extinguishment</w:t>
            </w:r>
          </w:p>
        </w:tc>
        <w:tc>
          <w:tcPr>
            <w:tcW w:w="1170" w:type="dxa"/>
          </w:tcPr>
          <w:p w14:paraId="05B0D306" w14:textId="77777777" w:rsidR="00E239E3" w:rsidRPr="00E239E3" w:rsidRDefault="00E239E3" w:rsidP="00E239E3">
            <w:pPr>
              <w:tabs>
                <w:tab w:val="right" w:pos="9180"/>
              </w:tabs>
              <w:ind w:right="-360"/>
              <w:rPr>
                <w:sz w:val="20"/>
                <w:szCs w:val="20"/>
              </w:rPr>
            </w:pPr>
          </w:p>
        </w:tc>
        <w:tc>
          <w:tcPr>
            <w:tcW w:w="1350" w:type="dxa"/>
            <w:gridSpan w:val="2"/>
          </w:tcPr>
          <w:p w14:paraId="6B9C5290" w14:textId="77777777" w:rsidR="00E239E3" w:rsidRPr="00E239E3" w:rsidRDefault="00E239E3" w:rsidP="00E239E3">
            <w:pPr>
              <w:tabs>
                <w:tab w:val="decimal" w:pos="957"/>
                <w:tab w:val="right" w:pos="9180"/>
              </w:tabs>
              <w:ind w:right="-46"/>
              <w:rPr>
                <w:sz w:val="20"/>
                <w:szCs w:val="20"/>
              </w:rPr>
            </w:pPr>
          </w:p>
        </w:tc>
        <w:tc>
          <w:tcPr>
            <w:tcW w:w="270" w:type="dxa"/>
            <w:gridSpan w:val="2"/>
          </w:tcPr>
          <w:p w14:paraId="67183FCB" w14:textId="77777777" w:rsidR="00E239E3" w:rsidRPr="00E239E3" w:rsidRDefault="00E239E3" w:rsidP="00E239E3">
            <w:pPr>
              <w:tabs>
                <w:tab w:val="right" w:pos="9180"/>
              </w:tabs>
              <w:ind w:right="-360"/>
              <w:rPr>
                <w:sz w:val="20"/>
                <w:szCs w:val="20"/>
              </w:rPr>
            </w:pPr>
          </w:p>
        </w:tc>
        <w:tc>
          <w:tcPr>
            <w:tcW w:w="1350" w:type="dxa"/>
            <w:gridSpan w:val="2"/>
          </w:tcPr>
          <w:p w14:paraId="285434BA" w14:textId="77777777" w:rsidR="00E239E3" w:rsidRPr="00E239E3" w:rsidRDefault="00E239E3" w:rsidP="00E239E3">
            <w:pPr>
              <w:tabs>
                <w:tab w:val="decimal" w:pos="942"/>
                <w:tab w:val="right" w:pos="9180"/>
              </w:tabs>
              <w:ind w:right="-18"/>
              <w:rPr>
                <w:sz w:val="20"/>
                <w:szCs w:val="20"/>
              </w:rPr>
            </w:pPr>
            <w:r w:rsidRPr="00E239E3">
              <w:rPr>
                <w:sz w:val="20"/>
                <w:szCs w:val="20"/>
              </w:rPr>
              <w:tab/>
              <w:t>(172,056)</w:t>
            </w:r>
          </w:p>
        </w:tc>
        <w:tc>
          <w:tcPr>
            <w:tcW w:w="270" w:type="dxa"/>
            <w:gridSpan w:val="2"/>
          </w:tcPr>
          <w:p w14:paraId="41777F37" w14:textId="77777777" w:rsidR="00E239E3" w:rsidRPr="00E239E3" w:rsidRDefault="00E239E3" w:rsidP="00E239E3">
            <w:pPr>
              <w:tabs>
                <w:tab w:val="right" w:pos="9180"/>
              </w:tabs>
              <w:ind w:right="-360"/>
              <w:rPr>
                <w:sz w:val="20"/>
                <w:szCs w:val="20"/>
              </w:rPr>
            </w:pPr>
          </w:p>
        </w:tc>
        <w:tc>
          <w:tcPr>
            <w:tcW w:w="1350" w:type="dxa"/>
          </w:tcPr>
          <w:p w14:paraId="20582AF0" w14:textId="77777777" w:rsidR="00E239E3" w:rsidRPr="00E239E3" w:rsidRDefault="00E239E3" w:rsidP="00E239E3">
            <w:pPr>
              <w:tabs>
                <w:tab w:val="decimal" w:pos="972"/>
                <w:tab w:val="right" w:pos="9180"/>
              </w:tabs>
              <w:ind w:right="-18"/>
              <w:rPr>
                <w:sz w:val="20"/>
                <w:szCs w:val="20"/>
              </w:rPr>
            </w:pPr>
            <w:r w:rsidRPr="00E239E3">
              <w:rPr>
                <w:sz w:val="20"/>
                <w:szCs w:val="20"/>
              </w:rPr>
              <w:tab/>
              <w:t>-</w:t>
            </w:r>
          </w:p>
        </w:tc>
        <w:tc>
          <w:tcPr>
            <w:tcW w:w="270" w:type="dxa"/>
          </w:tcPr>
          <w:p w14:paraId="7173F760" w14:textId="77777777" w:rsidR="00E239E3" w:rsidRPr="00E239E3" w:rsidRDefault="00E239E3" w:rsidP="00E239E3">
            <w:pPr>
              <w:tabs>
                <w:tab w:val="right" w:pos="9180"/>
              </w:tabs>
              <w:ind w:right="-360"/>
              <w:rPr>
                <w:sz w:val="20"/>
                <w:szCs w:val="20"/>
              </w:rPr>
            </w:pPr>
          </w:p>
        </w:tc>
        <w:tc>
          <w:tcPr>
            <w:tcW w:w="270" w:type="dxa"/>
          </w:tcPr>
          <w:p w14:paraId="08E614F1" w14:textId="77777777" w:rsidR="00E239E3" w:rsidRPr="00E239E3" w:rsidRDefault="00E239E3" w:rsidP="00E239E3">
            <w:pPr>
              <w:tabs>
                <w:tab w:val="decimal" w:pos="1392"/>
                <w:tab w:val="left" w:pos="2340"/>
                <w:tab w:val="right" w:pos="9180"/>
              </w:tabs>
              <w:rPr>
                <w:sz w:val="20"/>
                <w:szCs w:val="20"/>
              </w:rPr>
            </w:pPr>
          </w:p>
        </w:tc>
      </w:tr>
      <w:tr w:rsidR="00E239E3" w:rsidRPr="00E239E3" w14:paraId="3B928D68" w14:textId="77777777" w:rsidTr="004F5282">
        <w:tc>
          <w:tcPr>
            <w:tcW w:w="288" w:type="dxa"/>
          </w:tcPr>
          <w:p w14:paraId="7E1757C9" w14:textId="77777777" w:rsidR="00E239E3" w:rsidRPr="00E239E3" w:rsidRDefault="00E239E3" w:rsidP="00E239E3">
            <w:pPr>
              <w:ind w:right="-360"/>
              <w:rPr>
                <w:sz w:val="20"/>
                <w:szCs w:val="20"/>
              </w:rPr>
            </w:pPr>
          </w:p>
        </w:tc>
        <w:tc>
          <w:tcPr>
            <w:tcW w:w="270" w:type="dxa"/>
          </w:tcPr>
          <w:p w14:paraId="608FA324" w14:textId="77777777" w:rsidR="00E239E3" w:rsidRPr="00E239E3" w:rsidRDefault="00E239E3" w:rsidP="00E239E3">
            <w:pPr>
              <w:ind w:right="-360"/>
              <w:rPr>
                <w:sz w:val="20"/>
                <w:szCs w:val="20"/>
              </w:rPr>
            </w:pPr>
          </w:p>
        </w:tc>
        <w:tc>
          <w:tcPr>
            <w:tcW w:w="3870" w:type="dxa"/>
            <w:gridSpan w:val="4"/>
          </w:tcPr>
          <w:p w14:paraId="0172964A" w14:textId="77777777" w:rsidR="00E239E3" w:rsidRPr="00E239E3" w:rsidRDefault="00E239E3" w:rsidP="00E239E3">
            <w:pPr>
              <w:tabs>
                <w:tab w:val="right" w:pos="9180"/>
              </w:tabs>
              <w:ind w:right="-18"/>
              <w:rPr>
                <w:sz w:val="20"/>
                <w:szCs w:val="20"/>
              </w:rPr>
            </w:pPr>
            <w:r w:rsidRPr="00E239E3">
              <w:rPr>
                <w:sz w:val="20"/>
                <w:szCs w:val="20"/>
              </w:rPr>
              <w:t>Changes in assets and liabilities:</w:t>
            </w:r>
          </w:p>
        </w:tc>
        <w:tc>
          <w:tcPr>
            <w:tcW w:w="1170" w:type="dxa"/>
          </w:tcPr>
          <w:p w14:paraId="23FC522D" w14:textId="77777777" w:rsidR="00E239E3" w:rsidRPr="00E239E3" w:rsidRDefault="00E239E3" w:rsidP="00E239E3">
            <w:pPr>
              <w:tabs>
                <w:tab w:val="right" w:pos="9180"/>
              </w:tabs>
              <w:ind w:right="-360"/>
              <w:rPr>
                <w:sz w:val="20"/>
                <w:szCs w:val="20"/>
              </w:rPr>
            </w:pPr>
          </w:p>
        </w:tc>
        <w:tc>
          <w:tcPr>
            <w:tcW w:w="1350" w:type="dxa"/>
            <w:gridSpan w:val="2"/>
          </w:tcPr>
          <w:p w14:paraId="21E95228" w14:textId="77777777" w:rsidR="00E239E3" w:rsidRPr="00E239E3" w:rsidRDefault="00E239E3" w:rsidP="00E239E3">
            <w:pPr>
              <w:tabs>
                <w:tab w:val="decimal" w:pos="957"/>
                <w:tab w:val="right" w:pos="9180"/>
              </w:tabs>
              <w:ind w:right="-46"/>
              <w:rPr>
                <w:sz w:val="20"/>
                <w:szCs w:val="20"/>
              </w:rPr>
            </w:pPr>
          </w:p>
        </w:tc>
        <w:tc>
          <w:tcPr>
            <w:tcW w:w="270" w:type="dxa"/>
            <w:gridSpan w:val="2"/>
          </w:tcPr>
          <w:p w14:paraId="0F01844A" w14:textId="77777777" w:rsidR="00E239E3" w:rsidRPr="00E239E3" w:rsidRDefault="00E239E3" w:rsidP="00E239E3">
            <w:pPr>
              <w:tabs>
                <w:tab w:val="right" w:pos="9180"/>
              </w:tabs>
              <w:ind w:right="-360"/>
              <w:rPr>
                <w:sz w:val="20"/>
                <w:szCs w:val="20"/>
              </w:rPr>
            </w:pPr>
          </w:p>
        </w:tc>
        <w:tc>
          <w:tcPr>
            <w:tcW w:w="1350" w:type="dxa"/>
            <w:gridSpan w:val="2"/>
          </w:tcPr>
          <w:p w14:paraId="483CCC1C" w14:textId="77777777" w:rsidR="00E239E3" w:rsidRPr="00E239E3" w:rsidRDefault="00E239E3" w:rsidP="00E239E3">
            <w:pPr>
              <w:tabs>
                <w:tab w:val="decimal" w:pos="942"/>
                <w:tab w:val="right" w:pos="9180"/>
              </w:tabs>
              <w:ind w:right="-18"/>
              <w:rPr>
                <w:sz w:val="20"/>
                <w:szCs w:val="20"/>
              </w:rPr>
            </w:pPr>
          </w:p>
        </w:tc>
        <w:tc>
          <w:tcPr>
            <w:tcW w:w="270" w:type="dxa"/>
            <w:gridSpan w:val="2"/>
          </w:tcPr>
          <w:p w14:paraId="5F6F195C" w14:textId="77777777" w:rsidR="00E239E3" w:rsidRPr="00E239E3" w:rsidRDefault="00E239E3" w:rsidP="00E239E3">
            <w:pPr>
              <w:tabs>
                <w:tab w:val="right" w:pos="9180"/>
              </w:tabs>
              <w:ind w:right="-360"/>
              <w:rPr>
                <w:sz w:val="20"/>
                <w:szCs w:val="20"/>
              </w:rPr>
            </w:pPr>
          </w:p>
        </w:tc>
        <w:tc>
          <w:tcPr>
            <w:tcW w:w="1350" w:type="dxa"/>
          </w:tcPr>
          <w:p w14:paraId="442CD602" w14:textId="77777777" w:rsidR="00E239E3" w:rsidRPr="00E239E3" w:rsidRDefault="00E239E3" w:rsidP="00E239E3">
            <w:pPr>
              <w:tabs>
                <w:tab w:val="right" w:pos="9180"/>
              </w:tabs>
              <w:ind w:right="-18"/>
              <w:rPr>
                <w:sz w:val="20"/>
                <w:szCs w:val="20"/>
              </w:rPr>
            </w:pPr>
          </w:p>
        </w:tc>
        <w:tc>
          <w:tcPr>
            <w:tcW w:w="270" w:type="dxa"/>
          </w:tcPr>
          <w:p w14:paraId="071AE0AC" w14:textId="77777777" w:rsidR="00E239E3" w:rsidRPr="00E239E3" w:rsidRDefault="00E239E3" w:rsidP="00E239E3">
            <w:pPr>
              <w:tabs>
                <w:tab w:val="right" w:pos="9180"/>
              </w:tabs>
              <w:ind w:right="-360"/>
              <w:rPr>
                <w:sz w:val="20"/>
                <w:szCs w:val="20"/>
              </w:rPr>
            </w:pPr>
          </w:p>
        </w:tc>
        <w:tc>
          <w:tcPr>
            <w:tcW w:w="270" w:type="dxa"/>
          </w:tcPr>
          <w:p w14:paraId="2D29E713" w14:textId="77777777" w:rsidR="00E239E3" w:rsidRPr="00E239E3" w:rsidRDefault="00E239E3" w:rsidP="00E239E3">
            <w:pPr>
              <w:tabs>
                <w:tab w:val="decimal" w:pos="1392"/>
                <w:tab w:val="left" w:pos="2340"/>
                <w:tab w:val="right" w:pos="9180"/>
              </w:tabs>
              <w:rPr>
                <w:sz w:val="20"/>
                <w:szCs w:val="20"/>
              </w:rPr>
            </w:pPr>
          </w:p>
        </w:tc>
      </w:tr>
      <w:tr w:rsidR="00E239E3" w:rsidRPr="00E239E3" w14:paraId="22077398" w14:textId="77777777" w:rsidTr="004F5282">
        <w:tc>
          <w:tcPr>
            <w:tcW w:w="288" w:type="dxa"/>
          </w:tcPr>
          <w:p w14:paraId="0047AFE4" w14:textId="77777777" w:rsidR="00E239E3" w:rsidRPr="00E239E3" w:rsidRDefault="00E239E3" w:rsidP="00E239E3">
            <w:pPr>
              <w:ind w:right="-360"/>
              <w:rPr>
                <w:sz w:val="20"/>
                <w:szCs w:val="20"/>
              </w:rPr>
            </w:pPr>
          </w:p>
        </w:tc>
        <w:tc>
          <w:tcPr>
            <w:tcW w:w="270" w:type="dxa"/>
          </w:tcPr>
          <w:p w14:paraId="593380E3" w14:textId="77777777" w:rsidR="00E239E3" w:rsidRPr="00E239E3" w:rsidRDefault="00E239E3" w:rsidP="00E239E3">
            <w:pPr>
              <w:ind w:right="-360"/>
              <w:rPr>
                <w:sz w:val="20"/>
                <w:szCs w:val="20"/>
              </w:rPr>
            </w:pPr>
          </w:p>
        </w:tc>
        <w:tc>
          <w:tcPr>
            <w:tcW w:w="360" w:type="dxa"/>
          </w:tcPr>
          <w:p w14:paraId="27E4741C" w14:textId="77777777" w:rsidR="00E239E3" w:rsidRPr="00E239E3" w:rsidRDefault="00E239E3" w:rsidP="00E239E3">
            <w:pPr>
              <w:ind w:right="-360"/>
              <w:rPr>
                <w:sz w:val="20"/>
                <w:szCs w:val="20"/>
              </w:rPr>
            </w:pPr>
          </w:p>
        </w:tc>
        <w:tc>
          <w:tcPr>
            <w:tcW w:w="3510" w:type="dxa"/>
            <w:gridSpan w:val="3"/>
          </w:tcPr>
          <w:p w14:paraId="024730C4" w14:textId="77777777" w:rsidR="00E239E3" w:rsidRPr="00E239E3" w:rsidRDefault="00E239E3" w:rsidP="00E239E3">
            <w:pPr>
              <w:tabs>
                <w:tab w:val="right" w:pos="9180"/>
              </w:tabs>
              <w:ind w:left="-108" w:right="-18"/>
              <w:rPr>
                <w:sz w:val="20"/>
                <w:szCs w:val="20"/>
              </w:rPr>
            </w:pPr>
            <w:r w:rsidRPr="00E239E3">
              <w:rPr>
                <w:sz w:val="20"/>
                <w:szCs w:val="20"/>
              </w:rPr>
              <w:t>Grant funds and other receivables</w:t>
            </w:r>
          </w:p>
        </w:tc>
        <w:tc>
          <w:tcPr>
            <w:tcW w:w="1170" w:type="dxa"/>
          </w:tcPr>
          <w:p w14:paraId="00267379" w14:textId="77777777" w:rsidR="00E239E3" w:rsidRPr="00E239E3" w:rsidRDefault="00E239E3" w:rsidP="00E239E3">
            <w:pPr>
              <w:tabs>
                <w:tab w:val="right" w:pos="9180"/>
              </w:tabs>
              <w:ind w:right="-360"/>
              <w:rPr>
                <w:sz w:val="20"/>
                <w:szCs w:val="20"/>
              </w:rPr>
            </w:pPr>
          </w:p>
        </w:tc>
        <w:tc>
          <w:tcPr>
            <w:tcW w:w="1350" w:type="dxa"/>
            <w:gridSpan w:val="2"/>
          </w:tcPr>
          <w:p w14:paraId="5E289923" w14:textId="77777777" w:rsidR="00E239E3" w:rsidRPr="00E239E3" w:rsidRDefault="00E239E3" w:rsidP="00E239E3">
            <w:pPr>
              <w:tabs>
                <w:tab w:val="decimal" w:pos="957"/>
                <w:tab w:val="right" w:pos="9180"/>
              </w:tabs>
              <w:ind w:right="-46"/>
              <w:rPr>
                <w:sz w:val="20"/>
                <w:szCs w:val="20"/>
              </w:rPr>
            </w:pPr>
          </w:p>
        </w:tc>
        <w:tc>
          <w:tcPr>
            <w:tcW w:w="270" w:type="dxa"/>
            <w:gridSpan w:val="2"/>
          </w:tcPr>
          <w:p w14:paraId="5687BCAF" w14:textId="77777777" w:rsidR="00E239E3" w:rsidRPr="00E239E3" w:rsidRDefault="00E239E3" w:rsidP="00E239E3">
            <w:pPr>
              <w:tabs>
                <w:tab w:val="right" w:pos="9180"/>
              </w:tabs>
              <w:ind w:right="-360"/>
              <w:rPr>
                <w:sz w:val="20"/>
                <w:szCs w:val="20"/>
              </w:rPr>
            </w:pPr>
          </w:p>
        </w:tc>
        <w:tc>
          <w:tcPr>
            <w:tcW w:w="1350" w:type="dxa"/>
            <w:gridSpan w:val="2"/>
          </w:tcPr>
          <w:p w14:paraId="305E6183" w14:textId="77777777" w:rsidR="00E239E3" w:rsidRPr="00E239E3" w:rsidRDefault="00E239E3" w:rsidP="00E239E3">
            <w:pPr>
              <w:tabs>
                <w:tab w:val="decimal" w:pos="972"/>
                <w:tab w:val="right" w:pos="9180"/>
              </w:tabs>
              <w:ind w:right="-18"/>
              <w:rPr>
                <w:sz w:val="20"/>
                <w:szCs w:val="20"/>
              </w:rPr>
            </w:pPr>
            <w:r w:rsidRPr="00E239E3">
              <w:rPr>
                <w:sz w:val="20"/>
                <w:szCs w:val="20"/>
              </w:rPr>
              <w:tab/>
              <w:t>133,657</w:t>
            </w:r>
          </w:p>
        </w:tc>
        <w:tc>
          <w:tcPr>
            <w:tcW w:w="270" w:type="dxa"/>
            <w:gridSpan w:val="2"/>
          </w:tcPr>
          <w:p w14:paraId="2FCFB38F" w14:textId="77777777" w:rsidR="00E239E3" w:rsidRPr="00E239E3" w:rsidRDefault="00E239E3" w:rsidP="00E239E3">
            <w:pPr>
              <w:tabs>
                <w:tab w:val="right" w:pos="9180"/>
              </w:tabs>
              <w:ind w:right="-360"/>
              <w:rPr>
                <w:sz w:val="20"/>
                <w:szCs w:val="20"/>
              </w:rPr>
            </w:pPr>
          </w:p>
        </w:tc>
        <w:tc>
          <w:tcPr>
            <w:tcW w:w="1350" w:type="dxa"/>
          </w:tcPr>
          <w:p w14:paraId="4E284E0A" w14:textId="77777777" w:rsidR="00E239E3" w:rsidRPr="00E239E3" w:rsidRDefault="00E239E3" w:rsidP="00E239E3">
            <w:pPr>
              <w:tabs>
                <w:tab w:val="decimal" w:pos="972"/>
                <w:tab w:val="right" w:pos="9180"/>
              </w:tabs>
              <w:ind w:right="-18"/>
              <w:rPr>
                <w:sz w:val="20"/>
                <w:szCs w:val="20"/>
              </w:rPr>
            </w:pPr>
            <w:r w:rsidRPr="00E239E3">
              <w:rPr>
                <w:sz w:val="20"/>
                <w:szCs w:val="20"/>
              </w:rPr>
              <w:tab/>
              <w:t>(114,060)</w:t>
            </w:r>
          </w:p>
        </w:tc>
        <w:tc>
          <w:tcPr>
            <w:tcW w:w="270" w:type="dxa"/>
          </w:tcPr>
          <w:p w14:paraId="7B46AE58" w14:textId="77777777" w:rsidR="00E239E3" w:rsidRPr="00E239E3" w:rsidRDefault="00E239E3" w:rsidP="00E239E3">
            <w:pPr>
              <w:tabs>
                <w:tab w:val="right" w:pos="9180"/>
              </w:tabs>
              <w:ind w:right="-360"/>
              <w:rPr>
                <w:sz w:val="20"/>
                <w:szCs w:val="20"/>
              </w:rPr>
            </w:pPr>
          </w:p>
        </w:tc>
        <w:tc>
          <w:tcPr>
            <w:tcW w:w="270" w:type="dxa"/>
          </w:tcPr>
          <w:p w14:paraId="619B6891" w14:textId="77777777" w:rsidR="00E239E3" w:rsidRPr="00E239E3" w:rsidRDefault="00E239E3" w:rsidP="00E239E3">
            <w:pPr>
              <w:tabs>
                <w:tab w:val="decimal" w:pos="1392"/>
                <w:tab w:val="left" w:pos="2340"/>
                <w:tab w:val="right" w:pos="9180"/>
              </w:tabs>
              <w:rPr>
                <w:sz w:val="20"/>
                <w:szCs w:val="20"/>
              </w:rPr>
            </w:pPr>
          </w:p>
        </w:tc>
      </w:tr>
      <w:tr w:rsidR="00E239E3" w:rsidRPr="00E239E3" w14:paraId="0D1DD7AC" w14:textId="77777777" w:rsidTr="004F5282">
        <w:tc>
          <w:tcPr>
            <w:tcW w:w="288" w:type="dxa"/>
          </w:tcPr>
          <w:p w14:paraId="12EA5DCC" w14:textId="77777777" w:rsidR="00E239E3" w:rsidRPr="00E239E3" w:rsidRDefault="00E239E3" w:rsidP="00E239E3">
            <w:pPr>
              <w:ind w:right="-360"/>
              <w:rPr>
                <w:sz w:val="20"/>
                <w:szCs w:val="20"/>
              </w:rPr>
            </w:pPr>
          </w:p>
        </w:tc>
        <w:tc>
          <w:tcPr>
            <w:tcW w:w="270" w:type="dxa"/>
          </w:tcPr>
          <w:p w14:paraId="441D0AD7" w14:textId="77777777" w:rsidR="00E239E3" w:rsidRPr="00E239E3" w:rsidRDefault="00E239E3" w:rsidP="00E239E3">
            <w:pPr>
              <w:ind w:right="-360"/>
              <w:rPr>
                <w:sz w:val="20"/>
                <w:szCs w:val="20"/>
              </w:rPr>
            </w:pPr>
          </w:p>
        </w:tc>
        <w:tc>
          <w:tcPr>
            <w:tcW w:w="360" w:type="dxa"/>
          </w:tcPr>
          <w:p w14:paraId="2935A8A2" w14:textId="77777777" w:rsidR="00E239E3" w:rsidRPr="00E239E3" w:rsidRDefault="00E239E3" w:rsidP="00E239E3">
            <w:pPr>
              <w:ind w:right="-360"/>
              <w:rPr>
                <w:sz w:val="20"/>
                <w:szCs w:val="20"/>
              </w:rPr>
            </w:pPr>
          </w:p>
        </w:tc>
        <w:tc>
          <w:tcPr>
            <w:tcW w:w="3510" w:type="dxa"/>
            <w:gridSpan w:val="3"/>
          </w:tcPr>
          <w:p w14:paraId="0A93101E" w14:textId="77777777" w:rsidR="00E239E3" w:rsidRPr="00E239E3" w:rsidRDefault="00E239E3" w:rsidP="00E239E3">
            <w:pPr>
              <w:tabs>
                <w:tab w:val="right" w:pos="9180"/>
              </w:tabs>
              <w:ind w:left="-108" w:right="-18"/>
              <w:rPr>
                <w:sz w:val="20"/>
                <w:szCs w:val="20"/>
              </w:rPr>
            </w:pPr>
            <w:r w:rsidRPr="00E239E3">
              <w:rPr>
                <w:sz w:val="20"/>
                <w:szCs w:val="20"/>
              </w:rPr>
              <w:t>Prepaid expenses and other current assets</w:t>
            </w:r>
          </w:p>
        </w:tc>
        <w:tc>
          <w:tcPr>
            <w:tcW w:w="1170" w:type="dxa"/>
          </w:tcPr>
          <w:p w14:paraId="46DE0A64" w14:textId="77777777" w:rsidR="00E239E3" w:rsidRPr="00E239E3" w:rsidRDefault="00E239E3" w:rsidP="00E239E3">
            <w:pPr>
              <w:tabs>
                <w:tab w:val="right" w:pos="9180"/>
              </w:tabs>
              <w:ind w:right="-360"/>
              <w:rPr>
                <w:sz w:val="20"/>
                <w:szCs w:val="20"/>
              </w:rPr>
            </w:pPr>
          </w:p>
        </w:tc>
        <w:tc>
          <w:tcPr>
            <w:tcW w:w="1350" w:type="dxa"/>
            <w:gridSpan w:val="2"/>
          </w:tcPr>
          <w:p w14:paraId="4F4180B5" w14:textId="77777777" w:rsidR="00E239E3" w:rsidRPr="00E239E3" w:rsidRDefault="00E239E3" w:rsidP="00E239E3">
            <w:pPr>
              <w:tabs>
                <w:tab w:val="decimal" w:pos="957"/>
                <w:tab w:val="right" w:pos="9180"/>
              </w:tabs>
              <w:ind w:right="-46"/>
              <w:rPr>
                <w:sz w:val="20"/>
                <w:szCs w:val="20"/>
              </w:rPr>
            </w:pPr>
          </w:p>
        </w:tc>
        <w:tc>
          <w:tcPr>
            <w:tcW w:w="270" w:type="dxa"/>
            <w:gridSpan w:val="2"/>
          </w:tcPr>
          <w:p w14:paraId="1EF38C8D" w14:textId="77777777" w:rsidR="00E239E3" w:rsidRPr="00E239E3" w:rsidRDefault="00E239E3" w:rsidP="00E239E3">
            <w:pPr>
              <w:tabs>
                <w:tab w:val="right" w:pos="9180"/>
              </w:tabs>
              <w:ind w:right="-360"/>
              <w:rPr>
                <w:sz w:val="20"/>
                <w:szCs w:val="20"/>
              </w:rPr>
            </w:pPr>
          </w:p>
        </w:tc>
        <w:tc>
          <w:tcPr>
            <w:tcW w:w="1350" w:type="dxa"/>
            <w:gridSpan w:val="2"/>
          </w:tcPr>
          <w:p w14:paraId="0063CD2D" w14:textId="77777777" w:rsidR="00E239E3" w:rsidRPr="00E239E3" w:rsidRDefault="00E239E3" w:rsidP="00E239E3">
            <w:pPr>
              <w:tabs>
                <w:tab w:val="decimal" w:pos="972"/>
                <w:tab w:val="right" w:pos="9180"/>
              </w:tabs>
              <w:ind w:right="-18"/>
              <w:rPr>
                <w:sz w:val="20"/>
                <w:szCs w:val="20"/>
              </w:rPr>
            </w:pPr>
            <w:r w:rsidRPr="00E239E3">
              <w:rPr>
                <w:sz w:val="20"/>
                <w:szCs w:val="20"/>
              </w:rPr>
              <w:tab/>
              <w:t>(16,270)</w:t>
            </w:r>
          </w:p>
        </w:tc>
        <w:tc>
          <w:tcPr>
            <w:tcW w:w="270" w:type="dxa"/>
            <w:gridSpan w:val="2"/>
          </w:tcPr>
          <w:p w14:paraId="0FC2E38F" w14:textId="77777777" w:rsidR="00E239E3" w:rsidRPr="00E239E3" w:rsidRDefault="00E239E3" w:rsidP="00E239E3">
            <w:pPr>
              <w:tabs>
                <w:tab w:val="right" w:pos="9180"/>
              </w:tabs>
              <w:ind w:right="-360"/>
              <w:rPr>
                <w:sz w:val="20"/>
                <w:szCs w:val="20"/>
              </w:rPr>
            </w:pPr>
          </w:p>
        </w:tc>
        <w:tc>
          <w:tcPr>
            <w:tcW w:w="1350" w:type="dxa"/>
          </w:tcPr>
          <w:p w14:paraId="42A09EDF" w14:textId="77777777" w:rsidR="00E239E3" w:rsidRPr="00E239E3" w:rsidRDefault="00E239E3" w:rsidP="00E239E3">
            <w:pPr>
              <w:tabs>
                <w:tab w:val="decimal" w:pos="972"/>
                <w:tab w:val="right" w:pos="9180"/>
              </w:tabs>
              <w:ind w:right="-18"/>
              <w:rPr>
                <w:sz w:val="20"/>
                <w:szCs w:val="20"/>
              </w:rPr>
            </w:pPr>
            <w:r w:rsidRPr="00E239E3">
              <w:rPr>
                <w:sz w:val="20"/>
                <w:szCs w:val="20"/>
              </w:rPr>
              <w:tab/>
              <w:t>(24,702)</w:t>
            </w:r>
          </w:p>
        </w:tc>
        <w:tc>
          <w:tcPr>
            <w:tcW w:w="270" w:type="dxa"/>
          </w:tcPr>
          <w:p w14:paraId="26FBA284" w14:textId="77777777" w:rsidR="00E239E3" w:rsidRPr="00E239E3" w:rsidRDefault="00E239E3" w:rsidP="00E239E3">
            <w:pPr>
              <w:tabs>
                <w:tab w:val="right" w:pos="9180"/>
              </w:tabs>
              <w:ind w:right="-360"/>
              <w:rPr>
                <w:sz w:val="20"/>
                <w:szCs w:val="20"/>
              </w:rPr>
            </w:pPr>
          </w:p>
        </w:tc>
        <w:tc>
          <w:tcPr>
            <w:tcW w:w="270" w:type="dxa"/>
          </w:tcPr>
          <w:p w14:paraId="1E967547" w14:textId="77777777" w:rsidR="00E239E3" w:rsidRPr="00E239E3" w:rsidRDefault="00E239E3" w:rsidP="00E239E3">
            <w:pPr>
              <w:tabs>
                <w:tab w:val="decimal" w:pos="1392"/>
                <w:tab w:val="left" w:pos="2340"/>
                <w:tab w:val="right" w:pos="9180"/>
              </w:tabs>
              <w:rPr>
                <w:sz w:val="20"/>
                <w:szCs w:val="20"/>
              </w:rPr>
            </w:pPr>
          </w:p>
        </w:tc>
      </w:tr>
      <w:tr w:rsidR="00E239E3" w:rsidRPr="00E239E3" w14:paraId="106A1973" w14:textId="77777777" w:rsidTr="004F5282">
        <w:tc>
          <w:tcPr>
            <w:tcW w:w="288" w:type="dxa"/>
          </w:tcPr>
          <w:p w14:paraId="4CE7A1C6" w14:textId="77777777" w:rsidR="00E239E3" w:rsidRPr="00E239E3" w:rsidRDefault="00E239E3" w:rsidP="00E239E3">
            <w:pPr>
              <w:ind w:right="-360"/>
              <w:rPr>
                <w:sz w:val="20"/>
                <w:szCs w:val="20"/>
              </w:rPr>
            </w:pPr>
          </w:p>
        </w:tc>
        <w:tc>
          <w:tcPr>
            <w:tcW w:w="270" w:type="dxa"/>
          </w:tcPr>
          <w:p w14:paraId="6D35FCEC" w14:textId="77777777" w:rsidR="00E239E3" w:rsidRPr="00E239E3" w:rsidRDefault="00E239E3" w:rsidP="00E239E3">
            <w:pPr>
              <w:ind w:right="-360"/>
              <w:rPr>
                <w:sz w:val="20"/>
                <w:szCs w:val="20"/>
              </w:rPr>
            </w:pPr>
          </w:p>
        </w:tc>
        <w:tc>
          <w:tcPr>
            <w:tcW w:w="360" w:type="dxa"/>
          </w:tcPr>
          <w:p w14:paraId="4B34DB53" w14:textId="77777777" w:rsidR="00E239E3" w:rsidRPr="00E239E3" w:rsidRDefault="00E239E3" w:rsidP="00E239E3">
            <w:pPr>
              <w:ind w:right="-360"/>
              <w:rPr>
                <w:sz w:val="20"/>
                <w:szCs w:val="20"/>
              </w:rPr>
            </w:pPr>
          </w:p>
        </w:tc>
        <w:tc>
          <w:tcPr>
            <w:tcW w:w="3510" w:type="dxa"/>
            <w:gridSpan w:val="3"/>
          </w:tcPr>
          <w:p w14:paraId="45CEE714" w14:textId="77777777" w:rsidR="00E239E3" w:rsidRPr="00E239E3" w:rsidRDefault="00E239E3" w:rsidP="00E239E3">
            <w:pPr>
              <w:tabs>
                <w:tab w:val="right" w:pos="9180"/>
              </w:tabs>
              <w:ind w:left="-108" w:right="-18"/>
              <w:rPr>
                <w:sz w:val="20"/>
                <w:szCs w:val="20"/>
              </w:rPr>
            </w:pPr>
            <w:r w:rsidRPr="00E239E3">
              <w:rPr>
                <w:sz w:val="20"/>
                <w:szCs w:val="20"/>
              </w:rPr>
              <w:t>Accounts payable and accrued expenses</w:t>
            </w:r>
          </w:p>
        </w:tc>
        <w:tc>
          <w:tcPr>
            <w:tcW w:w="1170" w:type="dxa"/>
          </w:tcPr>
          <w:p w14:paraId="2D83C1A2" w14:textId="77777777" w:rsidR="00E239E3" w:rsidRPr="00E239E3" w:rsidRDefault="00E239E3" w:rsidP="00E239E3">
            <w:pPr>
              <w:tabs>
                <w:tab w:val="right" w:pos="9180"/>
              </w:tabs>
              <w:ind w:right="-360"/>
              <w:rPr>
                <w:sz w:val="20"/>
                <w:szCs w:val="20"/>
              </w:rPr>
            </w:pPr>
          </w:p>
        </w:tc>
        <w:tc>
          <w:tcPr>
            <w:tcW w:w="1350" w:type="dxa"/>
            <w:gridSpan w:val="2"/>
          </w:tcPr>
          <w:p w14:paraId="32A835C0" w14:textId="77777777" w:rsidR="00E239E3" w:rsidRPr="00E239E3" w:rsidRDefault="00E239E3" w:rsidP="00E239E3">
            <w:pPr>
              <w:tabs>
                <w:tab w:val="decimal" w:pos="957"/>
                <w:tab w:val="right" w:pos="9180"/>
              </w:tabs>
              <w:ind w:right="-46"/>
              <w:rPr>
                <w:sz w:val="20"/>
                <w:szCs w:val="20"/>
              </w:rPr>
            </w:pPr>
          </w:p>
        </w:tc>
        <w:tc>
          <w:tcPr>
            <w:tcW w:w="270" w:type="dxa"/>
            <w:gridSpan w:val="2"/>
          </w:tcPr>
          <w:p w14:paraId="7A22CEAE" w14:textId="77777777" w:rsidR="00E239E3" w:rsidRPr="00E239E3" w:rsidRDefault="00E239E3" w:rsidP="00E239E3">
            <w:pPr>
              <w:tabs>
                <w:tab w:val="right" w:pos="9180"/>
              </w:tabs>
              <w:ind w:right="-360"/>
              <w:rPr>
                <w:sz w:val="20"/>
                <w:szCs w:val="20"/>
              </w:rPr>
            </w:pPr>
          </w:p>
        </w:tc>
        <w:tc>
          <w:tcPr>
            <w:tcW w:w="1350" w:type="dxa"/>
            <w:gridSpan w:val="2"/>
          </w:tcPr>
          <w:p w14:paraId="245FD170" w14:textId="77777777" w:rsidR="00E239E3" w:rsidRPr="00E239E3" w:rsidRDefault="00E239E3" w:rsidP="00E239E3">
            <w:pPr>
              <w:tabs>
                <w:tab w:val="decimal" w:pos="972"/>
                <w:tab w:val="right" w:pos="9180"/>
              </w:tabs>
              <w:ind w:right="-18"/>
              <w:rPr>
                <w:sz w:val="20"/>
                <w:szCs w:val="20"/>
              </w:rPr>
            </w:pPr>
            <w:r w:rsidRPr="00E239E3">
              <w:rPr>
                <w:sz w:val="20"/>
                <w:szCs w:val="20"/>
              </w:rPr>
              <w:tab/>
              <w:t>6,810,233</w:t>
            </w:r>
          </w:p>
        </w:tc>
        <w:tc>
          <w:tcPr>
            <w:tcW w:w="270" w:type="dxa"/>
            <w:gridSpan w:val="2"/>
          </w:tcPr>
          <w:p w14:paraId="0AF282A4" w14:textId="77777777" w:rsidR="00E239E3" w:rsidRPr="00E239E3" w:rsidRDefault="00E239E3" w:rsidP="00E239E3">
            <w:pPr>
              <w:tabs>
                <w:tab w:val="right" w:pos="9180"/>
              </w:tabs>
              <w:ind w:right="-360"/>
              <w:rPr>
                <w:sz w:val="20"/>
                <w:szCs w:val="20"/>
              </w:rPr>
            </w:pPr>
          </w:p>
        </w:tc>
        <w:tc>
          <w:tcPr>
            <w:tcW w:w="1350" w:type="dxa"/>
          </w:tcPr>
          <w:p w14:paraId="148A95F6" w14:textId="77777777" w:rsidR="00E239E3" w:rsidRPr="00E239E3" w:rsidRDefault="00E239E3" w:rsidP="00E239E3">
            <w:pPr>
              <w:tabs>
                <w:tab w:val="decimal" w:pos="972"/>
                <w:tab w:val="right" w:pos="9180"/>
              </w:tabs>
              <w:ind w:right="-18"/>
              <w:rPr>
                <w:sz w:val="20"/>
                <w:szCs w:val="20"/>
              </w:rPr>
            </w:pPr>
            <w:r w:rsidRPr="00E239E3">
              <w:rPr>
                <w:sz w:val="20"/>
                <w:szCs w:val="20"/>
              </w:rPr>
              <w:tab/>
              <w:t>137,956</w:t>
            </w:r>
          </w:p>
        </w:tc>
        <w:tc>
          <w:tcPr>
            <w:tcW w:w="270" w:type="dxa"/>
          </w:tcPr>
          <w:p w14:paraId="23A7C3AE" w14:textId="77777777" w:rsidR="00E239E3" w:rsidRPr="00E239E3" w:rsidRDefault="00E239E3" w:rsidP="00E239E3">
            <w:pPr>
              <w:tabs>
                <w:tab w:val="right" w:pos="9180"/>
              </w:tabs>
              <w:ind w:right="-360"/>
              <w:rPr>
                <w:sz w:val="20"/>
                <w:szCs w:val="20"/>
              </w:rPr>
            </w:pPr>
          </w:p>
        </w:tc>
        <w:tc>
          <w:tcPr>
            <w:tcW w:w="270" w:type="dxa"/>
          </w:tcPr>
          <w:p w14:paraId="760A9E5C" w14:textId="77777777" w:rsidR="00E239E3" w:rsidRPr="00E239E3" w:rsidRDefault="00E239E3" w:rsidP="00E239E3">
            <w:pPr>
              <w:tabs>
                <w:tab w:val="decimal" w:pos="1392"/>
                <w:tab w:val="left" w:pos="2340"/>
                <w:tab w:val="right" w:pos="9180"/>
              </w:tabs>
              <w:rPr>
                <w:sz w:val="20"/>
                <w:szCs w:val="20"/>
              </w:rPr>
            </w:pPr>
          </w:p>
        </w:tc>
      </w:tr>
      <w:tr w:rsidR="00E239E3" w:rsidRPr="00E239E3" w14:paraId="3E0D223F" w14:textId="77777777" w:rsidTr="004F5282">
        <w:tc>
          <w:tcPr>
            <w:tcW w:w="288" w:type="dxa"/>
          </w:tcPr>
          <w:p w14:paraId="515F0527" w14:textId="77777777" w:rsidR="00E239E3" w:rsidRPr="00E239E3" w:rsidRDefault="00E239E3" w:rsidP="00E239E3">
            <w:pPr>
              <w:ind w:right="-360"/>
              <w:rPr>
                <w:sz w:val="20"/>
                <w:szCs w:val="20"/>
              </w:rPr>
            </w:pPr>
          </w:p>
        </w:tc>
        <w:tc>
          <w:tcPr>
            <w:tcW w:w="270" w:type="dxa"/>
          </w:tcPr>
          <w:p w14:paraId="455581BC" w14:textId="77777777" w:rsidR="00E239E3" w:rsidRPr="00E239E3" w:rsidRDefault="00E239E3" w:rsidP="00E239E3">
            <w:pPr>
              <w:ind w:right="-360"/>
              <w:rPr>
                <w:sz w:val="20"/>
                <w:szCs w:val="20"/>
              </w:rPr>
            </w:pPr>
          </w:p>
        </w:tc>
        <w:tc>
          <w:tcPr>
            <w:tcW w:w="360" w:type="dxa"/>
          </w:tcPr>
          <w:p w14:paraId="7C5ED798" w14:textId="77777777" w:rsidR="00E239E3" w:rsidRPr="00E239E3" w:rsidRDefault="00E239E3" w:rsidP="00E239E3">
            <w:pPr>
              <w:ind w:right="-360"/>
              <w:rPr>
                <w:sz w:val="20"/>
                <w:szCs w:val="20"/>
              </w:rPr>
            </w:pPr>
          </w:p>
        </w:tc>
        <w:tc>
          <w:tcPr>
            <w:tcW w:w="3510" w:type="dxa"/>
            <w:gridSpan w:val="3"/>
          </w:tcPr>
          <w:p w14:paraId="5D81DB4D" w14:textId="77777777" w:rsidR="00E239E3" w:rsidRPr="00E239E3" w:rsidRDefault="00E239E3" w:rsidP="00E239E3">
            <w:pPr>
              <w:tabs>
                <w:tab w:val="right" w:pos="9180"/>
              </w:tabs>
              <w:ind w:left="-108" w:right="-18"/>
              <w:rPr>
                <w:sz w:val="20"/>
                <w:szCs w:val="20"/>
              </w:rPr>
            </w:pPr>
            <w:r w:rsidRPr="00E239E3">
              <w:rPr>
                <w:sz w:val="20"/>
                <w:szCs w:val="20"/>
              </w:rPr>
              <w:t>Total adjustments</w:t>
            </w:r>
          </w:p>
        </w:tc>
        <w:tc>
          <w:tcPr>
            <w:tcW w:w="1170" w:type="dxa"/>
          </w:tcPr>
          <w:p w14:paraId="59C70731" w14:textId="77777777" w:rsidR="00E239E3" w:rsidRPr="00E239E3" w:rsidRDefault="00E239E3" w:rsidP="00E239E3">
            <w:pPr>
              <w:tabs>
                <w:tab w:val="right" w:pos="9180"/>
              </w:tabs>
              <w:ind w:right="-360"/>
              <w:rPr>
                <w:sz w:val="20"/>
                <w:szCs w:val="20"/>
              </w:rPr>
            </w:pPr>
          </w:p>
        </w:tc>
        <w:tc>
          <w:tcPr>
            <w:tcW w:w="1350" w:type="dxa"/>
            <w:gridSpan w:val="2"/>
          </w:tcPr>
          <w:p w14:paraId="436BC40F" w14:textId="77777777" w:rsidR="00E239E3" w:rsidRPr="00E239E3" w:rsidRDefault="00E239E3" w:rsidP="00E239E3">
            <w:pPr>
              <w:tabs>
                <w:tab w:val="decimal" w:pos="957"/>
                <w:tab w:val="right" w:pos="9180"/>
              </w:tabs>
              <w:ind w:right="-46"/>
              <w:rPr>
                <w:sz w:val="20"/>
                <w:szCs w:val="20"/>
              </w:rPr>
            </w:pPr>
          </w:p>
        </w:tc>
        <w:tc>
          <w:tcPr>
            <w:tcW w:w="270" w:type="dxa"/>
            <w:gridSpan w:val="2"/>
          </w:tcPr>
          <w:p w14:paraId="184D4473" w14:textId="77777777" w:rsidR="00E239E3" w:rsidRPr="00E239E3" w:rsidRDefault="00E239E3" w:rsidP="00E239E3">
            <w:pPr>
              <w:tabs>
                <w:tab w:val="right" w:pos="9180"/>
              </w:tabs>
              <w:ind w:right="-360"/>
              <w:rPr>
                <w:sz w:val="20"/>
                <w:szCs w:val="20"/>
              </w:rPr>
            </w:pPr>
          </w:p>
        </w:tc>
        <w:tc>
          <w:tcPr>
            <w:tcW w:w="1350" w:type="dxa"/>
            <w:gridSpan w:val="2"/>
            <w:tcBorders>
              <w:top w:val="single" w:sz="4" w:space="0" w:color="auto"/>
              <w:bottom w:val="single" w:sz="4" w:space="0" w:color="auto"/>
            </w:tcBorders>
          </w:tcPr>
          <w:p w14:paraId="6747B0D0" w14:textId="77777777" w:rsidR="00E239E3" w:rsidRPr="00E239E3" w:rsidRDefault="00E239E3" w:rsidP="00E239E3">
            <w:pPr>
              <w:tabs>
                <w:tab w:val="decimal" w:pos="972"/>
                <w:tab w:val="right" w:pos="9180"/>
              </w:tabs>
              <w:ind w:right="-18"/>
              <w:rPr>
                <w:sz w:val="20"/>
                <w:szCs w:val="20"/>
              </w:rPr>
            </w:pPr>
            <w:r w:rsidRPr="00E239E3">
              <w:rPr>
                <w:sz w:val="20"/>
                <w:szCs w:val="20"/>
              </w:rPr>
              <w:tab/>
              <w:t>7,373,897</w:t>
            </w:r>
          </w:p>
        </w:tc>
        <w:tc>
          <w:tcPr>
            <w:tcW w:w="270" w:type="dxa"/>
            <w:gridSpan w:val="2"/>
          </w:tcPr>
          <w:p w14:paraId="44570EE1" w14:textId="77777777" w:rsidR="00E239E3" w:rsidRPr="00E239E3" w:rsidRDefault="00E239E3" w:rsidP="00E239E3">
            <w:pPr>
              <w:tabs>
                <w:tab w:val="right" w:pos="9180"/>
              </w:tabs>
              <w:ind w:right="-360"/>
              <w:rPr>
                <w:sz w:val="20"/>
                <w:szCs w:val="20"/>
              </w:rPr>
            </w:pPr>
          </w:p>
        </w:tc>
        <w:tc>
          <w:tcPr>
            <w:tcW w:w="1350" w:type="dxa"/>
            <w:tcBorders>
              <w:top w:val="single" w:sz="4" w:space="0" w:color="auto"/>
              <w:bottom w:val="single" w:sz="4" w:space="0" w:color="auto"/>
            </w:tcBorders>
          </w:tcPr>
          <w:p w14:paraId="5AE2961E" w14:textId="77777777" w:rsidR="00E239E3" w:rsidRPr="00E239E3" w:rsidRDefault="00E239E3" w:rsidP="00E239E3">
            <w:pPr>
              <w:tabs>
                <w:tab w:val="decimal" w:pos="972"/>
                <w:tab w:val="right" w:pos="9180"/>
              </w:tabs>
              <w:ind w:right="-18"/>
              <w:rPr>
                <w:sz w:val="20"/>
                <w:szCs w:val="20"/>
              </w:rPr>
            </w:pPr>
            <w:r w:rsidRPr="00E239E3">
              <w:rPr>
                <w:sz w:val="20"/>
                <w:szCs w:val="20"/>
              </w:rPr>
              <w:tab/>
              <w:t>207,498</w:t>
            </w:r>
          </w:p>
        </w:tc>
        <w:tc>
          <w:tcPr>
            <w:tcW w:w="270" w:type="dxa"/>
          </w:tcPr>
          <w:p w14:paraId="41A5E892" w14:textId="77777777" w:rsidR="00E239E3" w:rsidRPr="00E239E3" w:rsidRDefault="00E239E3" w:rsidP="00E239E3">
            <w:pPr>
              <w:tabs>
                <w:tab w:val="right" w:pos="9180"/>
              </w:tabs>
              <w:ind w:right="-360"/>
              <w:rPr>
                <w:sz w:val="20"/>
                <w:szCs w:val="20"/>
              </w:rPr>
            </w:pPr>
          </w:p>
        </w:tc>
        <w:tc>
          <w:tcPr>
            <w:tcW w:w="270" w:type="dxa"/>
          </w:tcPr>
          <w:p w14:paraId="14D8038E" w14:textId="77777777" w:rsidR="00E239E3" w:rsidRPr="00E239E3" w:rsidRDefault="00E239E3" w:rsidP="00E239E3">
            <w:pPr>
              <w:tabs>
                <w:tab w:val="decimal" w:pos="1392"/>
                <w:tab w:val="left" w:pos="2340"/>
                <w:tab w:val="right" w:pos="9180"/>
              </w:tabs>
              <w:rPr>
                <w:sz w:val="20"/>
                <w:szCs w:val="20"/>
              </w:rPr>
            </w:pPr>
          </w:p>
        </w:tc>
      </w:tr>
      <w:tr w:rsidR="00E239E3" w:rsidRPr="00E239E3" w14:paraId="7973C201" w14:textId="77777777" w:rsidTr="004F5282">
        <w:tc>
          <w:tcPr>
            <w:tcW w:w="288" w:type="dxa"/>
          </w:tcPr>
          <w:p w14:paraId="18E7A58D" w14:textId="77777777" w:rsidR="00E239E3" w:rsidRPr="00E239E3" w:rsidRDefault="00E239E3" w:rsidP="00E239E3">
            <w:pPr>
              <w:ind w:right="-360"/>
              <w:rPr>
                <w:sz w:val="20"/>
                <w:szCs w:val="20"/>
              </w:rPr>
            </w:pPr>
          </w:p>
        </w:tc>
        <w:tc>
          <w:tcPr>
            <w:tcW w:w="4140" w:type="dxa"/>
            <w:gridSpan w:val="5"/>
          </w:tcPr>
          <w:p w14:paraId="09C6E3D3" w14:textId="77777777" w:rsidR="00E239E3" w:rsidRPr="00E239E3" w:rsidRDefault="00E239E3" w:rsidP="00E239E3">
            <w:pPr>
              <w:tabs>
                <w:tab w:val="right" w:pos="9180"/>
              </w:tabs>
              <w:ind w:right="-18"/>
              <w:rPr>
                <w:sz w:val="20"/>
                <w:szCs w:val="20"/>
              </w:rPr>
            </w:pPr>
            <w:r w:rsidRPr="00E239E3">
              <w:rPr>
                <w:sz w:val="20"/>
                <w:szCs w:val="20"/>
              </w:rPr>
              <w:t>Net cash used in operating activities</w:t>
            </w:r>
          </w:p>
        </w:tc>
        <w:tc>
          <w:tcPr>
            <w:tcW w:w="1170" w:type="dxa"/>
          </w:tcPr>
          <w:p w14:paraId="2E1EC1B6" w14:textId="77777777" w:rsidR="00E239E3" w:rsidRPr="00E239E3" w:rsidRDefault="00E239E3" w:rsidP="00E239E3">
            <w:pPr>
              <w:tabs>
                <w:tab w:val="right" w:pos="9180"/>
              </w:tabs>
              <w:ind w:right="-360"/>
              <w:rPr>
                <w:sz w:val="20"/>
                <w:szCs w:val="20"/>
              </w:rPr>
            </w:pPr>
          </w:p>
        </w:tc>
        <w:tc>
          <w:tcPr>
            <w:tcW w:w="1350" w:type="dxa"/>
            <w:gridSpan w:val="2"/>
          </w:tcPr>
          <w:p w14:paraId="6CFA3576" w14:textId="77777777" w:rsidR="00E239E3" w:rsidRPr="00E239E3" w:rsidRDefault="00E239E3" w:rsidP="00E239E3">
            <w:pPr>
              <w:tabs>
                <w:tab w:val="decimal" w:pos="957"/>
                <w:tab w:val="right" w:pos="9180"/>
              </w:tabs>
              <w:ind w:right="-46"/>
              <w:rPr>
                <w:sz w:val="20"/>
                <w:szCs w:val="20"/>
              </w:rPr>
            </w:pPr>
          </w:p>
        </w:tc>
        <w:tc>
          <w:tcPr>
            <w:tcW w:w="270" w:type="dxa"/>
            <w:gridSpan w:val="2"/>
          </w:tcPr>
          <w:p w14:paraId="55E1E19B" w14:textId="77777777" w:rsidR="00E239E3" w:rsidRPr="00E239E3" w:rsidRDefault="00E239E3" w:rsidP="00E239E3">
            <w:pPr>
              <w:tabs>
                <w:tab w:val="right" w:pos="9180"/>
              </w:tabs>
              <w:ind w:right="-360"/>
              <w:rPr>
                <w:sz w:val="20"/>
                <w:szCs w:val="20"/>
              </w:rPr>
            </w:pPr>
          </w:p>
        </w:tc>
        <w:tc>
          <w:tcPr>
            <w:tcW w:w="1350" w:type="dxa"/>
            <w:gridSpan w:val="2"/>
            <w:tcBorders>
              <w:top w:val="single" w:sz="4" w:space="0" w:color="auto"/>
            </w:tcBorders>
          </w:tcPr>
          <w:p w14:paraId="5598ED52" w14:textId="77777777" w:rsidR="00E239E3" w:rsidRPr="00E239E3" w:rsidRDefault="00E239E3" w:rsidP="00E239E3">
            <w:pPr>
              <w:tabs>
                <w:tab w:val="decimal" w:pos="972"/>
                <w:tab w:val="right" w:pos="9180"/>
              </w:tabs>
              <w:ind w:right="-18"/>
              <w:rPr>
                <w:sz w:val="20"/>
                <w:szCs w:val="20"/>
              </w:rPr>
            </w:pPr>
            <w:r w:rsidRPr="00E239E3">
              <w:rPr>
                <w:sz w:val="20"/>
                <w:szCs w:val="20"/>
              </w:rPr>
              <w:tab/>
              <w:t>(11,196,420)</w:t>
            </w:r>
          </w:p>
        </w:tc>
        <w:tc>
          <w:tcPr>
            <w:tcW w:w="270" w:type="dxa"/>
            <w:gridSpan w:val="2"/>
          </w:tcPr>
          <w:p w14:paraId="66D53FD9" w14:textId="77777777" w:rsidR="00E239E3" w:rsidRPr="00E239E3" w:rsidRDefault="00E239E3" w:rsidP="00E239E3">
            <w:pPr>
              <w:tabs>
                <w:tab w:val="right" w:pos="9180"/>
              </w:tabs>
              <w:ind w:right="-360"/>
              <w:rPr>
                <w:sz w:val="20"/>
                <w:szCs w:val="20"/>
              </w:rPr>
            </w:pPr>
          </w:p>
        </w:tc>
        <w:tc>
          <w:tcPr>
            <w:tcW w:w="1350" w:type="dxa"/>
            <w:tcBorders>
              <w:top w:val="single" w:sz="4" w:space="0" w:color="auto"/>
            </w:tcBorders>
          </w:tcPr>
          <w:p w14:paraId="1DFF589A" w14:textId="77777777" w:rsidR="00E239E3" w:rsidRPr="00E239E3" w:rsidRDefault="00E239E3" w:rsidP="00E239E3">
            <w:pPr>
              <w:tabs>
                <w:tab w:val="decimal" w:pos="972"/>
                <w:tab w:val="right" w:pos="9180"/>
              </w:tabs>
              <w:ind w:right="-18"/>
              <w:rPr>
                <w:sz w:val="20"/>
                <w:szCs w:val="20"/>
              </w:rPr>
            </w:pPr>
            <w:r w:rsidRPr="00E239E3">
              <w:rPr>
                <w:sz w:val="20"/>
                <w:szCs w:val="20"/>
              </w:rPr>
              <w:tab/>
              <w:t>(2,750,570)</w:t>
            </w:r>
          </w:p>
        </w:tc>
        <w:tc>
          <w:tcPr>
            <w:tcW w:w="270" w:type="dxa"/>
          </w:tcPr>
          <w:p w14:paraId="67F6CD95" w14:textId="77777777" w:rsidR="00E239E3" w:rsidRPr="00E239E3" w:rsidRDefault="00E239E3" w:rsidP="00E239E3">
            <w:pPr>
              <w:tabs>
                <w:tab w:val="right" w:pos="9180"/>
              </w:tabs>
              <w:ind w:right="-360"/>
              <w:rPr>
                <w:sz w:val="20"/>
                <w:szCs w:val="20"/>
              </w:rPr>
            </w:pPr>
          </w:p>
        </w:tc>
        <w:tc>
          <w:tcPr>
            <w:tcW w:w="270" w:type="dxa"/>
          </w:tcPr>
          <w:p w14:paraId="0239AB78" w14:textId="77777777" w:rsidR="00E239E3" w:rsidRPr="00E239E3" w:rsidRDefault="00E239E3" w:rsidP="00E239E3">
            <w:pPr>
              <w:tabs>
                <w:tab w:val="decimal" w:pos="1392"/>
                <w:tab w:val="left" w:pos="2340"/>
                <w:tab w:val="right" w:pos="9180"/>
              </w:tabs>
              <w:rPr>
                <w:sz w:val="20"/>
                <w:szCs w:val="20"/>
              </w:rPr>
            </w:pPr>
          </w:p>
        </w:tc>
      </w:tr>
      <w:tr w:rsidR="00E239E3" w:rsidRPr="00E239E3" w14:paraId="7BEEA78E" w14:textId="77777777" w:rsidTr="004F5282">
        <w:tc>
          <w:tcPr>
            <w:tcW w:w="288" w:type="dxa"/>
          </w:tcPr>
          <w:p w14:paraId="68E68F08" w14:textId="77777777" w:rsidR="00E239E3" w:rsidRPr="00E239E3" w:rsidRDefault="00E239E3" w:rsidP="00E239E3">
            <w:pPr>
              <w:ind w:right="-360"/>
              <w:rPr>
                <w:sz w:val="20"/>
                <w:szCs w:val="20"/>
              </w:rPr>
            </w:pPr>
          </w:p>
        </w:tc>
        <w:tc>
          <w:tcPr>
            <w:tcW w:w="270" w:type="dxa"/>
          </w:tcPr>
          <w:p w14:paraId="700A219C" w14:textId="77777777" w:rsidR="00E239E3" w:rsidRPr="00E239E3" w:rsidRDefault="00E239E3" w:rsidP="00E239E3">
            <w:pPr>
              <w:ind w:right="-360"/>
              <w:rPr>
                <w:sz w:val="20"/>
                <w:szCs w:val="20"/>
              </w:rPr>
            </w:pPr>
          </w:p>
        </w:tc>
        <w:tc>
          <w:tcPr>
            <w:tcW w:w="360" w:type="dxa"/>
          </w:tcPr>
          <w:p w14:paraId="4FB8599A" w14:textId="77777777" w:rsidR="00E239E3" w:rsidRPr="00E239E3" w:rsidRDefault="00E239E3" w:rsidP="00E239E3">
            <w:pPr>
              <w:ind w:right="-360"/>
              <w:rPr>
                <w:sz w:val="20"/>
                <w:szCs w:val="20"/>
              </w:rPr>
            </w:pPr>
          </w:p>
        </w:tc>
        <w:tc>
          <w:tcPr>
            <w:tcW w:w="1260" w:type="dxa"/>
            <w:gridSpan w:val="2"/>
          </w:tcPr>
          <w:p w14:paraId="6E525391" w14:textId="77777777" w:rsidR="00E239E3" w:rsidRPr="00E239E3" w:rsidRDefault="00E239E3" w:rsidP="00E239E3">
            <w:pPr>
              <w:tabs>
                <w:tab w:val="right" w:pos="9180"/>
              </w:tabs>
              <w:ind w:right="-360"/>
              <w:rPr>
                <w:sz w:val="20"/>
                <w:szCs w:val="20"/>
              </w:rPr>
            </w:pPr>
          </w:p>
        </w:tc>
        <w:tc>
          <w:tcPr>
            <w:tcW w:w="2250" w:type="dxa"/>
          </w:tcPr>
          <w:p w14:paraId="675CCDB8" w14:textId="77777777" w:rsidR="00E239E3" w:rsidRPr="00E239E3" w:rsidRDefault="00E239E3" w:rsidP="00E239E3">
            <w:pPr>
              <w:tabs>
                <w:tab w:val="right" w:pos="9180"/>
              </w:tabs>
              <w:ind w:right="-18"/>
              <w:rPr>
                <w:sz w:val="20"/>
                <w:szCs w:val="20"/>
              </w:rPr>
            </w:pPr>
          </w:p>
        </w:tc>
        <w:tc>
          <w:tcPr>
            <w:tcW w:w="1170" w:type="dxa"/>
          </w:tcPr>
          <w:p w14:paraId="6E4D0959" w14:textId="77777777" w:rsidR="00E239E3" w:rsidRPr="00E239E3" w:rsidRDefault="00E239E3" w:rsidP="00E239E3">
            <w:pPr>
              <w:tabs>
                <w:tab w:val="right" w:pos="9180"/>
              </w:tabs>
              <w:ind w:right="-360"/>
              <w:rPr>
                <w:sz w:val="20"/>
                <w:szCs w:val="20"/>
              </w:rPr>
            </w:pPr>
          </w:p>
        </w:tc>
        <w:tc>
          <w:tcPr>
            <w:tcW w:w="1350" w:type="dxa"/>
            <w:gridSpan w:val="2"/>
          </w:tcPr>
          <w:p w14:paraId="1C6C7EB1" w14:textId="77777777" w:rsidR="00E239E3" w:rsidRPr="00E239E3" w:rsidRDefault="00E239E3" w:rsidP="00E239E3">
            <w:pPr>
              <w:tabs>
                <w:tab w:val="right" w:pos="9180"/>
              </w:tabs>
              <w:ind w:right="-46"/>
              <w:rPr>
                <w:sz w:val="20"/>
                <w:szCs w:val="20"/>
              </w:rPr>
            </w:pPr>
          </w:p>
        </w:tc>
        <w:tc>
          <w:tcPr>
            <w:tcW w:w="270" w:type="dxa"/>
            <w:gridSpan w:val="2"/>
          </w:tcPr>
          <w:p w14:paraId="0944FA63" w14:textId="77777777" w:rsidR="00E239E3" w:rsidRPr="00E239E3" w:rsidRDefault="00E239E3" w:rsidP="00E239E3">
            <w:pPr>
              <w:tabs>
                <w:tab w:val="right" w:pos="9180"/>
              </w:tabs>
              <w:ind w:right="-360"/>
              <w:rPr>
                <w:sz w:val="20"/>
                <w:szCs w:val="20"/>
              </w:rPr>
            </w:pPr>
          </w:p>
        </w:tc>
        <w:tc>
          <w:tcPr>
            <w:tcW w:w="1350" w:type="dxa"/>
            <w:gridSpan w:val="2"/>
          </w:tcPr>
          <w:p w14:paraId="36465047" w14:textId="77777777" w:rsidR="00E239E3" w:rsidRPr="00E239E3" w:rsidRDefault="00E239E3" w:rsidP="00E239E3">
            <w:pPr>
              <w:tabs>
                <w:tab w:val="decimal" w:pos="942"/>
                <w:tab w:val="right" w:pos="9180"/>
              </w:tabs>
              <w:ind w:right="-18"/>
              <w:rPr>
                <w:sz w:val="20"/>
                <w:szCs w:val="20"/>
              </w:rPr>
            </w:pPr>
          </w:p>
        </w:tc>
        <w:tc>
          <w:tcPr>
            <w:tcW w:w="270" w:type="dxa"/>
            <w:gridSpan w:val="2"/>
          </w:tcPr>
          <w:p w14:paraId="428282FE" w14:textId="77777777" w:rsidR="00E239E3" w:rsidRPr="00E239E3" w:rsidRDefault="00E239E3" w:rsidP="00E239E3">
            <w:pPr>
              <w:tabs>
                <w:tab w:val="right" w:pos="9180"/>
              </w:tabs>
              <w:ind w:right="-360"/>
              <w:rPr>
                <w:sz w:val="20"/>
                <w:szCs w:val="20"/>
              </w:rPr>
            </w:pPr>
          </w:p>
        </w:tc>
        <w:tc>
          <w:tcPr>
            <w:tcW w:w="1350" w:type="dxa"/>
          </w:tcPr>
          <w:p w14:paraId="23E823E4" w14:textId="77777777" w:rsidR="00E239E3" w:rsidRPr="00E239E3" w:rsidRDefault="00E239E3" w:rsidP="00E239E3">
            <w:pPr>
              <w:tabs>
                <w:tab w:val="right" w:pos="9180"/>
              </w:tabs>
              <w:ind w:right="-18"/>
              <w:rPr>
                <w:sz w:val="20"/>
                <w:szCs w:val="20"/>
              </w:rPr>
            </w:pPr>
          </w:p>
        </w:tc>
        <w:tc>
          <w:tcPr>
            <w:tcW w:w="270" w:type="dxa"/>
          </w:tcPr>
          <w:p w14:paraId="1BB59E99" w14:textId="77777777" w:rsidR="00E239E3" w:rsidRPr="00E239E3" w:rsidRDefault="00E239E3" w:rsidP="00E239E3">
            <w:pPr>
              <w:tabs>
                <w:tab w:val="right" w:pos="9180"/>
              </w:tabs>
              <w:ind w:right="-360"/>
              <w:rPr>
                <w:sz w:val="20"/>
                <w:szCs w:val="20"/>
              </w:rPr>
            </w:pPr>
          </w:p>
        </w:tc>
        <w:tc>
          <w:tcPr>
            <w:tcW w:w="270" w:type="dxa"/>
          </w:tcPr>
          <w:p w14:paraId="219212F9" w14:textId="77777777" w:rsidR="00E239E3" w:rsidRPr="00E239E3" w:rsidRDefault="00E239E3" w:rsidP="00E239E3">
            <w:pPr>
              <w:tabs>
                <w:tab w:val="left" w:pos="2340"/>
                <w:tab w:val="right" w:pos="9180"/>
              </w:tabs>
              <w:rPr>
                <w:sz w:val="20"/>
                <w:szCs w:val="20"/>
              </w:rPr>
            </w:pPr>
          </w:p>
        </w:tc>
      </w:tr>
      <w:tr w:rsidR="00E239E3" w:rsidRPr="00E239E3" w14:paraId="1FB646F7" w14:textId="77777777" w:rsidTr="004F5282">
        <w:tc>
          <w:tcPr>
            <w:tcW w:w="4428" w:type="dxa"/>
            <w:gridSpan w:val="6"/>
          </w:tcPr>
          <w:p w14:paraId="0D9EEF45" w14:textId="77777777" w:rsidR="00E239E3" w:rsidRPr="00E239E3" w:rsidRDefault="00E239E3" w:rsidP="00E239E3">
            <w:pPr>
              <w:tabs>
                <w:tab w:val="right" w:pos="9180"/>
              </w:tabs>
              <w:ind w:right="-18"/>
              <w:rPr>
                <w:sz w:val="20"/>
                <w:szCs w:val="20"/>
              </w:rPr>
            </w:pPr>
            <w:r w:rsidRPr="00E239E3">
              <w:rPr>
                <w:sz w:val="20"/>
                <w:szCs w:val="20"/>
              </w:rPr>
              <w:t>Cash flows from investing activities:</w:t>
            </w:r>
          </w:p>
        </w:tc>
        <w:tc>
          <w:tcPr>
            <w:tcW w:w="1170" w:type="dxa"/>
          </w:tcPr>
          <w:p w14:paraId="254DE723" w14:textId="77777777" w:rsidR="00E239E3" w:rsidRPr="00E239E3" w:rsidRDefault="00E239E3" w:rsidP="00E239E3">
            <w:pPr>
              <w:tabs>
                <w:tab w:val="right" w:pos="9180"/>
              </w:tabs>
              <w:ind w:right="-360"/>
              <w:rPr>
                <w:sz w:val="20"/>
                <w:szCs w:val="20"/>
              </w:rPr>
            </w:pPr>
          </w:p>
        </w:tc>
        <w:tc>
          <w:tcPr>
            <w:tcW w:w="1350" w:type="dxa"/>
            <w:gridSpan w:val="2"/>
          </w:tcPr>
          <w:p w14:paraId="38A8DE9D" w14:textId="77777777" w:rsidR="00E239E3" w:rsidRPr="00E239E3" w:rsidRDefault="00E239E3" w:rsidP="00E239E3">
            <w:pPr>
              <w:tabs>
                <w:tab w:val="right" w:pos="9180"/>
              </w:tabs>
              <w:ind w:right="-46"/>
              <w:rPr>
                <w:sz w:val="20"/>
                <w:szCs w:val="20"/>
              </w:rPr>
            </w:pPr>
          </w:p>
        </w:tc>
        <w:tc>
          <w:tcPr>
            <w:tcW w:w="270" w:type="dxa"/>
            <w:gridSpan w:val="2"/>
          </w:tcPr>
          <w:p w14:paraId="41711004" w14:textId="77777777" w:rsidR="00E239E3" w:rsidRPr="00E239E3" w:rsidRDefault="00E239E3" w:rsidP="00E239E3">
            <w:pPr>
              <w:tabs>
                <w:tab w:val="right" w:pos="9180"/>
              </w:tabs>
              <w:ind w:right="-360"/>
              <w:rPr>
                <w:sz w:val="20"/>
                <w:szCs w:val="20"/>
              </w:rPr>
            </w:pPr>
          </w:p>
        </w:tc>
        <w:tc>
          <w:tcPr>
            <w:tcW w:w="1350" w:type="dxa"/>
            <w:gridSpan w:val="2"/>
          </w:tcPr>
          <w:p w14:paraId="29804145" w14:textId="77777777" w:rsidR="00E239E3" w:rsidRPr="00E239E3" w:rsidRDefault="00E239E3" w:rsidP="00E239E3">
            <w:pPr>
              <w:tabs>
                <w:tab w:val="right" w:pos="9180"/>
              </w:tabs>
              <w:ind w:right="-18"/>
              <w:rPr>
                <w:sz w:val="20"/>
                <w:szCs w:val="20"/>
              </w:rPr>
            </w:pPr>
          </w:p>
        </w:tc>
        <w:tc>
          <w:tcPr>
            <w:tcW w:w="270" w:type="dxa"/>
            <w:gridSpan w:val="2"/>
          </w:tcPr>
          <w:p w14:paraId="3854C969" w14:textId="77777777" w:rsidR="00E239E3" w:rsidRPr="00E239E3" w:rsidRDefault="00E239E3" w:rsidP="00E239E3">
            <w:pPr>
              <w:tabs>
                <w:tab w:val="right" w:pos="9180"/>
              </w:tabs>
              <w:ind w:right="-360"/>
              <w:rPr>
                <w:sz w:val="20"/>
                <w:szCs w:val="20"/>
              </w:rPr>
            </w:pPr>
          </w:p>
        </w:tc>
        <w:tc>
          <w:tcPr>
            <w:tcW w:w="1350" w:type="dxa"/>
          </w:tcPr>
          <w:p w14:paraId="27BF96B7" w14:textId="77777777" w:rsidR="00E239E3" w:rsidRPr="00E239E3" w:rsidRDefault="00E239E3" w:rsidP="00E239E3">
            <w:pPr>
              <w:tabs>
                <w:tab w:val="right" w:pos="9180"/>
              </w:tabs>
              <w:ind w:right="-18"/>
              <w:rPr>
                <w:sz w:val="20"/>
                <w:szCs w:val="20"/>
              </w:rPr>
            </w:pPr>
          </w:p>
        </w:tc>
        <w:tc>
          <w:tcPr>
            <w:tcW w:w="270" w:type="dxa"/>
          </w:tcPr>
          <w:p w14:paraId="7C05AE96" w14:textId="77777777" w:rsidR="00E239E3" w:rsidRPr="00E239E3" w:rsidRDefault="00E239E3" w:rsidP="00E239E3">
            <w:pPr>
              <w:tabs>
                <w:tab w:val="right" w:pos="9180"/>
              </w:tabs>
              <w:ind w:right="-360"/>
              <w:rPr>
                <w:sz w:val="20"/>
                <w:szCs w:val="20"/>
              </w:rPr>
            </w:pPr>
          </w:p>
        </w:tc>
        <w:tc>
          <w:tcPr>
            <w:tcW w:w="270" w:type="dxa"/>
          </w:tcPr>
          <w:p w14:paraId="0107B4F8" w14:textId="77777777" w:rsidR="00E239E3" w:rsidRPr="00E239E3" w:rsidRDefault="00E239E3" w:rsidP="00E239E3">
            <w:pPr>
              <w:tabs>
                <w:tab w:val="left" w:pos="2340"/>
                <w:tab w:val="right" w:pos="9180"/>
              </w:tabs>
              <w:rPr>
                <w:sz w:val="20"/>
                <w:szCs w:val="20"/>
              </w:rPr>
            </w:pPr>
          </w:p>
        </w:tc>
      </w:tr>
      <w:tr w:rsidR="00E239E3" w:rsidRPr="00E239E3" w14:paraId="4F08186F" w14:textId="77777777" w:rsidTr="004F5282">
        <w:tc>
          <w:tcPr>
            <w:tcW w:w="288" w:type="dxa"/>
          </w:tcPr>
          <w:p w14:paraId="2ECD4667" w14:textId="77777777" w:rsidR="00E239E3" w:rsidRPr="00E239E3" w:rsidRDefault="00E239E3" w:rsidP="00E239E3">
            <w:pPr>
              <w:ind w:right="-360"/>
              <w:rPr>
                <w:sz w:val="20"/>
                <w:szCs w:val="20"/>
              </w:rPr>
            </w:pPr>
          </w:p>
        </w:tc>
        <w:tc>
          <w:tcPr>
            <w:tcW w:w="4140" w:type="dxa"/>
            <w:gridSpan w:val="5"/>
          </w:tcPr>
          <w:p w14:paraId="1412A624" w14:textId="77777777" w:rsidR="00E239E3" w:rsidRPr="00E239E3" w:rsidRDefault="00E239E3" w:rsidP="00E239E3">
            <w:pPr>
              <w:tabs>
                <w:tab w:val="right" w:pos="9180"/>
              </w:tabs>
              <w:ind w:right="-18"/>
              <w:rPr>
                <w:sz w:val="20"/>
                <w:szCs w:val="20"/>
              </w:rPr>
            </w:pPr>
            <w:r w:rsidRPr="00E239E3">
              <w:rPr>
                <w:sz w:val="20"/>
                <w:szCs w:val="20"/>
              </w:rPr>
              <w:t>Purchase of property and equipment</w:t>
            </w:r>
          </w:p>
        </w:tc>
        <w:tc>
          <w:tcPr>
            <w:tcW w:w="1170" w:type="dxa"/>
          </w:tcPr>
          <w:p w14:paraId="2A7C5E33" w14:textId="77777777" w:rsidR="00E239E3" w:rsidRPr="00E239E3" w:rsidRDefault="00E239E3" w:rsidP="00E239E3">
            <w:pPr>
              <w:tabs>
                <w:tab w:val="right" w:pos="9180"/>
              </w:tabs>
              <w:ind w:right="-360"/>
              <w:rPr>
                <w:sz w:val="20"/>
                <w:szCs w:val="20"/>
              </w:rPr>
            </w:pPr>
          </w:p>
        </w:tc>
        <w:tc>
          <w:tcPr>
            <w:tcW w:w="1350" w:type="dxa"/>
            <w:gridSpan w:val="2"/>
          </w:tcPr>
          <w:p w14:paraId="0036A5AF" w14:textId="77777777" w:rsidR="00E239E3" w:rsidRPr="00E239E3" w:rsidRDefault="00E239E3" w:rsidP="00E239E3">
            <w:pPr>
              <w:tabs>
                <w:tab w:val="decimal" w:pos="957"/>
                <w:tab w:val="right" w:pos="9180"/>
              </w:tabs>
              <w:ind w:right="-46"/>
              <w:rPr>
                <w:sz w:val="20"/>
                <w:szCs w:val="20"/>
              </w:rPr>
            </w:pPr>
          </w:p>
        </w:tc>
        <w:tc>
          <w:tcPr>
            <w:tcW w:w="270" w:type="dxa"/>
            <w:gridSpan w:val="2"/>
          </w:tcPr>
          <w:p w14:paraId="4B7EC98F" w14:textId="77777777" w:rsidR="00E239E3" w:rsidRPr="00E239E3" w:rsidRDefault="00E239E3" w:rsidP="00E239E3">
            <w:pPr>
              <w:tabs>
                <w:tab w:val="right" w:pos="9180"/>
              </w:tabs>
              <w:ind w:right="-360"/>
              <w:rPr>
                <w:sz w:val="20"/>
                <w:szCs w:val="20"/>
              </w:rPr>
            </w:pPr>
          </w:p>
        </w:tc>
        <w:tc>
          <w:tcPr>
            <w:tcW w:w="1350" w:type="dxa"/>
            <w:gridSpan w:val="2"/>
          </w:tcPr>
          <w:p w14:paraId="5A073DC4" w14:textId="77777777" w:rsidR="00E239E3" w:rsidRPr="00E239E3" w:rsidRDefault="00E239E3" w:rsidP="00E239E3">
            <w:pPr>
              <w:tabs>
                <w:tab w:val="decimal" w:pos="957"/>
                <w:tab w:val="right" w:pos="9180"/>
              </w:tabs>
              <w:ind w:right="-18"/>
              <w:rPr>
                <w:sz w:val="20"/>
                <w:szCs w:val="20"/>
              </w:rPr>
            </w:pPr>
            <w:r w:rsidRPr="00E239E3">
              <w:rPr>
                <w:sz w:val="20"/>
                <w:szCs w:val="20"/>
              </w:rPr>
              <w:tab/>
              <w:t>(47,718)</w:t>
            </w:r>
          </w:p>
        </w:tc>
        <w:tc>
          <w:tcPr>
            <w:tcW w:w="270" w:type="dxa"/>
            <w:gridSpan w:val="2"/>
          </w:tcPr>
          <w:p w14:paraId="62D96B55" w14:textId="77777777" w:rsidR="00E239E3" w:rsidRPr="00E239E3" w:rsidRDefault="00E239E3" w:rsidP="00E239E3">
            <w:pPr>
              <w:tabs>
                <w:tab w:val="right" w:pos="9180"/>
              </w:tabs>
              <w:ind w:right="-360"/>
              <w:rPr>
                <w:sz w:val="20"/>
                <w:szCs w:val="20"/>
              </w:rPr>
            </w:pPr>
          </w:p>
        </w:tc>
        <w:tc>
          <w:tcPr>
            <w:tcW w:w="1350" w:type="dxa"/>
          </w:tcPr>
          <w:p w14:paraId="49F781A2" w14:textId="77777777" w:rsidR="00E239E3" w:rsidRPr="00E239E3" w:rsidRDefault="00E239E3" w:rsidP="00E239E3">
            <w:pPr>
              <w:tabs>
                <w:tab w:val="decimal" w:pos="972"/>
                <w:tab w:val="right" w:pos="9180"/>
              </w:tabs>
              <w:ind w:right="-18"/>
              <w:rPr>
                <w:sz w:val="20"/>
                <w:szCs w:val="20"/>
              </w:rPr>
            </w:pPr>
            <w:r w:rsidRPr="00E239E3">
              <w:rPr>
                <w:sz w:val="20"/>
                <w:szCs w:val="20"/>
              </w:rPr>
              <w:tab/>
              <w:t>(156,791)</w:t>
            </w:r>
          </w:p>
        </w:tc>
        <w:tc>
          <w:tcPr>
            <w:tcW w:w="270" w:type="dxa"/>
          </w:tcPr>
          <w:p w14:paraId="3734F0F4" w14:textId="77777777" w:rsidR="00E239E3" w:rsidRPr="00E239E3" w:rsidRDefault="00E239E3" w:rsidP="00E239E3">
            <w:pPr>
              <w:tabs>
                <w:tab w:val="right" w:pos="9180"/>
              </w:tabs>
              <w:ind w:right="-360"/>
              <w:rPr>
                <w:sz w:val="20"/>
                <w:szCs w:val="20"/>
              </w:rPr>
            </w:pPr>
          </w:p>
        </w:tc>
        <w:tc>
          <w:tcPr>
            <w:tcW w:w="270" w:type="dxa"/>
          </w:tcPr>
          <w:p w14:paraId="050C96F6" w14:textId="77777777" w:rsidR="00E239E3" w:rsidRPr="00E239E3" w:rsidRDefault="00E239E3" w:rsidP="00E239E3">
            <w:pPr>
              <w:tabs>
                <w:tab w:val="decimal" w:pos="1392"/>
                <w:tab w:val="left" w:pos="2340"/>
                <w:tab w:val="right" w:pos="9180"/>
              </w:tabs>
              <w:rPr>
                <w:sz w:val="20"/>
                <w:szCs w:val="20"/>
              </w:rPr>
            </w:pPr>
          </w:p>
        </w:tc>
      </w:tr>
      <w:tr w:rsidR="00E239E3" w:rsidRPr="00E239E3" w14:paraId="54CFE8EC" w14:textId="77777777" w:rsidTr="004F5282">
        <w:tc>
          <w:tcPr>
            <w:tcW w:w="288" w:type="dxa"/>
          </w:tcPr>
          <w:p w14:paraId="049E3597" w14:textId="77777777" w:rsidR="00E239E3" w:rsidRPr="00E239E3" w:rsidRDefault="00E239E3" w:rsidP="00E239E3">
            <w:pPr>
              <w:ind w:right="-360"/>
              <w:rPr>
                <w:sz w:val="20"/>
                <w:szCs w:val="20"/>
              </w:rPr>
            </w:pPr>
          </w:p>
        </w:tc>
        <w:tc>
          <w:tcPr>
            <w:tcW w:w="4140" w:type="dxa"/>
            <w:gridSpan w:val="5"/>
          </w:tcPr>
          <w:p w14:paraId="447A9E79" w14:textId="77777777" w:rsidR="00E239E3" w:rsidRPr="00E239E3" w:rsidRDefault="00E239E3" w:rsidP="00E239E3">
            <w:pPr>
              <w:tabs>
                <w:tab w:val="right" w:pos="9180"/>
              </w:tabs>
              <w:ind w:right="-18"/>
              <w:rPr>
                <w:sz w:val="20"/>
                <w:szCs w:val="20"/>
              </w:rPr>
            </w:pPr>
            <w:r w:rsidRPr="00E239E3">
              <w:rPr>
                <w:sz w:val="20"/>
                <w:szCs w:val="20"/>
              </w:rPr>
              <w:t>Net cash used in investing activities</w:t>
            </w:r>
          </w:p>
        </w:tc>
        <w:tc>
          <w:tcPr>
            <w:tcW w:w="1170" w:type="dxa"/>
          </w:tcPr>
          <w:p w14:paraId="2F1E5FC6" w14:textId="77777777" w:rsidR="00E239E3" w:rsidRPr="00E239E3" w:rsidRDefault="00E239E3" w:rsidP="00E239E3">
            <w:pPr>
              <w:tabs>
                <w:tab w:val="right" w:pos="9180"/>
              </w:tabs>
              <w:ind w:right="-360"/>
              <w:rPr>
                <w:sz w:val="20"/>
                <w:szCs w:val="20"/>
              </w:rPr>
            </w:pPr>
          </w:p>
        </w:tc>
        <w:tc>
          <w:tcPr>
            <w:tcW w:w="1350" w:type="dxa"/>
            <w:gridSpan w:val="2"/>
          </w:tcPr>
          <w:p w14:paraId="3B4D0446" w14:textId="77777777" w:rsidR="00E239E3" w:rsidRPr="00E239E3" w:rsidRDefault="00E239E3" w:rsidP="00E239E3">
            <w:pPr>
              <w:tabs>
                <w:tab w:val="decimal" w:pos="957"/>
                <w:tab w:val="right" w:pos="9180"/>
              </w:tabs>
              <w:ind w:right="-46"/>
              <w:rPr>
                <w:sz w:val="20"/>
                <w:szCs w:val="20"/>
              </w:rPr>
            </w:pPr>
          </w:p>
        </w:tc>
        <w:tc>
          <w:tcPr>
            <w:tcW w:w="270" w:type="dxa"/>
            <w:gridSpan w:val="2"/>
          </w:tcPr>
          <w:p w14:paraId="14A9C700" w14:textId="77777777" w:rsidR="00E239E3" w:rsidRPr="00E239E3" w:rsidRDefault="00E239E3" w:rsidP="00E239E3">
            <w:pPr>
              <w:tabs>
                <w:tab w:val="right" w:pos="9180"/>
              </w:tabs>
              <w:ind w:right="-360"/>
              <w:rPr>
                <w:sz w:val="20"/>
                <w:szCs w:val="20"/>
              </w:rPr>
            </w:pPr>
          </w:p>
        </w:tc>
        <w:tc>
          <w:tcPr>
            <w:tcW w:w="1350" w:type="dxa"/>
            <w:gridSpan w:val="2"/>
            <w:tcBorders>
              <w:top w:val="single" w:sz="4" w:space="0" w:color="auto"/>
            </w:tcBorders>
          </w:tcPr>
          <w:p w14:paraId="50440F1C" w14:textId="77777777" w:rsidR="00E239E3" w:rsidRPr="00E239E3" w:rsidRDefault="00E239E3" w:rsidP="00E239E3">
            <w:pPr>
              <w:tabs>
                <w:tab w:val="decimal" w:pos="972"/>
                <w:tab w:val="right" w:pos="9180"/>
              </w:tabs>
              <w:ind w:right="-18"/>
              <w:rPr>
                <w:sz w:val="20"/>
                <w:szCs w:val="20"/>
              </w:rPr>
            </w:pPr>
            <w:r w:rsidRPr="00E239E3">
              <w:rPr>
                <w:sz w:val="20"/>
                <w:szCs w:val="20"/>
              </w:rPr>
              <w:tab/>
              <w:t>(47,718)</w:t>
            </w:r>
          </w:p>
        </w:tc>
        <w:tc>
          <w:tcPr>
            <w:tcW w:w="270" w:type="dxa"/>
            <w:gridSpan w:val="2"/>
          </w:tcPr>
          <w:p w14:paraId="5E048348" w14:textId="77777777" w:rsidR="00E239E3" w:rsidRPr="00E239E3" w:rsidRDefault="00E239E3" w:rsidP="00E239E3">
            <w:pPr>
              <w:tabs>
                <w:tab w:val="right" w:pos="9180"/>
              </w:tabs>
              <w:ind w:right="-360"/>
              <w:rPr>
                <w:sz w:val="20"/>
                <w:szCs w:val="20"/>
              </w:rPr>
            </w:pPr>
          </w:p>
        </w:tc>
        <w:tc>
          <w:tcPr>
            <w:tcW w:w="1350" w:type="dxa"/>
            <w:tcBorders>
              <w:top w:val="single" w:sz="4" w:space="0" w:color="auto"/>
            </w:tcBorders>
          </w:tcPr>
          <w:p w14:paraId="6E2D4063" w14:textId="77777777" w:rsidR="00E239E3" w:rsidRPr="00E239E3" w:rsidRDefault="00E239E3" w:rsidP="00E239E3">
            <w:pPr>
              <w:tabs>
                <w:tab w:val="decimal" w:pos="972"/>
                <w:tab w:val="right" w:pos="9180"/>
              </w:tabs>
              <w:ind w:right="-18"/>
              <w:rPr>
                <w:sz w:val="20"/>
                <w:szCs w:val="20"/>
              </w:rPr>
            </w:pPr>
            <w:r w:rsidRPr="00E239E3">
              <w:rPr>
                <w:sz w:val="20"/>
                <w:szCs w:val="20"/>
              </w:rPr>
              <w:tab/>
              <w:t>(156,791)</w:t>
            </w:r>
          </w:p>
        </w:tc>
        <w:tc>
          <w:tcPr>
            <w:tcW w:w="270" w:type="dxa"/>
          </w:tcPr>
          <w:p w14:paraId="590C10FF" w14:textId="77777777" w:rsidR="00E239E3" w:rsidRPr="00E239E3" w:rsidRDefault="00E239E3" w:rsidP="00E239E3">
            <w:pPr>
              <w:tabs>
                <w:tab w:val="right" w:pos="9180"/>
              </w:tabs>
              <w:ind w:right="-360"/>
              <w:rPr>
                <w:sz w:val="20"/>
                <w:szCs w:val="20"/>
              </w:rPr>
            </w:pPr>
          </w:p>
        </w:tc>
        <w:tc>
          <w:tcPr>
            <w:tcW w:w="270" w:type="dxa"/>
          </w:tcPr>
          <w:p w14:paraId="3EF4EA5E" w14:textId="77777777" w:rsidR="00E239E3" w:rsidRPr="00E239E3" w:rsidRDefault="00E239E3" w:rsidP="00E239E3">
            <w:pPr>
              <w:tabs>
                <w:tab w:val="decimal" w:pos="1392"/>
                <w:tab w:val="left" w:pos="2340"/>
                <w:tab w:val="right" w:pos="9180"/>
              </w:tabs>
              <w:rPr>
                <w:sz w:val="20"/>
                <w:szCs w:val="20"/>
              </w:rPr>
            </w:pPr>
          </w:p>
        </w:tc>
      </w:tr>
      <w:tr w:rsidR="00E239E3" w:rsidRPr="00E239E3" w14:paraId="3A8381DD" w14:textId="77777777" w:rsidTr="004F5282">
        <w:tc>
          <w:tcPr>
            <w:tcW w:w="288" w:type="dxa"/>
          </w:tcPr>
          <w:p w14:paraId="4727783B" w14:textId="77777777" w:rsidR="00E239E3" w:rsidRPr="00E239E3" w:rsidRDefault="00E239E3" w:rsidP="00E239E3">
            <w:pPr>
              <w:ind w:right="-360"/>
              <w:rPr>
                <w:sz w:val="20"/>
                <w:szCs w:val="20"/>
              </w:rPr>
            </w:pPr>
          </w:p>
        </w:tc>
        <w:tc>
          <w:tcPr>
            <w:tcW w:w="270" w:type="dxa"/>
          </w:tcPr>
          <w:p w14:paraId="503C48BF" w14:textId="77777777" w:rsidR="00E239E3" w:rsidRPr="00E239E3" w:rsidRDefault="00E239E3" w:rsidP="00E239E3">
            <w:pPr>
              <w:ind w:right="-360"/>
              <w:rPr>
                <w:sz w:val="20"/>
                <w:szCs w:val="20"/>
              </w:rPr>
            </w:pPr>
          </w:p>
        </w:tc>
        <w:tc>
          <w:tcPr>
            <w:tcW w:w="360" w:type="dxa"/>
          </w:tcPr>
          <w:p w14:paraId="33BFB502" w14:textId="77777777" w:rsidR="00E239E3" w:rsidRPr="00E239E3" w:rsidRDefault="00E239E3" w:rsidP="00E239E3">
            <w:pPr>
              <w:ind w:right="-360"/>
              <w:rPr>
                <w:sz w:val="20"/>
                <w:szCs w:val="20"/>
              </w:rPr>
            </w:pPr>
          </w:p>
        </w:tc>
        <w:tc>
          <w:tcPr>
            <w:tcW w:w="1260" w:type="dxa"/>
            <w:gridSpan w:val="2"/>
          </w:tcPr>
          <w:p w14:paraId="5C8FDD99" w14:textId="77777777" w:rsidR="00E239E3" w:rsidRPr="00E239E3" w:rsidRDefault="00E239E3" w:rsidP="00E239E3">
            <w:pPr>
              <w:tabs>
                <w:tab w:val="right" w:pos="9180"/>
              </w:tabs>
              <w:ind w:right="-360"/>
              <w:rPr>
                <w:sz w:val="20"/>
                <w:szCs w:val="20"/>
              </w:rPr>
            </w:pPr>
          </w:p>
        </w:tc>
        <w:tc>
          <w:tcPr>
            <w:tcW w:w="2250" w:type="dxa"/>
          </w:tcPr>
          <w:p w14:paraId="1635288D" w14:textId="77777777" w:rsidR="00E239E3" w:rsidRPr="00E239E3" w:rsidRDefault="00E239E3" w:rsidP="00E239E3">
            <w:pPr>
              <w:tabs>
                <w:tab w:val="right" w:pos="9180"/>
              </w:tabs>
              <w:ind w:right="-18"/>
              <w:rPr>
                <w:sz w:val="20"/>
                <w:szCs w:val="20"/>
              </w:rPr>
            </w:pPr>
          </w:p>
        </w:tc>
        <w:tc>
          <w:tcPr>
            <w:tcW w:w="1170" w:type="dxa"/>
          </w:tcPr>
          <w:p w14:paraId="10616744" w14:textId="77777777" w:rsidR="00E239E3" w:rsidRPr="00E239E3" w:rsidRDefault="00E239E3" w:rsidP="00E239E3">
            <w:pPr>
              <w:tabs>
                <w:tab w:val="right" w:pos="9180"/>
              </w:tabs>
              <w:ind w:right="-360"/>
              <w:rPr>
                <w:sz w:val="20"/>
                <w:szCs w:val="20"/>
              </w:rPr>
            </w:pPr>
          </w:p>
        </w:tc>
        <w:tc>
          <w:tcPr>
            <w:tcW w:w="1350" w:type="dxa"/>
            <w:gridSpan w:val="2"/>
          </w:tcPr>
          <w:p w14:paraId="03C35E78" w14:textId="77777777" w:rsidR="00E239E3" w:rsidRPr="00E239E3" w:rsidRDefault="00E239E3" w:rsidP="00E239E3">
            <w:pPr>
              <w:tabs>
                <w:tab w:val="right" w:pos="9180"/>
              </w:tabs>
              <w:ind w:right="-46"/>
              <w:rPr>
                <w:sz w:val="20"/>
                <w:szCs w:val="20"/>
              </w:rPr>
            </w:pPr>
          </w:p>
        </w:tc>
        <w:tc>
          <w:tcPr>
            <w:tcW w:w="270" w:type="dxa"/>
            <w:gridSpan w:val="2"/>
          </w:tcPr>
          <w:p w14:paraId="790BCEFF" w14:textId="77777777" w:rsidR="00E239E3" w:rsidRPr="00E239E3" w:rsidRDefault="00E239E3" w:rsidP="00E239E3">
            <w:pPr>
              <w:tabs>
                <w:tab w:val="right" w:pos="9180"/>
              </w:tabs>
              <w:ind w:right="-360"/>
              <w:rPr>
                <w:sz w:val="20"/>
                <w:szCs w:val="20"/>
              </w:rPr>
            </w:pPr>
          </w:p>
        </w:tc>
        <w:tc>
          <w:tcPr>
            <w:tcW w:w="1350" w:type="dxa"/>
            <w:gridSpan w:val="2"/>
          </w:tcPr>
          <w:p w14:paraId="55110FAF" w14:textId="77777777" w:rsidR="00E239E3" w:rsidRPr="00E239E3" w:rsidRDefault="00E239E3" w:rsidP="00E239E3">
            <w:pPr>
              <w:tabs>
                <w:tab w:val="right" w:pos="9180"/>
              </w:tabs>
              <w:ind w:right="-18"/>
              <w:rPr>
                <w:sz w:val="20"/>
                <w:szCs w:val="20"/>
              </w:rPr>
            </w:pPr>
          </w:p>
        </w:tc>
        <w:tc>
          <w:tcPr>
            <w:tcW w:w="270" w:type="dxa"/>
            <w:gridSpan w:val="2"/>
          </w:tcPr>
          <w:p w14:paraId="0A93A0F1" w14:textId="77777777" w:rsidR="00E239E3" w:rsidRPr="00E239E3" w:rsidRDefault="00E239E3" w:rsidP="00E239E3">
            <w:pPr>
              <w:tabs>
                <w:tab w:val="right" w:pos="9180"/>
              </w:tabs>
              <w:ind w:right="-360"/>
              <w:rPr>
                <w:sz w:val="20"/>
                <w:szCs w:val="20"/>
              </w:rPr>
            </w:pPr>
          </w:p>
        </w:tc>
        <w:tc>
          <w:tcPr>
            <w:tcW w:w="1350" w:type="dxa"/>
          </w:tcPr>
          <w:p w14:paraId="5C91F466" w14:textId="77777777" w:rsidR="00E239E3" w:rsidRPr="00E239E3" w:rsidRDefault="00E239E3" w:rsidP="00E239E3">
            <w:pPr>
              <w:tabs>
                <w:tab w:val="right" w:pos="9180"/>
              </w:tabs>
              <w:ind w:right="-18"/>
              <w:rPr>
                <w:sz w:val="20"/>
                <w:szCs w:val="20"/>
              </w:rPr>
            </w:pPr>
          </w:p>
        </w:tc>
        <w:tc>
          <w:tcPr>
            <w:tcW w:w="270" w:type="dxa"/>
          </w:tcPr>
          <w:p w14:paraId="6659C565" w14:textId="77777777" w:rsidR="00E239E3" w:rsidRPr="00E239E3" w:rsidRDefault="00E239E3" w:rsidP="00E239E3">
            <w:pPr>
              <w:tabs>
                <w:tab w:val="right" w:pos="9180"/>
              </w:tabs>
              <w:ind w:right="-360"/>
              <w:rPr>
                <w:sz w:val="20"/>
                <w:szCs w:val="20"/>
              </w:rPr>
            </w:pPr>
          </w:p>
        </w:tc>
        <w:tc>
          <w:tcPr>
            <w:tcW w:w="270" w:type="dxa"/>
          </w:tcPr>
          <w:p w14:paraId="1CF69374" w14:textId="77777777" w:rsidR="00E239E3" w:rsidRPr="00E239E3" w:rsidRDefault="00E239E3" w:rsidP="00E239E3">
            <w:pPr>
              <w:tabs>
                <w:tab w:val="left" w:pos="2340"/>
                <w:tab w:val="right" w:pos="9180"/>
              </w:tabs>
              <w:rPr>
                <w:sz w:val="20"/>
                <w:szCs w:val="20"/>
              </w:rPr>
            </w:pPr>
          </w:p>
        </w:tc>
      </w:tr>
      <w:tr w:rsidR="00E239E3" w:rsidRPr="00E239E3" w14:paraId="53B5B812" w14:textId="77777777" w:rsidTr="004F5282">
        <w:tc>
          <w:tcPr>
            <w:tcW w:w="4428" w:type="dxa"/>
            <w:gridSpan w:val="6"/>
          </w:tcPr>
          <w:p w14:paraId="6219C204" w14:textId="77777777" w:rsidR="00E239E3" w:rsidRPr="00E239E3" w:rsidRDefault="00E239E3" w:rsidP="00E239E3">
            <w:pPr>
              <w:tabs>
                <w:tab w:val="right" w:pos="9180"/>
              </w:tabs>
              <w:ind w:right="-18"/>
              <w:rPr>
                <w:sz w:val="20"/>
                <w:szCs w:val="20"/>
              </w:rPr>
            </w:pPr>
            <w:r w:rsidRPr="00E239E3">
              <w:rPr>
                <w:sz w:val="20"/>
                <w:szCs w:val="20"/>
              </w:rPr>
              <w:t>Cash flows from financing activities:</w:t>
            </w:r>
          </w:p>
        </w:tc>
        <w:tc>
          <w:tcPr>
            <w:tcW w:w="1170" w:type="dxa"/>
          </w:tcPr>
          <w:p w14:paraId="1134FF47" w14:textId="77777777" w:rsidR="00E239E3" w:rsidRPr="00E239E3" w:rsidRDefault="00E239E3" w:rsidP="00E239E3">
            <w:pPr>
              <w:tabs>
                <w:tab w:val="right" w:pos="9180"/>
              </w:tabs>
              <w:ind w:right="-360"/>
              <w:rPr>
                <w:sz w:val="20"/>
                <w:szCs w:val="20"/>
              </w:rPr>
            </w:pPr>
          </w:p>
        </w:tc>
        <w:tc>
          <w:tcPr>
            <w:tcW w:w="1350" w:type="dxa"/>
            <w:gridSpan w:val="2"/>
          </w:tcPr>
          <w:p w14:paraId="393208E1" w14:textId="77777777" w:rsidR="00E239E3" w:rsidRPr="00E239E3" w:rsidRDefault="00E239E3" w:rsidP="00E239E3">
            <w:pPr>
              <w:tabs>
                <w:tab w:val="right" w:pos="9180"/>
              </w:tabs>
              <w:ind w:right="-46"/>
              <w:rPr>
                <w:sz w:val="20"/>
                <w:szCs w:val="20"/>
              </w:rPr>
            </w:pPr>
          </w:p>
        </w:tc>
        <w:tc>
          <w:tcPr>
            <w:tcW w:w="270" w:type="dxa"/>
            <w:gridSpan w:val="2"/>
          </w:tcPr>
          <w:p w14:paraId="4F8B8185" w14:textId="77777777" w:rsidR="00E239E3" w:rsidRPr="00E239E3" w:rsidRDefault="00E239E3" w:rsidP="00E239E3">
            <w:pPr>
              <w:tabs>
                <w:tab w:val="right" w:pos="9180"/>
              </w:tabs>
              <w:ind w:right="-360"/>
              <w:rPr>
                <w:sz w:val="20"/>
                <w:szCs w:val="20"/>
              </w:rPr>
            </w:pPr>
          </w:p>
        </w:tc>
        <w:tc>
          <w:tcPr>
            <w:tcW w:w="1350" w:type="dxa"/>
            <w:gridSpan w:val="2"/>
          </w:tcPr>
          <w:p w14:paraId="35F4A6BB" w14:textId="77777777" w:rsidR="00E239E3" w:rsidRPr="00E239E3" w:rsidRDefault="00E239E3" w:rsidP="00E239E3">
            <w:pPr>
              <w:tabs>
                <w:tab w:val="right" w:pos="9180"/>
              </w:tabs>
              <w:ind w:right="-18"/>
              <w:rPr>
                <w:sz w:val="20"/>
                <w:szCs w:val="20"/>
              </w:rPr>
            </w:pPr>
          </w:p>
        </w:tc>
        <w:tc>
          <w:tcPr>
            <w:tcW w:w="270" w:type="dxa"/>
            <w:gridSpan w:val="2"/>
          </w:tcPr>
          <w:p w14:paraId="05AD1E7E" w14:textId="77777777" w:rsidR="00E239E3" w:rsidRPr="00E239E3" w:rsidRDefault="00E239E3" w:rsidP="00E239E3">
            <w:pPr>
              <w:tabs>
                <w:tab w:val="right" w:pos="9180"/>
              </w:tabs>
              <w:ind w:right="-360"/>
              <w:rPr>
                <w:sz w:val="20"/>
                <w:szCs w:val="20"/>
              </w:rPr>
            </w:pPr>
          </w:p>
        </w:tc>
        <w:tc>
          <w:tcPr>
            <w:tcW w:w="1350" w:type="dxa"/>
          </w:tcPr>
          <w:p w14:paraId="5D7770FC" w14:textId="77777777" w:rsidR="00E239E3" w:rsidRPr="00E239E3" w:rsidRDefault="00E239E3" w:rsidP="00E239E3">
            <w:pPr>
              <w:tabs>
                <w:tab w:val="right" w:pos="9180"/>
              </w:tabs>
              <w:ind w:right="-18"/>
              <w:rPr>
                <w:sz w:val="20"/>
                <w:szCs w:val="20"/>
              </w:rPr>
            </w:pPr>
          </w:p>
        </w:tc>
        <w:tc>
          <w:tcPr>
            <w:tcW w:w="270" w:type="dxa"/>
          </w:tcPr>
          <w:p w14:paraId="4A3649A4" w14:textId="77777777" w:rsidR="00E239E3" w:rsidRPr="00E239E3" w:rsidRDefault="00E239E3" w:rsidP="00E239E3">
            <w:pPr>
              <w:tabs>
                <w:tab w:val="right" w:pos="9180"/>
              </w:tabs>
              <w:ind w:right="-360"/>
              <w:rPr>
                <w:sz w:val="20"/>
                <w:szCs w:val="20"/>
              </w:rPr>
            </w:pPr>
          </w:p>
        </w:tc>
        <w:tc>
          <w:tcPr>
            <w:tcW w:w="270" w:type="dxa"/>
          </w:tcPr>
          <w:p w14:paraId="1FB3E71B" w14:textId="77777777" w:rsidR="00E239E3" w:rsidRPr="00E239E3" w:rsidRDefault="00E239E3" w:rsidP="00E239E3">
            <w:pPr>
              <w:tabs>
                <w:tab w:val="left" w:pos="2340"/>
                <w:tab w:val="right" w:pos="9180"/>
              </w:tabs>
              <w:rPr>
                <w:sz w:val="20"/>
                <w:szCs w:val="20"/>
              </w:rPr>
            </w:pPr>
          </w:p>
        </w:tc>
      </w:tr>
      <w:tr w:rsidR="00E239E3" w:rsidRPr="00E239E3" w14:paraId="651913D4" w14:textId="77777777" w:rsidTr="004F5282">
        <w:tc>
          <w:tcPr>
            <w:tcW w:w="288" w:type="dxa"/>
          </w:tcPr>
          <w:p w14:paraId="7D636C64" w14:textId="77777777" w:rsidR="00E239E3" w:rsidRPr="00E239E3" w:rsidRDefault="00E239E3" w:rsidP="00E239E3">
            <w:pPr>
              <w:ind w:right="-360"/>
              <w:rPr>
                <w:sz w:val="20"/>
                <w:szCs w:val="20"/>
              </w:rPr>
            </w:pPr>
          </w:p>
        </w:tc>
        <w:tc>
          <w:tcPr>
            <w:tcW w:w="5310" w:type="dxa"/>
            <w:gridSpan w:val="6"/>
          </w:tcPr>
          <w:p w14:paraId="6A424112" w14:textId="77777777" w:rsidR="00E239E3" w:rsidRPr="00E239E3" w:rsidRDefault="00E239E3" w:rsidP="00E239E3">
            <w:pPr>
              <w:tabs>
                <w:tab w:val="right" w:pos="9180"/>
              </w:tabs>
              <w:ind w:right="-360"/>
              <w:rPr>
                <w:sz w:val="20"/>
                <w:szCs w:val="20"/>
              </w:rPr>
            </w:pPr>
            <w:r w:rsidRPr="00E239E3">
              <w:rPr>
                <w:sz w:val="20"/>
                <w:szCs w:val="20"/>
              </w:rPr>
              <w:t>Net proceeds from sale of common stock and warrants</w:t>
            </w:r>
          </w:p>
        </w:tc>
        <w:tc>
          <w:tcPr>
            <w:tcW w:w="1350" w:type="dxa"/>
            <w:gridSpan w:val="2"/>
          </w:tcPr>
          <w:p w14:paraId="0AC73C6A" w14:textId="77777777" w:rsidR="00E239E3" w:rsidRPr="00E239E3" w:rsidRDefault="00E239E3" w:rsidP="00E239E3">
            <w:pPr>
              <w:tabs>
                <w:tab w:val="decimal" w:pos="957"/>
                <w:tab w:val="right" w:pos="9180"/>
              </w:tabs>
              <w:ind w:right="-46"/>
              <w:rPr>
                <w:sz w:val="20"/>
                <w:szCs w:val="20"/>
              </w:rPr>
            </w:pPr>
          </w:p>
        </w:tc>
        <w:tc>
          <w:tcPr>
            <w:tcW w:w="270" w:type="dxa"/>
            <w:gridSpan w:val="2"/>
          </w:tcPr>
          <w:p w14:paraId="18655F10" w14:textId="77777777" w:rsidR="00E239E3" w:rsidRPr="00E239E3" w:rsidRDefault="00E239E3" w:rsidP="00E239E3">
            <w:pPr>
              <w:tabs>
                <w:tab w:val="right" w:pos="9180"/>
              </w:tabs>
              <w:ind w:right="-360"/>
              <w:rPr>
                <w:sz w:val="20"/>
                <w:szCs w:val="20"/>
              </w:rPr>
            </w:pPr>
          </w:p>
        </w:tc>
        <w:tc>
          <w:tcPr>
            <w:tcW w:w="1350" w:type="dxa"/>
            <w:gridSpan w:val="2"/>
          </w:tcPr>
          <w:p w14:paraId="03FCB744" w14:textId="77777777" w:rsidR="00E239E3" w:rsidRPr="00E239E3" w:rsidRDefault="00E239E3" w:rsidP="00E239E3">
            <w:pPr>
              <w:tabs>
                <w:tab w:val="decimal" w:pos="972"/>
                <w:tab w:val="right" w:pos="9180"/>
              </w:tabs>
              <w:ind w:right="-18"/>
              <w:rPr>
                <w:sz w:val="20"/>
                <w:szCs w:val="20"/>
              </w:rPr>
            </w:pPr>
            <w:r w:rsidRPr="00E239E3">
              <w:rPr>
                <w:sz w:val="20"/>
                <w:szCs w:val="20"/>
              </w:rPr>
              <w:tab/>
              <w:t>9,408,920</w:t>
            </w:r>
          </w:p>
        </w:tc>
        <w:tc>
          <w:tcPr>
            <w:tcW w:w="270" w:type="dxa"/>
            <w:gridSpan w:val="2"/>
          </w:tcPr>
          <w:p w14:paraId="110F6600" w14:textId="77777777" w:rsidR="00E239E3" w:rsidRPr="00E239E3" w:rsidRDefault="00E239E3" w:rsidP="00E239E3">
            <w:pPr>
              <w:tabs>
                <w:tab w:val="right" w:pos="9180"/>
              </w:tabs>
              <w:ind w:right="-360"/>
              <w:rPr>
                <w:sz w:val="20"/>
                <w:szCs w:val="20"/>
              </w:rPr>
            </w:pPr>
          </w:p>
        </w:tc>
        <w:tc>
          <w:tcPr>
            <w:tcW w:w="1350" w:type="dxa"/>
          </w:tcPr>
          <w:p w14:paraId="16C8CD9E" w14:textId="77777777" w:rsidR="00E239E3" w:rsidRPr="00E239E3" w:rsidRDefault="00E239E3" w:rsidP="00E239E3">
            <w:pPr>
              <w:tabs>
                <w:tab w:val="decimal" w:pos="972"/>
                <w:tab w:val="right" w:pos="9180"/>
              </w:tabs>
              <w:ind w:right="-18"/>
              <w:rPr>
                <w:sz w:val="20"/>
                <w:szCs w:val="20"/>
              </w:rPr>
            </w:pPr>
            <w:r w:rsidRPr="00E239E3">
              <w:rPr>
                <w:sz w:val="20"/>
                <w:szCs w:val="20"/>
              </w:rPr>
              <w:tab/>
              <w:t>11,158,496</w:t>
            </w:r>
          </w:p>
        </w:tc>
        <w:tc>
          <w:tcPr>
            <w:tcW w:w="270" w:type="dxa"/>
          </w:tcPr>
          <w:p w14:paraId="3084E20B" w14:textId="77777777" w:rsidR="00E239E3" w:rsidRPr="00E239E3" w:rsidRDefault="00E239E3" w:rsidP="00E239E3">
            <w:pPr>
              <w:tabs>
                <w:tab w:val="right" w:pos="9180"/>
              </w:tabs>
              <w:ind w:right="-360"/>
              <w:rPr>
                <w:sz w:val="20"/>
                <w:szCs w:val="20"/>
              </w:rPr>
            </w:pPr>
          </w:p>
        </w:tc>
        <w:tc>
          <w:tcPr>
            <w:tcW w:w="270" w:type="dxa"/>
          </w:tcPr>
          <w:p w14:paraId="74E089F3" w14:textId="77777777" w:rsidR="00E239E3" w:rsidRPr="00E239E3" w:rsidRDefault="00E239E3" w:rsidP="00E239E3">
            <w:pPr>
              <w:tabs>
                <w:tab w:val="decimal" w:pos="1392"/>
                <w:tab w:val="left" w:pos="2340"/>
                <w:tab w:val="right" w:pos="9180"/>
              </w:tabs>
              <w:rPr>
                <w:sz w:val="20"/>
                <w:szCs w:val="20"/>
              </w:rPr>
            </w:pPr>
          </w:p>
        </w:tc>
      </w:tr>
      <w:tr w:rsidR="00E239E3" w:rsidRPr="00E239E3" w14:paraId="28A19FFA" w14:textId="77777777" w:rsidTr="004F5282">
        <w:tc>
          <w:tcPr>
            <w:tcW w:w="288" w:type="dxa"/>
          </w:tcPr>
          <w:p w14:paraId="0E1AA33B" w14:textId="77777777" w:rsidR="00E239E3" w:rsidRPr="00E239E3" w:rsidRDefault="00E239E3" w:rsidP="00E239E3">
            <w:pPr>
              <w:ind w:right="-360"/>
              <w:rPr>
                <w:sz w:val="20"/>
                <w:szCs w:val="20"/>
              </w:rPr>
            </w:pPr>
          </w:p>
        </w:tc>
        <w:tc>
          <w:tcPr>
            <w:tcW w:w="4140" w:type="dxa"/>
            <w:gridSpan w:val="5"/>
          </w:tcPr>
          <w:p w14:paraId="2EF4C189" w14:textId="77777777" w:rsidR="00E239E3" w:rsidRPr="00E239E3" w:rsidRDefault="00E239E3" w:rsidP="00E239E3">
            <w:pPr>
              <w:tabs>
                <w:tab w:val="right" w:pos="9180"/>
              </w:tabs>
              <w:ind w:right="-18"/>
              <w:rPr>
                <w:sz w:val="20"/>
                <w:szCs w:val="20"/>
              </w:rPr>
            </w:pPr>
            <w:r w:rsidRPr="00E239E3">
              <w:rPr>
                <w:sz w:val="20"/>
                <w:szCs w:val="20"/>
              </w:rPr>
              <w:t>Net proceeds from warrant exercises</w:t>
            </w:r>
          </w:p>
        </w:tc>
        <w:tc>
          <w:tcPr>
            <w:tcW w:w="1170" w:type="dxa"/>
          </w:tcPr>
          <w:p w14:paraId="7EB179F6" w14:textId="77777777" w:rsidR="00E239E3" w:rsidRPr="00E239E3" w:rsidRDefault="00E239E3" w:rsidP="00E239E3">
            <w:pPr>
              <w:tabs>
                <w:tab w:val="right" w:pos="9180"/>
              </w:tabs>
              <w:ind w:right="-360"/>
              <w:rPr>
                <w:sz w:val="20"/>
                <w:szCs w:val="20"/>
              </w:rPr>
            </w:pPr>
          </w:p>
        </w:tc>
        <w:tc>
          <w:tcPr>
            <w:tcW w:w="1350" w:type="dxa"/>
            <w:gridSpan w:val="2"/>
          </w:tcPr>
          <w:p w14:paraId="79A0C05C" w14:textId="77777777" w:rsidR="00E239E3" w:rsidRPr="00E239E3" w:rsidRDefault="00E239E3" w:rsidP="00E239E3">
            <w:pPr>
              <w:tabs>
                <w:tab w:val="decimal" w:pos="957"/>
                <w:tab w:val="right" w:pos="9180"/>
              </w:tabs>
              <w:ind w:right="-46"/>
              <w:rPr>
                <w:sz w:val="20"/>
                <w:szCs w:val="20"/>
              </w:rPr>
            </w:pPr>
          </w:p>
        </w:tc>
        <w:tc>
          <w:tcPr>
            <w:tcW w:w="270" w:type="dxa"/>
            <w:gridSpan w:val="2"/>
          </w:tcPr>
          <w:p w14:paraId="27007C24" w14:textId="77777777" w:rsidR="00E239E3" w:rsidRPr="00E239E3" w:rsidRDefault="00E239E3" w:rsidP="00E239E3">
            <w:pPr>
              <w:tabs>
                <w:tab w:val="right" w:pos="9180"/>
              </w:tabs>
              <w:ind w:right="-360"/>
              <w:rPr>
                <w:sz w:val="20"/>
                <w:szCs w:val="20"/>
              </w:rPr>
            </w:pPr>
          </w:p>
        </w:tc>
        <w:tc>
          <w:tcPr>
            <w:tcW w:w="1350" w:type="dxa"/>
            <w:gridSpan w:val="2"/>
          </w:tcPr>
          <w:p w14:paraId="58A72826" w14:textId="77777777" w:rsidR="00E239E3" w:rsidRPr="00E239E3" w:rsidRDefault="00E239E3" w:rsidP="00E239E3">
            <w:pPr>
              <w:tabs>
                <w:tab w:val="decimal" w:pos="972"/>
                <w:tab w:val="right" w:pos="9180"/>
              </w:tabs>
              <w:ind w:right="-18"/>
              <w:rPr>
                <w:sz w:val="20"/>
                <w:szCs w:val="20"/>
              </w:rPr>
            </w:pPr>
            <w:r w:rsidRPr="00E239E3">
              <w:rPr>
                <w:sz w:val="20"/>
                <w:szCs w:val="20"/>
              </w:rPr>
              <w:tab/>
              <w:t>3,404,156</w:t>
            </w:r>
          </w:p>
        </w:tc>
        <w:tc>
          <w:tcPr>
            <w:tcW w:w="270" w:type="dxa"/>
            <w:gridSpan w:val="2"/>
          </w:tcPr>
          <w:p w14:paraId="1FBC270D" w14:textId="77777777" w:rsidR="00E239E3" w:rsidRPr="00E239E3" w:rsidRDefault="00E239E3" w:rsidP="00E239E3">
            <w:pPr>
              <w:tabs>
                <w:tab w:val="right" w:pos="9180"/>
              </w:tabs>
              <w:ind w:right="-360"/>
              <w:rPr>
                <w:sz w:val="20"/>
                <w:szCs w:val="20"/>
              </w:rPr>
            </w:pPr>
          </w:p>
        </w:tc>
        <w:tc>
          <w:tcPr>
            <w:tcW w:w="1350" w:type="dxa"/>
          </w:tcPr>
          <w:p w14:paraId="1032F11F" w14:textId="77777777" w:rsidR="00E239E3" w:rsidRPr="00E239E3" w:rsidRDefault="00E239E3" w:rsidP="00E239E3">
            <w:pPr>
              <w:tabs>
                <w:tab w:val="decimal" w:pos="972"/>
                <w:tab w:val="right" w:pos="9180"/>
              </w:tabs>
              <w:ind w:right="-18"/>
              <w:rPr>
                <w:sz w:val="20"/>
                <w:szCs w:val="20"/>
              </w:rPr>
            </w:pPr>
            <w:r w:rsidRPr="00E239E3">
              <w:rPr>
                <w:sz w:val="20"/>
                <w:szCs w:val="20"/>
              </w:rPr>
              <w:tab/>
              <w:t>2,500</w:t>
            </w:r>
          </w:p>
        </w:tc>
        <w:tc>
          <w:tcPr>
            <w:tcW w:w="270" w:type="dxa"/>
          </w:tcPr>
          <w:p w14:paraId="0D58EC1C" w14:textId="77777777" w:rsidR="00E239E3" w:rsidRPr="00E239E3" w:rsidRDefault="00E239E3" w:rsidP="00E239E3">
            <w:pPr>
              <w:tabs>
                <w:tab w:val="right" w:pos="9180"/>
              </w:tabs>
              <w:ind w:right="-360"/>
              <w:rPr>
                <w:sz w:val="20"/>
                <w:szCs w:val="20"/>
              </w:rPr>
            </w:pPr>
          </w:p>
        </w:tc>
        <w:tc>
          <w:tcPr>
            <w:tcW w:w="270" w:type="dxa"/>
          </w:tcPr>
          <w:p w14:paraId="2766AA57" w14:textId="77777777" w:rsidR="00E239E3" w:rsidRPr="00E239E3" w:rsidRDefault="00E239E3" w:rsidP="00E239E3">
            <w:pPr>
              <w:tabs>
                <w:tab w:val="decimal" w:pos="1392"/>
                <w:tab w:val="left" w:pos="2340"/>
                <w:tab w:val="right" w:pos="9180"/>
              </w:tabs>
              <w:rPr>
                <w:sz w:val="20"/>
                <w:szCs w:val="20"/>
              </w:rPr>
            </w:pPr>
          </w:p>
        </w:tc>
      </w:tr>
      <w:tr w:rsidR="00E239E3" w:rsidRPr="00E239E3" w14:paraId="3DDDA2AB" w14:textId="77777777" w:rsidTr="004F5282">
        <w:tc>
          <w:tcPr>
            <w:tcW w:w="288" w:type="dxa"/>
          </w:tcPr>
          <w:p w14:paraId="5B830186" w14:textId="77777777" w:rsidR="00E239E3" w:rsidRPr="00E239E3" w:rsidRDefault="00E239E3" w:rsidP="00E239E3">
            <w:pPr>
              <w:ind w:right="-360"/>
              <w:rPr>
                <w:sz w:val="20"/>
                <w:szCs w:val="20"/>
              </w:rPr>
            </w:pPr>
          </w:p>
        </w:tc>
        <w:tc>
          <w:tcPr>
            <w:tcW w:w="4140" w:type="dxa"/>
            <w:gridSpan w:val="5"/>
          </w:tcPr>
          <w:p w14:paraId="4BDE6B5D" w14:textId="77777777" w:rsidR="00E239E3" w:rsidRPr="00E239E3" w:rsidRDefault="00E239E3" w:rsidP="00E239E3">
            <w:pPr>
              <w:tabs>
                <w:tab w:val="right" w:pos="9180"/>
              </w:tabs>
              <w:ind w:right="-18"/>
              <w:rPr>
                <w:sz w:val="20"/>
                <w:szCs w:val="20"/>
              </w:rPr>
            </w:pPr>
            <w:r w:rsidRPr="00E239E3">
              <w:rPr>
                <w:sz w:val="20"/>
                <w:szCs w:val="20"/>
              </w:rPr>
              <w:t>Net proceeds from sale of preferred stock</w:t>
            </w:r>
          </w:p>
        </w:tc>
        <w:tc>
          <w:tcPr>
            <w:tcW w:w="1170" w:type="dxa"/>
          </w:tcPr>
          <w:p w14:paraId="2EC9A807" w14:textId="77777777" w:rsidR="00E239E3" w:rsidRPr="00E239E3" w:rsidRDefault="00E239E3" w:rsidP="00E239E3">
            <w:pPr>
              <w:tabs>
                <w:tab w:val="right" w:pos="9180"/>
              </w:tabs>
              <w:ind w:right="-360"/>
              <w:rPr>
                <w:sz w:val="20"/>
                <w:szCs w:val="20"/>
              </w:rPr>
            </w:pPr>
          </w:p>
        </w:tc>
        <w:tc>
          <w:tcPr>
            <w:tcW w:w="1350" w:type="dxa"/>
            <w:gridSpan w:val="2"/>
          </w:tcPr>
          <w:p w14:paraId="093FD4D6" w14:textId="77777777" w:rsidR="00E239E3" w:rsidRPr="00E239E3" w:rsidRDefault="00E239E3" w:rsidP="00E239E3">
            <w:pPr>
              <w:tabs>
                <w:tab w:val="decimal" w:pos="957"/>
                <w:tab w:val="right" w:pos="9180"/>
              </w:tabs>
              <w:ind w:right="-46"/>
              <w:rPr>
                <w:sz w:val="20"/>
                <w:szCs w:val="20"/>
              </w:rPr>
            </w:pPr>
          </w:p>
        </w:tc>
        <w:tc>
          <w:tcPr>
            <w:tcW w:w="270" w:type="dxa"/>
            <w:gridSpan w:val="2"/>
          </w:tcPr>
          <w:p w14:paraId="70D4C35F" w14:textId="77777777" w:rsidR="00E239E3" w:rsidRPr="00E239E3" w:rsidRDefault="00E239E3" w:rsidP="00E239E3">
            <w:pPr>
              <w:tabs>
                <w:tab w:val="right" w:pos="9180"/>
              </w:tabs>
              <w:ind w:right="-360"/>
              <w:rPr>
                <w:sz w:val="20"/>
                <w:szCs w:val="20"/>
              </w:rPr>
            </w:pPr>
          </w:p>
        </w:tc>
        <w:tc>
          <w:tcPr>
            <w:tcW w:w="1350" w:type="dxa"/>
            <w:gridSpan w:val="2"/>
          </w:tcPr>
          <w:p w14:paraId="2D58051B" w14:textId="77777777" w:rsidR="00E239E3" w:rsidRPr="00E239E3" w:rsidRDefault="00E239E3" w:rsidP="00E239E3">
            <w:pPr>
              <w:tabs>
                <w:tab w:val="decimal" w:pos="972"/>
                <w:tab w:val="right" w:pos="9180"/>
              </w:tabs>
              <w:ind w:right="-18"/>
              <w:rPr>
                <w:sz w:val="20"/>
                <w:szCs w:val="20"/>
              </w:rPr>
            </w:pPr>
            <w:r w:rsidRPr="00E239E3">
              <w:rPr>
                <w:sz w:val="20"/>
                <w:szCs w:val="20"/>
              </w:rPr>
              <w:tab/>
              <w:t>-</w:t>
            </w:r>
          </w:p>
        </w:tc>
        <w:tc>
          <w:tcPr>
            <w:tcW w:w="270" w:type="dxa"/>
            <w:gridSpan w:val="2"/>
          </w:tcPr>
          <w:p w14:paraId="24C89E5F" w14:textId="77777777" w:rsidR="00E239E3" w:rsidRPr="00E239E3" w:rsidRDefault="00E239E3" w:rsidP="00E239E3">
            <w:pPr>
              <w:tabs>
                <w:tab w:val="right" w:pos="9180"/>
              </w:tabs>
              <w:ind w:right="-360"/>
              <w:rPr>
                <w:sz w:val="20"/>
                <w:szCs w:val="20"/>
              </w:rPr>
            </w:pPr>
          </w:p>
        </w:tc>
        <w:tc>
          <w:tcPr>
            <w:tcW w:w="1350" w:type="dxa"/>
          </w:tcPr>
          <w:p w14:paraId="3F7079E1" w14:textId="77777777" w:rsidR="00E239E3" w:rsidRPr="00E239E3" w:rsidRDefault="00E239E3" w:rsidP="00E239E3">
            <w:pPr>
              <w:tabs>
                <w:tab w:val="decimal" w:pos="972"/>
                <w:tab w:val="right" w:pos="9180"/>
              </w:tabs>
              <w:ind w:right="-18"/>
              <w:rPr>
                <w:sz w:val="20"/>
                <w:szCs w:val="20"/>
              </w:rPr>
            </w:pPr>
            <w:r w:rsidRPr="00E239E3">
              <w:rPr>
                <w:sz w:val="20"/>
                <w:szCs w:val="20"/>
              </w:rPr>
              <w:tab/>
              <w:t>300,000</w:t>
            </w:r>
          </w:p>
        </w:tc>
        <w:tc>
          <w:tcPr>
            <w:tcW w:w="270" w:type="dxa"/>
          </w:tcPr>
          <w:p w14:paraId="59007EA2" w14:textId="77777777" w:rsidR="00E239E3" w:rsidRPr="00E239E3" w:rsidRDefault="00E239E3" w:rsidP="00E239E3">
            <w:pPr>
              <w:tabs>
                <w:tab w:val="right" w:pos="9180"/>
              </w:tabs>
              <w:ind w:right="-360"/>
              <w:rPr>
                <w:sz w:val="20"/>
                <w:szCs w:val="20"/>
              </w:rPr>
            </w:pPr>
          </w:p>
        </w:tc>
        <w:tc>
          <w:tcPr>
            <w:tcW w:w="270" w:type="dxa"/>
          </w:tcPr>
          <w:p w14:paraId="0306FB26" w14:textId="77777777" w:rsidR="00E239E3" w:rsidRPr="00E239E3" w:rsidRDefault="00E239E3" w:rsidP="00E239E3">
            <w:pPr>
              <w:tabs>
                <w:tab w:val="decimal" w:pos="1392"/>
                <w:tab w:val="left" w:pos="2340"/>
                <w:tab w:val="right" w:pos="9180"/>
              </w:tabs>
              <w:rPr>
                <w:sz w:val="20"/>
                <w:szCs w:val="20"/>
              </w:rPr>
            </w:pPr>
          </w:p>
        </w:tc>
      </w:tr>
      <w:tr w:rsidR="00E239E3" w:rsidRPr="00E239E3" w14:paraId="42778F9B" w14:textId="77777777" w:rsidTr="004F5282">
        <w:tc>
          <w:tcPr>
            <w:tcW w:w="288" w:type="dxa"/>
          </w:tcPr>
          <w:p w14:paraId="7AB646FF" w14:textId="77777777" w:rsidR="00E239E3" w:rsidRPr="00E239E3" w:rsidRDefault="00E239E3" w:rsidP="00E239E3">
            <w:pPr>
              <w:ind w:right="-360"/>
              <w:rPr>
                <w:sz w:val="20"/>
                <w:szCs w:val="20"/>
              </w:rPr>
            </w:pPr>
          </w:p>
        </w:tc>
        <w:tc>
          <w:tcPr>
            <w:tcW w:w="4140" w:type="dxa"/>
            <w:gridSpan w:val="5"/>
          </w:tcPr>
          <w:p w14:paraId="3DCEA36A" w14:textId="77777777" w:rsidR="00E239E3" w:rsidRPr="00E239E3" w:rsidRDefault="00E239E3" w:rsidP="00E239E3">
            <w:pPr>
              <w:tabs>
                <w:tab w:val="right" w:pos="9180"/>
              </w:tabs>
              <w:ind w:right="-18"/>
              <w:rPr>
                <w:sz w:val="20"/>
                <w:szCs w:val="20"/>
              </w:rPr>
            </w:pPr>
            <w:r w:rsidRPr="00E239E3">
              <w:rPr>
                <w:sz w:val="20"/>
                <w:szCs w:val="20"/>
              </w:rPr>
              <w:t>Net proceeds from issuance of note payable</w:t>
            </w:r>
          </w:p>
        </w:tc>
        <w:tc>
          <w:tcPr>
            <w:tcW w:w="1170" w:type="dxa"/>
          </w:tcPr>
          <w:p w14:paraId="3B60003C" w14:textId="77777777" w:rsidR="00E239E3" w:rsidRPr="00E239E3" w:rsidRDefault="00E239E3" w:rsidP="00E239E3">
            <w:pPr>
              <w:tabs>
                <w:tab w:val="right" w:pos="9180"/>
              </w:tabs>
              <w:ind w:right="-360"/>
              <w:rPr>
                <w:sz w:val="20"/>
                <w:szCs w:val="20"/>
              </w:rPr>
            </w:pPr>
          </w:p>
        </w:tc>
        <w:tc>
          <w:tcPr>
            <w:tcW w:w="1350" w:type="dxa"/>
            <w:gridSpan w:val="2"/>
          </w:tcPr>
          <w:p w14:paraId="6CF5D8C2" w14:textId="77777777" w:rsidR="00E239E3" w:rsidRPr="00E239E3" w:rsidRDefault="00E239E3" w:rsidP="00E239E3">
            <w:pPr>
              <w:tabs>
                <w:tab w:val="decimal" w:pos="957"/>
                <w:tab w:val="right" w:pos="9180"/>
              </w:tabs>
              <w:ind w:right="-46"/>
              <w:rPr>
                <w:sz w:val="20"/>
                <w:szCs w:val="20"/>
              </w:rPr>
            </w:pPr>
          </w:p>
        </w:tc>
        <w:tc>
          <w:tcPr>
            <w:tcW w:w="270" w:type="dxa"/>
            <w:gridSpan w:val="2"/>
          </w:tcPr>
          <w:p w14:paraId="2E8977F3" w14:textId="77777777" w:rsidR="00E239E3" w:rsidRPr="00E239E3" w:rsidRDefault="00E239E3" w:rsidP="00E239E3">
            <w:pPr>
              <w:tabs>
                <w:tab w:val="right" w:pos="9180"/>
              </w:tabs>
              <w:ind w:right="-360"/>
              <w:rPr>
                <w:sz w:val="20"/>
                <w:szCs w:val="20"/>
              </w:rPr>
            </w:pPr>
          </w:p>
        </w:tc>
        <w:tc>
          <w:tcPr>
            <w:tcW w:w="1350" w:type="dxa"/>
            <w:gridSpan w:val="2"/>
          </w:tcPr>
          <w:p w14:paraId="6ACB6749" w14:textId="77777777" w:rsidR="00E239E3" w:rsidRPr="00E239E3" w:rsidRDefault="00E239E3" w:rsidP="00E239E3">
            <w:pPr>
              <w:tabs>
                <w:tab w:val="decimal" w:pos="972"/>
                <w:tab w:val="right" w:pos="9180"/>
              </w:tabs>
              <w:ind w:right="-18"/>
              <w:rPr>
                <w:sz w:val="20"/>
                <w:szCs w:val="20"/>
              </w:rPr>
            </w:pPr>
            <w:r w:rsidRPr="00E239E3">
              <w:rPr>
                <w:sz w:val="20"/>
                <w:szCs w:val="20"/>
              </w:rPr>
              <w:tab/>
              <w:t>-</w:t>
            </w:r>
          </w:p>
        </w:tc>
        <w:tc>
          <w:tcPr>
            <w:tcW w:w="270" w:type="dxa"/>
            <w:gridSpan w:val="2"/>
          </w:tcPr>
          <w:p w14:paraId="18465CB3" w14:textId="77777777" w:rsidR="00E239E3" w:rsidRPr="00E239E3" w:rsidRDefault="00E239E3" w:rsidP="00E239E3">
            <w:pPr>
              <w:tabs>
                <w:tab w:val="right" w:pos="9180"/>
              </w:tabs>
              <w:ind w:right="-360"/>
              <w:rPr>
                <w:sz w:val="20"/>
                <w:szCs w:val="20"/>
              </w:rPr>
            </w:pPr>
          </w:p>
        </w:tc>
        <w:tc>
          <w:tcPr>
            <w:tcW w:w="1350" w:type="dxa"/>
          </w:tcPr>
          <w:p w14:paraId="5E5EF832" w14:textId="77777777" w:rsidR="00E239E3" w:rsidRPr="00E239E3" w:rsidRDefault="00E239E3" w:rsidP="00E239E3">
            <w:pPr>
              <w:tabs>
                <w:tab w:val="decimal" w:pos="972"/>
                <w:tab w:val="right" w:pos="9180"/>
              </w:tabs>
              <w:ind w:right="-18"/>
              <w:rPr>
                <w:sz w:val="20"/>
                <w:szCs w:val="20"/>
              </w:rPr>
            </w:pPr>
            <w:r w:rsidRPr="00E239E3">
              <w:rPr>
                <w:sz w:val="20"/>
                <w:szCs w:val="20"/>
              </w:rPr>
              <w:tab/>
              <w:t>170,200</w:t>
            </w:r>
          </w:p>
        </w:tc>
        <w:tc>
          <w:tcPr>
            <w:tcW w:w="270" w:type="dxa"/>
          </w:tcPr>
          <w:p w14:paraId="7C6486B4" w14:textId="77777777" w:rsidR="00E239E3" w:rsidRPr="00E239E3" w:rsidRDefault="00E239E3" w:rsidP="00E239E3">
            <w:pPr>
              <w:tabs>
                <w:tab w:val="right" w:pos="9180"/>
              </w:tabs>
              <w:ind w:right="-360"/>
              <w:rPr>
                <w:sz w:val="20"/>
                <w:szCs w:val="20"/>
              </w:rPr>
            </w:pPr>
          </w:p>
        </w:tc>
        <w:tc>
          <w:tcPr>
            <w:tcW w:w="270" w:type="dxa"/>
          </w:tcPr>
          <w:p w14:paraId="3790A0DA" w14:textId="77777777" w:rsidR="00E239E3" w:rsidRPr="00E239E3" w:rsidRDefault="00E239E3" w:rsidP="00E239E3">
            <w:pPr>
              <w:tabs>
                <w:tab w:val="decimal" w:pos="1392"/>
                <w:tab w:val="left" w:pos="2340"/>
                <w:tab w:val="right" w:pos="9180"/>
              </w:tabs>
              <w:rPr>
                <w:sz w:val="20"/>
                <w:szCs w:val="20"/>
              </w:rPr>
            </w:pPr>
          </w:p>
        </w:tc>
      </w:tr>
      <w:tr w:rsidR="00E239E3" w:rsidRPr="00E239E3" w14:paraId="7BDB02A1" w14:textId="77777777" w:rsidTr="004F5282">
        <w:tc>
          <w:tcPr>
            <w:tcW w:w="288" w:type="dxa"/>
          </w:tcPr>
          <w:p w14:paraId="7FCD00ED" w14:textId="77777777" w:rsidR="00E239E3" w:rsidRPr="00E239E3" w:rsidRDefault="00E239E3" w:rsidP="00E239E3">
            <w:pPr>
              <w:ind w:right="-360"/>
              <w:rPr>
                <w:sz w:val="20"/>
                <w:szCs w:val="20"/>
              </w:rPr>
            </w:pPr>
          </w:p>
        </w:tc>
        <w:tc>
          <w:tcPr>
            <w:tcW w:w="4140" w:type="dxa"/>
            <w:gridSpan w:val="5"/>
          </w:tcPr>
          <w:p w14:paraId="76A97935" w14:textId="77777777" w:rsidR="00E239E3" w:rsidRPr="00E239E3" w:rsidRDefault="00E239E3" w:rsidP="00E239E3">
            <w:pPr>
              <w:tabs>
                <w:tab w:val="right" w:pos="9180"/>
              </w:tabs>
              <w:ind w:right="-18"/>
              <w:rPr>
                <w:sz w:val="20"/>
                <w:szCs w:val="20"/>
              </w:rPr>
            </w:pPr>
            <w:r w:rsidRPr="00E239E3">
              <w:rPr>
                <w:sz w:val="20"/>
                <w:szCs w:val="20"/>
              </w:rPr>
              <w:t>Net proceeds from bridge financing</w:t>
            </w:r>
          </w:p>
        </w:tc>
        <w:tc>
          <w:tcPr>
            <w:tcW w:w="1170" w:type="dxa"/>
          </w:tcPr>
          <w:p w14:paraId="5E9BE2DC" w14:textId="77777777" w:rsidR="00E239E3" w:rsidRPr="00E239E3" w:rsidRDefault="00E239E3" w:rsidP="00E239E3">
            <w:pPr>
              <w:tabs>
                <w:tab w:val="right" w:pos="9180"/>
              </w:tabs>
              <w:ind w:right="-360"/>
              <w:rPr>
                <w:sz w:val="20"/>
                <w:szCs w:val="20"/>
              </w:rPr>
            </w:pPr>
          </w:p>
        </w:tc>
        <w:tc>
          <w:tcPr>
            <w:tcW w:w="1350" w:type="dxa"/>
            <w:gridSpan w:val="2"/>
          </w:tcPr>
          <w:p w14:paraId="1D5AEE76" w14:textId="77777777" w:rsidR="00E239E3" w:rsidRPr="00E239E3" w:rsidRDefault="00E239E3" w:rsidP="00E239E3">
            <w:pPr>
              <w:tabs>
                <w:tab w:val="decimal" w:pos="957"/>
                <w:tab w:val="right" w:pos="9180"/>
              </w:tabs>
              <w:ind w:right="-46"/>
              <w:rPr>
                <w:sz w:val="20"/>
                <w:szCs w:val="20"/>
              </w:rPr>
            </w:pPr>
          </w:p>
        </w:tc>
        <w:tc>
          <w:tcPr>
            <w:tcW w:w="270" w:type="dxa"/>
            <w:gridSpan w:val="2"/>
          </w:tcPr>
          <w:p w14:paraId="447AE4DB" w14:textId="77777777" w:rsidR="00E239E3" w:rsidRPr="00E239E3" w:rsidRDefault="00E239E3" w:rsidP="00E239E3">
            <w:pPr>
              <w:tabs>
                <w:tab w:val="right" w:pos="9180"/>
              </w:tabs>
              <w:ind w:right="-360"/>
              <w:rPr>
                <w:sz w:val="20"/>
                <w:szCs w:val="20"/>
              </w:rPr>
            </w:pPr>
          </w:p>
        </w:tc>
        <w:tc>
          <w:tcPr>
            <w:tcW w:w="1350" w:type="dxa"/>
            <w:gridSpan w:val="2"/>
          </w:tcPr>
          <w:p w14:paraId="39AA840B" w14:textId="77777777" w:rsidR="00E239E3" w:rsidRPr="00E239E3" w:rsidRDefault="00E239E3" w:rsidP="00E239E3">
            <w:pPr>
              <w:tabs>
                <w:tab w:val="decimal" w:pos="972"/>
                <w:tab w:val="right" w:pos="9180"/>
              </w:tabs>
              <w:ind w:right="-18"/>
              <w:rPr>
                <w:sz w:val="20"/>
                <w:szCs w:val="20"/>
              </w:rPr>
            </w:pPr>
            <w:r w:rsidRPr="00E239E3">
              <w:rPr>
                <w:sz w:val="20"/>
                <w:szCs w:val="20"/>
              </w:rPr>
              <w:tab/>
              <w:t>-</w:t>
            </w:r>
          </w:p>
        </w:tc>
        <w:tc>
          <w:tcPr>
            <w:tcW w:w="270" w:type="dxa"/>
            <w:gridSpan w:val="2"/>
          </w:tcPr>
          <w:p w14:paraId="5D9875B5" w14:textId="77777777" w:rsidR="00E239E3" w:rsidRPr="00E239E3" w:rsidRDefault="00E239E3" w:rsidP="00E239E3">
            <w:pPr>
              <w:tabs>
                <w:tab w:val="right" w:pos="9180"/>
              </w:tabs>
              <w:ind w:right="-360"/>
              <w:rPr>
                <w:sz w:val="20"/>
                <w:szCs w:val="20"/>
              </w:rPr>
            </w:pPr>
          </w:p>
        </w:tc>
        <w:tc>
          <w:tcPr>
            <w:tcW w:w="1350" w:type="dxa"/>
          </w:tcPr>
          <w:p w14:paraId="3CE8872E" w14:textId="77777777" w:rsidR="00E239E3" w:rsidRPr="00E239E3" w:rsidRDefault="00E239E3" w:rsidP="00E239E3">
            <w:pPr>
              <w:tabs>
                <w:tab w:val="decimal" w:pos="972"/>
                <w:tab w:val="right" w:pos="9180"/>
              </w:tabs>
              <w:ind w:right="-18"/>
              <w:rPr>
                <w:sz w:val="20"/>
                <w:szCs w:val="20"/>
              </w:rPr>
            </w:pPr>
            <w:r w:rsidRPr="00E239E3">
              <w:rPr>
                <w:sz w:val="20"/>
                <w:szCs w:val="20"/>
              </w:rPr>
              <w:tab/>
              <w:t>888,500</w:t>
            </w:r>
          </w:p>
        </w:tc>
        <w:tc>
          <w:tcPr>
            <w:tcW w:w="270" w:type="dxa"/>
          </w:tcPr>
          <w:p w14:paraId="3F96D52A" w14:textId="77777777" w:rsidR="00E239E3" w:rsidRPr="00E239E3" w:rsidRDefault="00E239E3" w:rsidP="00E239E3">
            <w:pPr>
              <w:tabs>
                <w:tab w:val="right" w:pos="9180"/>
              </w:tabs>
              <w:ind w:right="-360"/>
              <w:rPr>
                <w:sz w:val="20"/>
                <w:szCs w:val="20"/>
              </w:rPr>
            </w:pPr>
          </w:p>
        </w:tc>
        <w:tc>
          <w:tcPr>
            <w:tcW w:w="270" w:type="dxa"/>
          </w:tcPr>
          <w:p w14:paraId="187C83DA" w14:textId="77777777" w:rsidR="00E239E3" w:rsidRPr="00E239E3" w:rsidRDefault="00E239E3" w:rsidP="00E239E3">
            <w:pPr>
              <w:tabs>
                <w:tab w:val="decimal" w:pos="1392"/>
                <w:tab w:val="left" w:pos="2340"/>
                <w:tab w:val="right" w:pos="9180"/>
              </w:tabs>
              <w:rPr>
                <w:sz w:val="20"/>
                <w:szCs w:val="20"/>
              </w:rPr>
            </w:pPr>
          </w:p>
        </w:tc>
      </w:tr>
      <w:tr w:rsidR="00E239E3" w:rsidRPr="00E239E3" w14:paraId="6C266E2F" w14:textId="77777777" w:rsidTr="004F5282">
        <w:tc>
          <w:tcPr>
            <w:tcW w:w="288" w:type="dxa"/>
          </w:tcPr>
          <w:p w14:paraId="1C00E2C9" w14:textId="77777777" w:rsidR="00E239E3" w:rsidRPr="00E239E3" w:rsidRDefault="00E239E3" w:rsidP="00E239E3">
            <w:pPr>
              <w:ind w:right="-360"/>
              <w:rPr>
                <w:sz w:val="20"/>
                <w:szCs w:val="20"/>
              </w:rPr>
            </w:pPr>
          </w:p>
        </w:tc>
        <w:tc>
          <w:tcPr>
            <w:tcW w:w="5310" w:type="dxa"/>
            <w:gridSpan w:val="6"/>
          </w:tcPr>
          <w:p w14:paraId="6908FC14" w14:textId="77777777" w:rsidR="00E239E3" w:rsidRPr="00E239E3" w:rsidRDefault="00E239E3" w:rsidP="00E239E3">
            <w:pPr>
              <w:tabs>
                <w:tab w:val="right" w:pos="9180"/>
              </w:tabs>
              <w:ind w:right="-360"/>
              <w:rPr>
                <w:sz w:val="20"/>
                <w:szCs w:val="20"/>
              </w:rPr>
            </w:pPr>
            <w:r w:rsidRPr="00E239E3">
              <w:rPr>
                <w:sz w:val="20"/>
                <w:szCs w:val="20"/>
              </w:rPr>
              <w:t>Repurchase of preferred stock</w:t>
            </w:r>
          </w:p>
        </w:tc>
        <w:tc>
          <w:tcPr>
            <w:tcW w:w="1350" w:type="dxa"/>
            <w:gridSpan w:val="2"/>
          </w:tcPr>
          <w:p w14:paraId="18BB7AE9" w14:textId="77777777" w:rsidR="00E239E3" w:rsidRPr="00E239E3" w:rsidRDefault="00E239E3" w:rsidP="00E239E3">
            <w:pPr>
              <w:tabs>
                <w:tab w:val="decimal" w:pos="957"/>
                <w:tab w:val="right" w:pos="9180"/>
              </w:tabs>
              <w:ind w:right="-46"/>
              <w:rPr>
                <w:sz w:val="20"/>
                <w:szCs w:val="20"/>
              </w:rPr>
            </w:pPr>
          </w:p>
        </w:tc>
        <w:tc>
          <w:tcPr>
            <w:tcW w:w="270" w:type="dxa"/>
            <w:gridSpan w:val="2"/>
          </w:tcPr>
          <w:p w14:paraId="6B6708D8" w14:textId="77777777" w:rsidR="00E239E3" w:rsidRPr="00E239E3" w:rsidRDefault="00E239E3" w:rsidP="00E239E3">
            <w:pPr>
              <w:tabs>
                <w:tab w:val="right" w:pos="9180"/>
              </w:tabs>
              <w:ind w:right="-360"/>
              <w:rPr>
                <w:sz w:val="20"/>
                <w:szCs w:val="20"/>
              </w:rPr>
            </w:pPr>
          </w:p>
        </w:tc>
        <w:tc>
          <w:tcPr>
            <w:tcW w:w="1350" w:type="dxa"/>
            <w:gridSpan w:val="2"/>
          </w:tcPr>
          <w:p w14:paraId="6ACB3C41" w14:textId="77777777" w:rsidR="00E239E3" w:rsidRPr="00E239E3" w:rsidRDefault="00E239E3" w:rsidP="00E239E3">
            <w:pPr>
              <w:tabs>
                <w:tab w:val="decimal" w:pos="972"/>
                <w:tab w:val="right" w:pos="9180"/>
              </w:tabs>
              <w:ind w:right="-18"/>
              <w:rPr>
                <w:sz w:val="20"/>
                <w:szCs w:val="20"/>
              </w:rPr>
            </w:pPr>
            <w:r w:rsidRPr="00E239E3">
              <w:rPr>
                <w:sz w:val="20"/>
                <w:szCs w:val="20"/>
              </w:rPr>
              <w:tab/>
              <w:t>(1,000)</w:t>
            </w:r>
          </w:p>
        </w:tc>
        <w:tc>
          <w:tcPr>
            <w:tcW w:w="270" w:type="dxa"/>
            <w:gridSpan w:val="2"/>
          </w:tcPr>
          <w:p w14:paraId="11D37823" w14:textId="77777777" w:rsidR="00E239E3" w:rsidRPr="00E239E3" w:rsidRDefault="00E239E3" w:rsidP="00E239E3">
            <w:pPr>
              <w:tabs>
                <w:tab w:val="right" w:pos="9180"/>
              </w:tabs>
              <w:ind w:right="-360"/>
              <w:rPr>
                <w:sz w:val="20"/>
                <w:szCs w:val="20"/>
              </w:rPr>
            </w:pPr>
          </w:p>
        </w:tc>
        <w:tc>
          <w:tcPr>
            <w:tcW w:w="1350" w:type="dxa"/>
          </w:tcPr>
          <w:p w14:paraId="78B48731" w14:textId="77777777" w:rsidR="00E239E3" w:rsidRPr="00E239E3" w:rsidRDefault="00E239E3" w:rsidP="00E239E3">
            <w:pPr>
              <w:tabs>
                <w:tab w:val="decimal" w:pos="972"/>
                <w:tab w:val="right" w:pos="9180"/>
              </w:tabs>
              <w:ind w:right="-18"/>
              <w:rPr>
                <w:sz w:val="20"/>
                <w:szCs w:val="20"/>
              </w:rPr>
            </w:pPr>
            <w:r w:rsidRPr="00E239E3">
              <w:rPr>
                <w:sz w:val="20"/>
                <w:szCs w:val="20"/>
              </w:rPr>
              <w:tab/>
              <w:t>-</w:t>
            </w:r>
          </w:p>
        </w:tc>
        <w:tc>
          <w:tcPr>
            <w:tcW w:w="270" w:type="dxa"/>
          </w:tcPr>
          <w:p w14:paraId="40B350A5" w14:textId="77777777" w:rsidR="00E239E3" w:rsidRPr="00E239E3" w:rsidRDefault="00E239E3" w:rsidP="00E239E3">
            <w:pPr>
              <w:tabs>
                <w:tab w:val="right" w:pos="9180"/>
              </w:tabs>
              <w:ind w:right="-360"/>
              <w:rPr>
                <w:sz w:val="20"/>
                <w:szCs w:val="20"/>
              </w:rPr>
            </w:pPr>
          </w:p>
        </w:tc>
        <w:tc>
          <w:tcPr>
            <w:tcW w:w="270" w:type="dxa"/>
          </w:tcPr>
          <w:p w14:paraId="3A29AEDF" w14:textId="77777777" w:rsidR="00E239E3" w:rsidRPr="00E239E3" w:rsidRDefault="00E239E3" w:rsidP="00E239E3">
            <w:pPr>
              <w:tabs>
                <w:tab w:val="decimal" w:pos="1392"/>
                <w:tab w:val="left" w:pos="2340"/>
                <w:tab w:val="right" w:pos="9180"/>
              </w:tabs>
              <w:rPr>
                <w:sz w:val="20"/>
                <w:szCs w:val="20"/>
              </w:rPr>
            </w:pPr>
          </w:p>
        </w:tc>
      </w:tr>
      <w:tr w:rsidR="00E239E3" w:rsidRPr="00E239E3" w14:paraId="31ABC075" w14:textId="77777777" w:rsidTr="004F5282">
        <w:tc>
          <w:tcPr>
            <w:tcW w:w="288" w:type="dxa"/>
          </w:tcPr>
          <w:p w14:paraId="195E04BA" w14:textId="77777777" w:rsidR="00E239E3" w:rsidRPr="00E239E3" w:rsidRDefault="00E239E3" w:rsidP="00E239E3">
            <w:pPr>
              <w:ind w:right="-360"/>
              <w:rPr>
                <w:sz w:val="20"/>
                <w:szCs w:val="20"/>
              </w:rPr>
            </w:pPr>
          </w:p>
        </w:tc>
        <w:tc>
          <w:tcPr>
            <w:tcW w:w="4140" w:type="dxa"/>
            <w:gridSpan w:val="5"/>
          </w:tcPr>
          <w:p w14:paraId="46E80C97" w14:textId="77777777" w:rsidR="00E239E3" w:rsidRPr="00E239E3" w:rsidRDefault="00E239E3" w:rsidP="00E239E3">
            <w:pPr>
              <w:tabs>
                <w:tab w:val="right" w:pos="9180"/>
              </w:tabs>
              <w:ind w:right="-18"/>
              <w:rPr>
                <w:sz w:val="20"/>
                <w:szCs w:val="20"/>
              </w:rPr>
            </w:pPr>
            <w:r w:rsidRPr="00E239E3">
              <w:rPr>
                <w:sz w:val="20"/>
                <w:szCs w:val="20"/>
              </w:rPr>
              <w:t>Principal repayment of note payable</w:t>
            </w:r>
          </w:p>
        </w:tc>
        <w:tc>
          <w:tcPr>
            <w:tcW w:w="1170" w:type="dxa"/>
          </w:tcPr>
          <w:p w14:paraId="4F37DF76" w14:textId="77777777" w:rsidR="00E239E3" w:rsidRPr="00E239E3" w:rsidRDefault="00E239E3" w:rsidP="00E239E3">
            <w:pPr>
              <w:tabs>
                <w:tab w:val="right" w:pos="9180"/>
              </w:tabs>
              <w:ind w:right="-360"/>
              <w:rPr>
                <w:sz w:val="20"/>
                <w:szCs w:val="20"/>
              </w:rPr>
            </w:pPr>
          </w:p>
        </w:tc>
        <w:tc>
          <w:tcPr>
            <w:tcW w:w="1350" w:type="dxa"/>
            <w:gridSpan w:val="2"/>
          </w:tcPr>
          <w:p w14:paraId="2D848D35" w14:textId="77777777" w:rsidR="00E239E3" w:rsidRPr="00E239E3" w:rsidRDefault="00E239E3" w:rsidP="00E239E3">
            <w:pPr>
              <w:tabs>
                <w:tab w:val="decimal" w:pos="957"/>
                <w:tab w:val="right" w:pos="9180"/>
              </w:tabs>
              <w:ind w:right="-46"/>
              <w:rPr>
                <w:sz w:val="20"/>
                <w:szCs w:val="20"/>
              </w:rPr>
            </w:pPr>
          </w:p>
        </w:tc>
        <w:tc>
          <w:tcPr>
            <w:tcW w:w="270" w:type="dxa"/>
            <w:gridSpan w:val="2"/>
          </w:tcPr>
          <w:p w14:paraId="5129EDD7" w14:textId="77777777" w:rsidR="00E239E3" w:rsidRPr="00E239E3" w:rsidRDefault="00E239E3" w:rsidP="00E239E3">
            <w:pPr>
              <w:tabs>
                <w:tab w:val="right" w:pos="9180"/>
              </w:tabs>
              <w:ind w:right="-360"/>
              <w:rPr>
                <w:sz w:val="20"/>
                <w:szCs w:val="20"/>
              </w:rPr>
            </w:pPr>
          </w:p>
        </w:tc>
        <w:tc>
          <w:tcPr>
            <w:tcW w:w="1350" w:type="dxa"/>
            <w:gridSpan w:val="2"/>
          </w:tcPr>
          <w:p w14:paraId="509624CD" w14:textId="77777777" w:rsidR="00E239E3" w:rsidRPr="00E239E3" w:rsidRDefault="00E239E3" w:rsidP="00E239E3">
            <w:pPr>
              <w:tabs>
                <w:tab w:val="decimal" w:pos="972"/>
                <w:tab w:val="right" w:pos="9180"/>
              </w:tabs>
              <w:ind w:right="-18"/>
              <w:rPr>
                <w:sz w:val="20"/>
                <w:szCs w:val="20"/>
              </w:rPr>
            </w:pPr>
            <w:r w:rsidRPr="00E239E3">
              <w:rPr>
                <w:sz w:val="20"/>
                <w:szCs w:val="20"/>
              </w:rPr>
              <w:tab/>
              <w:t>(27,864)</w:t>
            </w:r>
          </w:p>
        </w:tc>
        <w:tc>
          <w:tcPr>
            <w:tcW w:w="270" w:type="dxa"/>
            <w:gridSpan w:val="2"/>
          </w:tcPr>
          <w:p w14:paraId="2B0EA231" w14:textId="77777777" w:rsidR="00E239E3" w:rsidRPr="00E239E3" w:rsidRDefault="00E239E3" w:rsidP="00E239E3">
            <w:pPr>
              <w:tabs>
                <w:tab w:val="right" w:pos="9180"/>
              </w:tabs>
              <w:ind w:right="-360"/>
              <w:rPr>
                <w:sz w:val="20"/>
                <w:szCs w:val="20"/>
              </w:rPr>
            </w:pPr>
          </w:p>
        </w:tc>
        <w:tc>
          <w:tcPr>
            <w:tcW w:w="1350" w:type="dxa"/>
          </w:tcPr>
          <w:p w14:paraId="6B7103D8" w14:textId="77777777" w:rsidR="00E239E3" w:rsidRPr="00E239E3" w:rsidRDefault="00E239E3" w:rsidP="00E239E3">
            <w:pPr>
              <w:tabs>
                <w:tab w:val="decimal" w:pos="972"/>
                <w:tab w:val="right" w:pos="9180"/>
              </w:tabs>
              <w:ind w:right="-18"/>
              <w:rPr>
                <w:sz w:val="20"/>
                <w:szCs w:val="20"/>
              </w:rPr>
            </w:pPr>
            <w:r w:rsidRPr="00E239E3">
              <w:rPr>
                <w:sz w:val="20"/>
                <w:szCs w:val="20"/>
              </w:rPr>
              <w:tab/>
              <w:t>(11,880)</w:t>
            </w:r>
          </w:p>
        </w:tc>
        <w:tc>
          <w:tcPr>
            <w:tcW w:w="270" w:type="dxa"/>
          </w:tcPr>
          <w:p w14:paraId="69AD71B3" w14:textId="77777777" w:rsidR="00E239E3" w:rsidRPr="00E239E3" w:rsidRDefault="00E239E3" w:rsidP="00E239E3">
            <w:pPr>
              <w:tabs>
                <w:tab w:val="right" w:pos="9180"/>
              </w:tabs>
              <w:ind w:right="-360"/>
              <w:rPr>
                <w:sz w:val="20"/>
                <w:szCs w:val="20"/>
              </w:rPr>
            </w:pPr>
          </w:p>
        </w:tc>
        <w:tc>
          <w:tcPr>
            <w:tcW w:w="270" w:type="dxa"/>
          </w:tcPr>
          <w:p w14:paraId="3DEFC029" w14:textId="77777777" w:rsidR="00E239E3" w:rsidRPr="00E239E3" w:rsidRDefault="00E239E3" w:rsidP="00E239E3">
            <w:pPr>
              <w:tabs>
                <w:tab w:val="decimal" w:pos="1392"/>
                <w:tab w:val="left" w:pos="2340"/>
                <w:tab w:val="right" w:pos="9180"/>
              </w:tabs>
              <w:rPr>
                <w:sz w:val="20"/>
                <w:szCs w:val="20"/>
              </w:rPr>
            </w:pPr>
          </w:p>
        </w:tc>
      </w:tr>
      <w:tr w:rsidR="00E239E3" w:rsidRPr="00E239E3" w14:paraId="0F29A6D3" w14:textId="77777777" w:rsidTr="004F5282">
        <w:tc>
          <w:tcPr>
            <w:tcW w:w="288" w:type="dxa"/>
          </w:tcPr>
          <w:p w14:paraId="250320FF" w14:textId="77777777" w:rsidR="00E239E3" w:rsidRPr="00E239E3" w:rsidRDefault="00E239E3" w:rsidP="00E239E3">
            <w:pPr>
              <w:ind w:right="-360"/>
              <w:rPr>
                <w:sz w:val="20"/>
                <w:szCs w:val="20"/>
              </w:rPr>
            </w:pPr>
          </w:p>
        </w:tc>
        <w:tc>
          <w:tcPr>
            <w:tcW w:w="4140" w:type="dxa"/>
            <w:gridSpan w:val="5"/>
          </w:tcPr>
          <w:p w14:paraId="04159DF9" w14:textId="77777777" w:rsidR="00E239E3" w:rsidRPr="00E239E3" w:rsidRDefault="00E239E3" w:rsidP="00E239E3">
            <w:pPr>
              <w:tabs>
                <w:tab w:val="right" w:pos="9180"/>
              </w:tabs>
              <w:ind w:right="-18"/>
              <w:rPr>
                <w:sz w:val="20"/>
                <w:szCs w:val="20"/>
              </w:rPr>
            </w:pPr>
            <w:r w:rsidRPr="00E239E3">
              <w:rPr>
                <w:sz w:val="20"/>
                <w:szCs w:val="20"/>
              </w:rPr>
              <w:t>Net cash provided by financing activities</w:t>
            </w:r>
          </w:p>
        </w:tc>
        <w:tc>
          <w:tcPr>
            <w:tcW w:w="1170" w:type="dxa"/>
          </w:tcPr>
          <w:p w14:paraId="4C5A09EF" w14:textId="77777777" w:rsidR="00E239E3" w:rsidRPr="00E239E3" w:rsidRDefault="00E239E3" w:rsidP="00E239E3">
            <w:pPr>
              <w:tabs>
                <w:tab w:val="right" w:pos="9180"/>
              </w:tabs>
              <w:ind w:right="-360"/>
              <w:rPr>
                <w:sz w:val="20"/>
                <w:szCs w:val="20"/>
              </w:rPr>
            </w:pPr>
          </w:p>
        </w:tc>
        <w:tc>
          <w:tcPr>
            <w:tcW w:w="1350" w:type="dxa"/>
            <w:gridSpan w:val="2"/>
          </w:tcPr>
          <w:p w14:paraId="353C03AC" w14:textId="77777777" w:rsidR="00E239E3" w:rsidRPr="00E239E3" w:rsidRDefault="00E239E3" w:rsidP="00E239E3">
            <w:pPr>
              <w:tabs>
                <w:tab w:val="decimal" w:pos="957"/>
                <w:tab w:val="right" w:pos="9180"/>
              </w:tabs>
              <w:ind w:right="-46"/>
              <w:rPr>
                <w:sz w:val="20"/>
                <w:szCs w:val="20"/>
              </w:rPr>
            </w:pPr>
          </w:p>
        </w:tc>
        <w:tc>
          <w:tcPr>
            <w:tcW w:w="270" w:type="dxa"/>
            <w:gridSpan w:val="2"/>
          </w:tcPr>
          <w:p w14:paraId="5A659BE6" w14:textId="77777777" w:rsidR="00E239E3" w:rsidRPr="00E239E3" w:rsidRDefault="00E239E3" w:rsidP="00E239E3">
            <w:pPr>
              <w:tabs>
                <w:tab w:val="right" w:pos="9180"/>
              </w:tabs>
              <w:ind w:right="-360"/>
              <w:rPr>
                <w:sz w:val="20"/>
                <w:szCs w:val="20"/>
              </w:rPr>
            </w:pPr>
          </w:p>
        </w:tc>
        <w:tc>
          <w:tcPr>
            <w:tcW w:w="1350" w:type="dxa"/>
            <w:gridSpan w:val="2"/>
            <w:tcBorders>
              <w:top w:val="single" w:sz="4" w:space="0" w:color="auto"/>
              <w:bottom w:val="single" w:sz="4" w:space="0" w:color="auto"/>
            </w:tcBorders>
          </w:tcPr>
          <w:p w14:paraId="071AAC29" w14:textId="77777777" w:rsidR="00E239E3" w:rsidRPr="00E239E3" w:rsidRDefault="00E239E3" w:rsidP="00E239E3">
            <w:pPr>
              <w:tabs>
                <w:tab w:val="decimal" w:pos="972"/>
                <w:tab w:val="right" w:pos="9180"/>
              </w:tabs>
              <w:ind w:right="-18"/>
              <w:rPr>
                <w:sz w:val="20"/>
                <w:szCs w:val="20"/>
              </w:rPr>
            </w:pPr>
            <w:r w:rsidRPr="00E239E3">
              <w:rPr>
                <w:sz w:val="20"/>
                <w:szCs w:val="20"/>
              </w:rPr>
              <w:tab/>
              <w:t>12,784,212</w:t>
            </w:r>
          </w:p>
        </w:tc>
        <w:tc>
          <w:tcPr>
            <w:tcW w:w="270" w:type="dxa"/>
            <w:gridSpan w:val="2"/>
          </w:tcPr>
          <w:p w14:paraId="254B6010" w14:textId="77777777" w:rsidR="00E239E3" w:rsidRPr="00E239E3" w:rsidRDefault="00E239E3" w:rsidP="00E239E3">
            <w:pPr>
              <w:tabs>
                <w:tab w:val="right" w:pos="9180"/>
              </w:tabs>
              <w:ind w:right="-360"/>
              <w:rPr>
                <w:sz w:val="20"/>
                <w:szCs w:val="20"/>
              </w:rPr>
            </w:pPr>
          </w:p>
        </w:tc>
        <w:tc>
          <w:tcPr>
            <w:tcW w:w="1350" w:type="dxa"/>
            <w:tcBorders>
              <w:top w:val="single" w:sz="4" w:space="0" w:color="auto"/>
              <w:bottom w:val="single" w:sz="4" w:space="0" w:color="auto"/>
            </w:tcBorders>
          </w:tcPr>
          <w:p w14:paraId="57B0FE02" w14:textId="77777777" w:rsidR="00E239E3" w:rsidRPr="00E239E3" w:rsidRDefault="00E239E3" w:rsidP="00E239E3">
            <w:pPr>
              <w:tabs>
                <w:tab w:val="decimal" w:pos="972"/>
                <w:tab w:val="right" w:pos="9180"/>
              </w:tabs>
              <w:ind w:right="-18"/>
              <w:rPr>
                <w:sz w:val="20"/>
                <w:szCs w:val="20"/>
              </w:rPr>
            </w:pPr>
            <w:r w:rsidRPr="00E239E3">
              <w:rPr>
                <w:sz w:val="20"/>
                <w:szCs w:val="20"/>
              </w:rPr>
              <w:tab/>
              <w:t>12,507,816</w:t>
            </w:r>
          </w:p>
        </w:tc>
        <w:tc>
          <w:tcPr>
            <w:tcW w:w="270" w:type="dxa"/>
          </w:tcPr>
          <w:p w14:paraId="3C0D7568" w14:textId="77777777" w:rsidR="00E239E3" w:rsidRPr="00E239E3" w:rsidRDefault="00E239E3" w:rsidP="00E239E3">
            <w:pPr>
              <w:tabs>
                <w:tab w:val="right" w:pos="9180"/>
              </w:tabs>
              <w:ind w:right="-360"/>
              <w:rPr>
                <w:sz w:val="20"/>
                <w:szCs w:val="20"/>
              </w:rPr>
            </w:pPr>
          </w:p>
        </w:tc>
        <w:tc>
          <w:tcPr>
            <w:tcW w:w="270" w:type="dxa"/>
          </w:tcPr>
          <w:p w14:paraId="6B5DF916" w14:textId="77777777" w:rsidR="00E239E3" w:rsidRPr="00E239E3" w:rsidRDefault="00E239E3" w:rsidP="00E239E3">
            <w:pPr>
              <w:tabs>
                <w:tab w:val="decimal" w:pos="1392"/>
                <w:tab w:val="left" w:pos="2340"/>
                <w:tab w:val="right" w:pos="9180"/>
              </w:tabs>
              <w:rPr>
                <w:sz w:val="20"/>
                <w:szCs w:val="20"/>
              </w:rPr>
            </w:pPr>
          </w:p>
        </w:tc>
      </w:tr>
      <w:tr w:rsidR="00E239E3" w:rsidRPr="00E239E3" w14:paraId="5F6E29C0" w14:textId="77777777" w:rsidTr="004F5282">
        <w:tc>
          <w:tcPr>
            <w:tcW w:w="288" w:type="dxa"/>
          </w:tcPr>
          <w:p w14:paraId="4BF19A6F" w14:textId="77777777" w:rsidR="00E239E3" w:rsidRPr="00E239E3" w:rsidRDefault="00E239E3" w:rsidP="00E239E3">
            <w:pPr>
              <w:ind w:right="-360"/>
              <w:rPr>
                <w:sz w:val="20"/>
                <w:szCs w:val="20"/>
              </w:rPr>
            </w:pPr>
          </w:p>
        </w:tc>
        <w:tc>
          <w:tcPr>
            <w:tcW w:w="270" w:type="dxa"/>
          </w:tcPr>
          <w:p w14:paraId="0EBE6D7E" w14:textId="77777777" w:rsidR="00E239E3" w:rsidRPr="00E239E3" w:rsidRDefault="00E239E3" w:rsidP="00E239E3">
            <w:pPr>
              <w:ind w:right="-360"/>
              <w:rPr>
                <w:sz w:val="20"/>
                <w:szCs w:val="20"/>
              </w:rPr>
            </w:pPr>
          </w:p>
        </w:tc>
        <w:tc>
          <w:tcPr>
            <w:tcW w:w="360" w:type="dxa"/>
          </w:tcPr>
          <w:p w14:paraId="3A7B3418" w14:textId="77777777" w:rsidR="00E239E3" w:rsidRPr="00E239E3" w:rsidRDefault="00E239E3" w:rsidP="00E239E3">
            <w:pPr>
              <w:ind w:right="-360"/>
              <w:rPr>
                <w:sz w:val="20"/>
                <w:szCs w:val="20"/>
              </w:rPr>
            </w:pPr>
          </w:p>
        </w:tc>
        <w:tc>
          <w:tcPr>
            <w:tcW w:w="1260" w:type="dxa"/>
            <w:gridSpan w:val="2"/>
          </w:tcPr>
          <w:p w14:paraId="238A54D6" w14:textId="77777777" w:rsidR="00E239E3" w:rsidRPr="00E239E3" w:rsidRDefault="00E239E3" w:rsidP="00E239E3">
            <w:pPr>
              <w:tabs>
                <w:tab w:val="right" w:pos="9180"/>
              </w:tabs>
              <w:ind w:right="-360"/>
              <w:rPr>
                <w:sz w:val="20"/>
                <w:szCs w:val="20"/>
              </w:rPr>
            </w:pPr>
          </w:p>
        </w:tc>
        <w:tc>
          <w:tcPr>
            <w:tcW w:w="2250" w:type="dxa"/>
          </w:tcPr>
          <w:p w14:paraId="0CE56099" w14:textId="77777777" w:rsidR="00E239E3" w:rsidRPr="00E239E3" w:rsidRDefault="00E239E3" w:rsidP="00E239E3">
            <w:pPr>
              <w:tabs>
                <w:tab w:val="right" w:pos="9180"/>
              </w:tabs>
              <w:ind w:right="-18"/>
              <w:rPr>
                <w:sz w:val="20"/>
                <w:szCs w:val="20"/>
              </w:rPr>
            </w:pPr>
          </w:p>
        </w:tc>
        <w:tc>
          <w:tcPr>
            <w:tcW w:w="1170" w:type="dxa"/>
          </w:tcPr>
          <w:p w14:paraId="56B792AA" w14:textId="77777777" w:rsidR="00E239E3" w:rsidRPr="00E239E3" w:rsidRDefault="00E239E3" w:rsidP="00E239E3">
            <w:pPr>
              <w:tabs>
                <w:tab w:val="right" w:pos="9180"/>
              </w:tabs>
              <w:ind w:right="-360"/>
              <w:rPr>
                <w:sz w:val="20"/>
                <w:szCs w:val="20"/>
              </w:rPr>
            </w:pPr>
          </w:p>
        </w:tc>
        <w:tc>
          <w:tcPr>
            <w:tcW w:w="1350" w:type="dxa"/>
            <w:gridSpan w:val="2"/>
          </w:tcPr>
          <w:p w14:paraId="5B826FBA" w14:textId="77777777" w:rsidR="00E239E3" w:rsidRPr="00E239E3" w:rsidRDefault="00E239E3" w:rsidP="00E239E3">
            <w:pPr>
              <w:tabs>
                <w:tab w:val="right" w:pos="9180"/>
              </w:tabs>
              <w:ind w:right="-46"/>
              <w:rPr>
                <w:sz w:val="20"/>
                <w:szCs w:val="20"/>
              </w:rPr>
            </w:pPr>
          </w:p>
        </w:tc>
        <w:tc>
          <w:tcPr>
            <w:tcW w:w="270" w:type="dxa"/>
            <w:gridSpan w:val="2"/>
          </w:tcPr>
          <w:p w14:paraId="360528F5" w14:textId="77777777" w:rsidR="00E239E3" w:rsidRPr="00E239E3" w:rsidRDefault="00E239E3" w:rsidP="00E239E3">
            <w:pPr>
              <w:tabs>
                <w:tab w:val="right" w:pos="9180"/>
              </w:tabs>
              <w:ind w:right="-360"/>
              <w:rPr>
                <w:sz w:val="20"/>
                <w:szCs w:val="20"/>
              </w:rPr>
            </w:pPr>
          </w:p>
        </w:tc>
        <w:tc>
          <w:tcPr>
            <w:tcW w:w="1350" w:type="dxa"/>
            <w:gridSpan w:val="2"/>
            <w:tcBorders>
              <w:top w:val="single" w:sz="4" w:space="0" w:color="auto"/>
            </w:tcBorders>
          </w:tcPr>
          <w:p w14:paraId="7F01188A" w14:textId="77777777" w:rsidR="00E239E3" w:rsidRPr="00E239E3" w:rsidRDefault="00E239E3" w:rsidP="00E239E3">
            <w:pPr>
              <w:tabs>
                <w:tab w:val="right" w:pos="9180"/>
              </w:tabs>
              <w:ind w:right="-18"/>
              <w:rPr>
                <w:sz w:val="20"/>
                <w:szCs w:val="20"/>
              </w:rPr>
            </w:pPr>
          </w:p>
        </w:tc>
        <w:tc>
          <w:tcPr>
            <w:tcW w:w="270" w:type="dxa"/>
            <w:gridSpan w:val="2"/>
          </w:tcPr>
          <w:p w14:paraId="681768A8" w14:textId="77777777" w:rsidR="00E239E3" w:rsidRPr="00E239E3" w:rsidRDefault="00E239E3" w:rsidP="00E239E3">
            <w:pPr>
              <w:tabs>
                <w:tab w:val="right" w:pos="9180"/>
              </w:tabs>
              <w:ind w:right="-360"/>
              <w:rPr>
                <w:sz w:val="20"/>
                <w:szCs w:val="20"/>
              </w:rPr>
            </w:pPr>
          </w:p>
        </w:tc>
        <w:tc>
          <w:tcPr>
            <w:tcW w:w="1350" w:type="dxa"/>
            <w:tcBorders>
              <w:top w:val="single" w:sz="4" w:space="0" w:color="auto"/>
            </w:tcBorders>
          </w:tcPr>
          <w:p w14:paraId="6516DF0E" w14:textId="77777777" w:rsidR="00E239E3" w:rsidRPr="00E239E3" w:rsidRDefault="00E239E3" w:rsidP="00E239E3">
            <w:pPr>
              <w:tabs>
                <w:tab w:val="right" w:pos="9180"/>
              </w:tabs>
              <w:ind w:right="-18"/>
              <w:rPr>
                <w:sz w:val="20"/>
                <w:szCs w:val="20"/>
              </w:rPr>
            </w:pPr>
          </w:p>
        </w:tc>
        <w:tc>
          <w:tcPr>
            <w:tcW w:w="270" w:type="dxa"/>
          </w:tcPr>
          <w:p w14:paraId="3977F6C0" w14:textId="77777777" w:rsidR="00E239E3" w:rsidRPr="00E239E3" w:rsidRDefault="00E239E3" w:rsidP="00E239E3">
            <w:pPr>
              <w:tabs>
                <w:tab w:val="right" w:pos="9180"/>
              </w:tabs>
              <w:ind w:right="-360"/>
              <w:rPr>
                <w:sz w:val="20"/>
                <w:szCs w:val="20"/>
              </w:rPr>
            </w:pPr>
          </w:p>
        </w:tc>
        <w:tc>
          <w:tcPr>
            <w:tcW w:w="270" w:type="dxa"/>
          </w:tcPr>
          <w:p w14:paraId="4A41F559" w14:textId="77777777" w:rsidR="00E239E3" w:rsidRPr="00E239E3" w:rsidRDefault="00E239E3" w:rsidP="00E239E3">
            <w:pPr>
              <w:tabs>
                <w:tab w:val="left" w:pos="2340"/>
                <w:tab w:val="right" w:pos="9180"/>
              </w:tabs>
              <w:rPr>
                <w:sz w:val="20"/>
                <w:szCs w:val="20"/>
              </w:rPr>
            </w:pPr>
          </w:p>
        </w:tc>
      </w:tr>
      <w:tr w:rsidR="00E239E3" w:rsidRPr="00E239E3" w14:paraId="16C6CE5A" w14:textId="77777777" w:rsidTr="004F5282">
        <w:tc>
          <w:tcPr>
            <w:tcW w:w="4428" w:type="dxa"/>
            <w:gridSpan w:val="6"/>
          </w:tcPr>
          <w:p w14:paraId="2044A376" w14:textId="77777777" w:rsidR="00E239E3" w:rsidRPr="00E239E3" w:rsidRDefault="00E239E3" w:rsidP="00E239E3">
            <w:pPr>
              <w:tabs>
                <w:tab w:val="right" w:pos="9180"/>
              </w:tabs>
              <w:ind w:right="-18"/>
              <w:rPr>
                <w:sz w:val="20"/>
                <w:szCs w:val="20"/>
              </w:rPr>
            </w:pPr>
            <w:r w:rsidRPr="00E239E3">
              <w:rPr>
                <w:sz w:val="20"/>
                <w:szCs w:val="20"/>
              </w:rPr>
              <w:t>Net increase in cash and cash equivalents</w:t>
            </w:r>
          </w:p>
        </w:tc>
        <w:tc>
          <w:tcPr>
            <w:tcW w:w="1170" w:type="dxa"/>
          </w:tcPr>
          <w:p w14:paraId="043FB140" w14:textId="77777777" w:rsidR="00E239E3" w:rsidRPr="00E239E3" w:rsidRDefault="00E239E3" w:rsidP="00E239E3">
            <w:pPr>
              <w:tabs>
                <w:tab w:val="right" w:pos="9180"/>
              </w:tabs>
              <w:ind w:right="-360"/>
              <w:rPr>
                <w:sz w:val="20"/>
                <w:szCs w:val="20"/>
              </w:rPr>
            </w:pPr>
          </w:p>
        </w:tc>
        <w:tc>
          <w:tcPr>
            <w:tcW w:w="1350" w:type="dxa"/>
            <w:gridSpan w:val="2"/>
          </w:tcPr>
          <w:p w14:paraId="1A7F8D63" w14:textId="77777777" w:rsidR="00E239E3" w:rsidRPr="00E239E3" w:rsidRDefault="00E239E3" w:rsidP="00E239E3">
            <w:pPr>
              <w:tabs>
                <w:tab w:val="decimal" w:pos="957"/>
                <w:tab w:val="right" w:pos="9180"/>
              </w:tabs>
              <w:ind w:right="-46"/>
              <w:rPr>
                <w:sz w:val="20"/>
                <w:szCs w:val="20"/>
              </w:rPr>
            </w:pPr>
          </w:p>
        </w:tc>
        <w:tc>
          <w:tcPr>
            <w:tcW w:w="270" w:type="dxa"/>
            <w:gridSpan w:val="2"/>
          </w:tcPr>
          <w:p w14:paraId="2A5FDE17" w14:textId="77777777" w:rsidR="00E239E3" w:rsidRPr="00E239E3" w:rsidRDefault="00E239E3" w:rsidP="00E239E3">
            <w:pPr>
              <w:tabs>
                <w:tab w:val="right" w:pos="9180"/>
              </w:tabs>
              <w:ind w:right="-360"/>
              <w:rPr>
                <w:sz w:val="20"/>
                <w:szCs w:val="20"/>
              </w:rPr>
            </w:pPr>
          </w:p>
        </w:tc>
        <w:tc>
          <w:tcPr>
            <w:tcW w:w="1350" w:type="dxa"/>
            <w:gridSpan w:val="2"/>
          </w:tcPr>
          <w:p w14:paraId="3AD7EB01" w14:textId="77777777" w:rsidR="00E239E3" w:rsidRPr="00E239E3" w:rsidRDefault="00E239E3" w:rsidP="00E239E3">
            <w:pPr>
              <w:tabs>
                <w:tab w:val="decimal" w:pos="972"/>
                <w:tab w:val="right" w:pos="9180"/>
              </w:tabs>
              <w:ind w:right="-18"/>
              <w:rPr>
                <w:sz w:val="20"/>
                <w:szCs w:val="20"/>
              </w:rPr>
            </w:pPr>
            <w:r w:rsidRPr="00E239E3">
              <w:rPr>
                <w:sz w:val="20"/>
                <w:szCs w:val="20"/>
              </w:rPr>
              <w:tab/>
              <w:t>1,540,074</w:t>
            </w:r>
          </w:p>
        </w:tc>
        <w:tc>
          <w:tcPr>
            <w:tcW w:w="270" w:type="dxa"/>
            <w:gridSpan w:val="2"/>
          </w:tcPr>
          <w:p w14:paraId="085F4641" w14:textId="77777777" w:rsidR="00E239E3" w:rsidRPr="00E239E3" w:rsidRDefault="00E239E3" w:rsidP="00E239E3">
            <w:pPr>
              <w:tabs>
                <w:tab w:val="right" w:pos="9180"/>
              </w:tabs>
              <w:ind w:right="-360"/>
              <w:rPr>
                <w:sz w:val="20"/>
                <w:szCs w:val="20"/>
              </w:rPr>
            </w:pPr>
          </w:p>
        </w:tc>
        <w:tc>
          <w:tcPr>
            <w:tcW w:w="1350" w:type="dxa"/>
          </w:tcPr>
          <w:p w14:paraId="4A16EAA1" w14:textId="77777777" w:rsidR="00E239E3" w:rsidRPr="00E239E3" w:rsidRDefault="00E239E3" w:rsidP="00E239E3">
            <w:pPr>
              <w:tabs>
                <w:tab w:val="decimal" w:pos="972"/>
                <w:tab w:val="right" w:pos="9180"/>
              </w:tabs>
              <w:ind w:right="-18"/>
              <w:rPr>
                <w:sz w:val="20"/>
                <w:szCs w:val="20"/>
              </w:rPr>
            </w:pPr>
            <w:r w:rsidRPr="00E239E3">
              <w:rPr>
                <w:sz w:val="20"/>
                <w:szCs w:val="20"/>
              </w:rPr>
              <w:tab/>
              <w:t>9,600,455</w:t>
            </w:r>
          </w:p>
        </w:tc>
        <w:tc>
          <w:tcPr>
            <w:tcW w:w="270" w:type="dxa"/>
          </w:tcPr>
          <w:p w14:paraId="6C33F31C" w14:textId="77777777" w:rsidR="00E239E3" w:rsidRPr="00E239E3" w:rsidRDefault="00E239E3" w:rsidP="00E239E3">
            <w:pPr>
              <w:tabs>
                <w:tab w:val="right" w:pos="9180"/>
              </w:tabs>
              <w:ind w:right="-360"/>
              <w:rPr>
                <w:sz w:val="20"/>
                <w:szCs w:val="20"/>
              </w:rPr>
            </w:pPr>
          </w:p>
        </w:tc>
        <w:tc>
          <w:tcPr>
            <w:tcW w:w="270" w:type="dxa"/>
          </w:tcPr>
          <w:p w14:paraId="20026419" w14:textId="77777777" w:rsidR="00E239E3" w:rsidRPr="00E239E3" w:rsidRDefault="00E239E3" w:rsidP="00E239E3">
            <w:pPr>
              <w:tabs>
                <w:tab w:val="decimal" w:pos="1392"/>
                <w:tab w:val="left" w:pos="2340"/>
                <w:tab w:val="right" w:pos="9180"/>
              </w:tabs>
              <w:rPr>
                <w:sz w:val="20"/>
                <w:szCs w:val="20"/>
              </w:rPr>
            </w:pPr>
          </w:p>
        </w:tc>
      </w:tr>
      <w:tr w:rsidR="00E239E3" w:rsidRPr="00E239E3" w14:paraId="70DB196C" w14:textId="77777777" w:rsidTr="004F5282">
        <w:tc>
          <w:tcPr>
            <w:tcW w:w="4428" w:type="dxa"/>
            <w:gridSpan w:val="6"/>
          </w:tcPr>
          <w:p w14:paraId="63E7202B" w14:textId="77777777" w:rsidR="00E239E3" w:rsidRPr="00E239E3" w:rsidRDefault="00E239E3" w:rsidP="00E239E3">
            <w:pPr>
              <w:tabs>
                <w:tab w:val="right" w:pos="9180"/>
              </w:tabs>
              <w:ind w:right="-18"/>
              <w:rPr>
                <w:sz w:val="20"/>
                <w:szCs w:val="20"/>
              </w:rPr>
            </w:pPr>
            <w:r w:rsidRPr="00E239E3">
              <w:rPr>
                <w:sz w:val="20"/>
                <w:szCs w:val="20"/>
              </w:rPr>
              <w:t>Cash and cash equivalents at beginning of period</w:t>
            </w:r>
          </w:p>
        </w:tc>
        <w:tc>
          <w:tcPr>
            <w:tcW w:w="1170" w:type="dxa"/>
          </w:tcPr>
          <w:p w14:paraId="34CA0AC8" w14:textId="77777777" w:rsidR="00E239E3" w:rsidRPr="00E239E3" w:rsidRDefault="00E239E3" w:rsidP="00E239E3">
            <w:pPr>
              <w:tabs>
                <w:tab w:val="right" w:pos="9180"/>
              </w:tabs>
              <w:ind w:right="-360"/>
              <w:rPr>
                <w:sz w:val="20"/>
                <w:szCs w:val="20"/>
              </w:rPr>
            </w:pPr>
          </w:p>
        </w:tc>
        <w:tc>
          <w:tcPr>
            <w:tcW w:w="1350" w:type="dxa"/>
            <w:gridSpan w:val="2"/>
          </w:tcPr>
          <w:p w14:paraId="460C697B" w14:textId="77777777" w:rsidR="00E239E3" w:rsidRPr="00E239E3" w:rsidRDefault="00E239E3" w:rsidP="00E239E3">
            <w:pPr>
              <w:tabs>
                <w:tab w:val="decimal" w:pos="957"/>
                <w:tab w:val="right" w:pos="9180"/>
              </w:tabs>
              <w:ind w:right="-46"/>
              <w:rPr>
                <w:sz w:val="20"/>
                <w:szCs w:val="20"/>
              </w:rPr>
            </w:pPr>
          </w:p>
        </w:tc>
        <w:tc>
          <w:tcPr>
            <w:tcW w:w="270" w:type="dxa"/>
            <w:gridSpan w:val="2"/>
          </w:tcPr>
          <w:p w14:paraId="653770D1" w14:textId="77777777" w:rsidR="00E239E3" w:rsidRPr="00E239E3" w:rsidRDefault="00E239E3" w:rsidP="00E239E3">
            <w:pPr>
              <w:tabs>
                <w:tab w:val="right" w:pos="9180"/>
              </w:tabs>
              <w:ind w:right="-360"/>
              <w:rPr>
                <w:sz w:val="20"/>
                <w:szCs w:val="20"/>
              </w:rPr>
            </w:pPr>
          </w:p>
        </w:tc>
        <w:tc>
          <w:tcPr>
            <w:tcW w:w="1350" w:type="dxa"/>
            <w:gridSpan w:val="2"/>
            <w:tcBorders>
              <w:bottom w:val="single" w:sz="4" w:space="0" w:color="auto"/>
            </w:tcBorders>
          </w:tcPr>
          <w:p w14:paraId="1AEFF9AA" w14:textId="77777777" w:rsidR="00E239E3" w:rsidRPr="00E239E3" w:rsidRDefault="00E239E3" w:rsidP="00E239E3">
            <w:pPr>
              <w:tabs>
                <w:tab w:val="decimal" w:pos="972"/>
                <w:tab w:val="right" w:pos="9180"/>
              </w:tabs>
              <w:ind w:right="-18"/>
              <w:rPr>
                <w:sz w:val="20"/>
                <w:szCs w:val="20"/>
              </w:rPr>
            </w:pPr>
            <w:r w:rsidRPr="00E239E3">
              <w:rPr>
                <w:sz w:val="20"/>
                <w:szCs w:val="20"/>
              </w:rPr>
              <w:tab/>
              <w:t>9,883,796</w:t>
            </w:r>
          </w:p>
        </w:tc>
        <w:tc>
          <w:tcPr>
            <w:tcW w:w="270" w:type="dxa"/>
            <w:gridSpan w:val="2"/>
          </w:tcPr>
          <w:p w14:paraId="0349AC47" w14:textId="77777777" w:rsidR="00E239E3" w:rsidRPr="00E239E3" w:rsidRDefault="00E239E3" w:rsidP="00E239E3">
            <w:pPr>
              <w:tabs>
                <w:tab w:val="right" w:pos="9180"/>
              </w:tabs>
              <w:ind w:right="-360"/>
              <w:rPr>
                <w:sz w:val="20"/>
                <w:szCs w:val="20"/>
              </w:rPr>
            </w:pPr>
          </w:p>
        </w:tc>
        <w:tc>
          <w:tcPr>
            <w:tcW w:w="1350" w:type="dxa"/>
            <w:tcBorders>
              <w:bottom w:val="single" w:sz="4" w:space="0" w:color="auto"/>
            </w:tcBorders>
          </w:tcPr>
          <w:p w14:paraId="3C62D824" w14:textId="77777777" w:rsidR="00E239E3" w:rsidRPr="00E239E3" w:rsidRDefault="00E239E3" w:rsidP="00E239E3">
            <w:pPr>
              <w:tabs>
                <w:tab w:val="decimal" w:pos="972"/>
                <w:tab w:val="right" w:pos="9180"/>
              </w:tabs>
              <w:ind w:right="-18"/>
              <w:rPr>
                <w:sz w:val="20"/>
                <w:szCs w:val="20"/>
              </w:rPr>
            </w:pPr>
            <w:r w:rsidRPr="00E239E3">
              <w:rPr>
                <w:sz w:val="20"/>
                <w:szCs w:val="20"/>
              </w:rPr>
              <w:tab/>
              <w:t>283,341</w:t>
            </w:r>
          </w:p>
        </w:tc>
        <w:tc>
          <w:tcPr>
            <w:tcW w:w="270" w:type="dxa"/>
          </w:tcPr>
          <w:p w14:paraId="370AA756" w14:textId="77777777" w:rsidR="00E239E3" w:rsidRPr="00E239E3" w:rsidRDefault="00E239E3" w:rsidP="00E239E3">
            <w:pPr>
              <w:tabs>
                <w:tab w:val="right" w:pos="9180"/>
              </w:tabs>
              <w:ind w:right="-360"/>
              <w:rPr>
                <w:sz w:val="20"/>
                <w:szCs w:val="20"/>
              </w:rPr>
            </w:pPr>
          </w:p>
        </w:tc>
        <w:tc>
          <w:tcPr>
            <w:tcW w:w="270" w:type="dxa"/>
          </w:tcPr>
          <w:p w14:paraId="2EC258F2" w14:textId="77777777" w:rsidR="00E239E3" w:rsidRPr="00E239E3" w:rsidRDefault="00E239E3" w:rsidP="00E239E3">
            <w:pPr>
              <w:tabs>
                <w:tab w:val="decimal" w:pos="1392"/>
                <w:tab w:val="left" w:pos="2340"/>
                <w:tab w:val="right" w:pos="9180"/>
              </w:tabs>
              <w:rPr>
                <w:sz w:val="20"/>
                <w:szCs w:val="20"/>
              </w:rPr>
            </w:pPr>
          </w:p>
        </w:tc>
      </w:tr>
      <w:tr w:rsidR="00E239E3" w:rsidRPr="00E239E3" w14:paraId="74BBB69B" w14:textId="77777777" w:rsidTr="004F5282">
        <w:tc>
          <w:tcPr>
            <w:tcW w:w="288" w:type="dxa"/>
          </w:tcPr>
          <w:p w14:paraId="206B3873" w14:textId="77777777" w:rsidR="00E239E3" w:rsidRPr="00E239E3" w:rsidRDefault="00E239E3" w:rsidP="00E239E3">
            <w:pPr>
              <w:ind w:right="-360"/>
              <w:rPr>
                <w:sz w:val="20"/>
                <w:szCs w:val="20"/>
              </w:rPr>
            </w:pPr>
          </w:p>
        </w:tc>
        <w:tc>
          <w:tcPr>
            <w:tcW w:w="270" w:type="dxa"/>
          </w:tcPr>
          <w:p w14:paraId="4C616320" w14:textId="77777777" w:rsidR="00E239E3" w:rsidRPr="00E239E3" w:rsidRDefault="00E239E3" w:rsidP="00E239E3">
            <w:pPr>
              <w:ind w:right="-360"/>
              <w:rPr>
                <w:sz w:val="20"/>
                <w:szCs w:val="20"/>
              </w:rPr>
            </w:pPr>
          </w:p>
        </w:tc>
        <w:tc>
          <w:tcPr>
            <w:tcW w:w="360" w:type="dxa"/>
          </w:tcPr>
          <w:p w14:paraId="4F24AA2D" w14:textId="77777777" w:rsidR="00E239E3" w:rsidRPr="00E239E3" w:rsidRDefault="00E239E3" w:rsidP="00E239E3">
            <w:pPr>
              <w:ind w:right="-360"/>
              <w:rPr>
                <w:sz w:val="20"/>
                <w:szCs w:val="20"/>
              </w:rPr>
            </w:pPr>
          </w:p>
        </w:tc>
        <w:tc>
          <w:tcPr>
            <w:tcW w:w="1260" w:type="dxa"/>
            <w:gridSpan w:val="2"/>
          </w:tcPr>
          <w:p w14:paraId="4CA15B3C" w14:textId="77777777" w:rsidR="00E239E3" w:rsidRPr="00E239E3" w:rsidRDefault="00E239E3" w:rsidP="00E239E3">
            <w:pPr>
              <w:tabs>
                <w:tab w:val="right" w:pos="9180"/>
              </w:tabs>
              <w:ind w:right="-360"/>
              <w:rPr>
                <w:sz w:val="20"/>
                <w:szCs w:val="20"/>
              </w:rPr>
            </w:pPr>
          </w:p>
        </w:tc>
        <w:tc>
          <w:tcPr>
            <w:tcW w:w="2250" w:type="dxa"/>
          </w:tcPr>
          <w:p w14:paraId="6535F34C" w14:textId="77777777" w:rsidR="00E239E3" w:rsidRPr="00E239E3" w:rsidRDefault="00E239E3" w:rsidP="00E239E3">
            <w:pPr>
              <w:tabs>
                <w:tab w:val="right" w:pos="9180"/>
              </w:tabs>
              <w:ind w:right="-18"/>
              <w:rPr>
                <w:sz w:val="20"/>
                <w:szCs w:val="20"/>
              </w:rPr>
            </w:pPr>
          </w:p>
        </w:tc>
        <w:tc>
          <w:tcPr>
            <w:tcW w:w="1170" w:type="dxa"/>
          </w:tcPr>
          <w:p w14:paraId="61C39707" w14:textId="77777777" w:rsidR="00E239E3" w:rsidRPr="00E239E3" w:rsidRDefault="00E239E3" w:rsidP="00E239E3">
            <w:pPr>
              <w:tabs>
                <w:tab w:val="right" w:pos="9180"/>
              </w:tabs>
              <w:ind w:right="-360"/>
              <w:rPr>
                <w:sz w:val="20"/>
                <w:szCs w:val="20"/>
              </w:rPr>
            </w:pPr>
          </w:p>
        </w:tc>
        <w:tc>
          <w:tcPr>
            <w:tcW w:w="1350" w:type="dxa"/>
            <w:gridSpan w:val="2"/>
          </w:tcPr>
          <w:p w14:paraId="2785E161" w14:textId="77777777" w:rsidR="00E239E3" w:rsidRPr="00E239E3" w:rsidRDefault="00E239E3" w:rsidP="00E239E3">
            <w:pPr>
              <w:tabs>
                <w:tab w:val="right" w:pos="9180"/>
              </w:tabs>
              <w:ind w:right="-46"/>
              <w:rPr>
                <w:sz w:val="20"/>
                <w:szCs w:val="20"/>
              </w:rPr>
            </w:pPr>
          </w:p>
        </w:tc>
        <w:tc>
          <w:tcPr>
            <w:tcW w:w="270" w:type="dxa"/>
            <w:gridSpan w:val="2"/>
          </w:tcPr>
          <w:p w14:paraId="5624070D" w14:textId="77777777" w:rsidR="00E239E3" w:rsidRPr="00E239E3" w:rsidRDefault="00E239E3" w:rsidP="00E239E3">
            <w:pPr>
              <w:tabs>
                <w:tab w:val="right" w:pos="9180"/>
              </w:tabs>
              <w:ind w:right="-360"/>
              <w:rPr>
                <w:sz w:val="20"/>
                <w:szCs w:val="20"/>
              </w:rPr>
            </w:pPr>
          </w:p>
        </w:tc>
        <w:tc>
          <w:tcPr>
            <w:tcW w:w="1350" w:type="dxa"/>
            <w:gridSpan w:val="2"/>
            <w:tcBorders>
              <w:top w:val="single" w:sz="4" w:space="0" w:color="auto"/>
            </w:tcBorders>
          </w:tcPr>
          <w:p w14:paraId="3F2F5C22" w14:textId="77777777" w:rsidR="00E239E3" w:rsidRPr="00E239E3" w:rsidRDefault="00E239E3" w:rsidP="00E239E3">
            <w:pPr>
              <w:tabs>
                <w:tab w:val="right" w:pos="9180"/>
              </w:tabs>
              <w:ind w:right="-18"/>
              <w:rPr>
                <w:sz w:val="20"/>
                <w:szCs w:val="20"/>
              </w:rPr>
            </w:pPr>
          </w:p>
        </w:tc>
        <w:tc>
          <w:tcPr>
            <w:tcW w:w="270" w:type="dxa"/>
            <w:gridSpan w:val="2"/>
          </w:tcPr>
          <w:p w14:paraId="16EE5919" w14:textId="77777777" w:rsidR="00E239E3" w:rsidRPr="00E239E3" w:rsidRDefault="00E239E3" w:rsidP="00E239E3">
            <w:pPr>
              <w:tabs>
                <w:tab w:val="right" w:pos="9180"/>
              </w:tabs>
              <w:ind w:right="-360"/>
              <w:rPr>
                <w:sz w:val="20"/>
                <w:szCs w:val="20"/>
              </w:rPr>
            </w:pPr>
          </w:p>
        </w:tc>
        <w:tc>
          <w:tcPr>
            <w:tcW w:w="1350" w:type="dxa"/>
            <w:tcBorders>
              <w:top w:val="single" w:sz="4" w:space="0" w:color="auto"/>
            </w:tcBorders>
          </w:tcPr>
          <w:p w14:paraId="50DCD844" w14:textId="77777777" w:rsidR="00E239E3" w:rsidRPr="00E239E3" w:rsidRDefault="00E239E3" w:rsidP="00E239E3">
            <w:pPr>
              <w:tabs>
                <w:tab w:val="right" w:pos="9180"/>
              </w:tabs>
              <w:ind w:right="-18"/>
              <w:rPr>
                <w:sz w:val="20"/>
                <w:szCs w:val="20"/>
              </w:rPr>
            </w:pPr>
          </w:p>
        </w:tc>
        <w:tc>
          <w:tcPr>
            <w:tcW w:w="270" w:type="dxa"/>
          </w:tcPr>
          <w:p w14:paraId="43618DC8" w14:textId="77777777" w:rsidR="00E239E3" w:rsidRPr="00E239E3" w:rsidRDefault="00E239E3" w:rsidP="00E239E3">
            <w:pPr>
              <w:tabs>
                <w:tab w:val="right" w:pos="9180"/>
              </w:tabs>
              <w:ind w:right="-360"/>
              <w:rPr>
                <w:sz w:val="20"/>
                <w:szCs w:val="20"/>
              </w:rPr>
            </w:pPr>
          </w:p>
        </w:tc>
        <w:tc>
          <w:tcPr>
            <w:tcW w:w="270" w:type="dxa"/>
          </w:tcPr>
          <w:p w14:paraId="10890CC6" w14:textId="77777777" w:rsidR="00E239E3" w:rsidRPr="00E239E3" w:rsidRDefault="00E239E3" w:rsidP="00E239E3">
            <w:pPr>
              <w:tabs>
                <w:tab w:val="left" w:pos="2340"/>
                <w:tab w:val="right" w:pos="9180"/>
              </w:tabs>
              <w:rPr>
                <w:sz w:val="20"/>
                <w:szCs w:val="20"/>
              </w:rPr>
            </w:pPr>
          </w:p>
        </w:tc>
      </w:tr>
      <w:tr w:rsidR="00E239E3" w:rsidRPr="00E239E3" w14:paraId="309B6821" w14:textId="77777777" w:rsidTr="004F5282">
        <w:tc>
          <w:tcPr>
            <w:tcW w:w="4428" w:type="dxa"/>
            <w:gridSpan w:val="6"/>
          </w:tcPr>
          <w:p w14:paraId="60595EBA" w14:textId="77777777" w:rsidR="00E239E3" w:rsidRPr="00E239E3" w:rsidRDefault="00E239E3" w:rsidP="00E239E3">
            <w:pPr>
              <w:tabs>
                <w:tab w:val="right" w:pos="9180"/>
              </w:tabs>
              <w:ind w:right="-18"/>
              <w:rPr>
                <w:sz w:val="20"/>
                <w:szCs w:val="20"/>
              </w:rPr>
            </w:pPr>
            <w:r w:rsidRPr="00E239E3">
              <w:rPr>
                <w:sz w:val="20"/>
                <w:szCs w:val="20"/>
              </w:rPr>
              <w:t>Cash and cash equivalents at end of period</w:t>
            </w:r>
          </w:p>
        </w:tc>
        <w:tc>
          <w:tcPr>
            <w:tcW w:w="1170" w:type="dxa"/>
          </w:tcPr>
          <w:p w14:paraId="5F9400AD" w14:textId="77777777" w:rsidR="00E239E3" w:rsidRPr="00E239E3" w:rsidRDefault="00E239E3" w:rsidP="00E239E3">
            <w:pPr>
              <w:tabs>
                <w:tab w:val="right" w:pos="9180"/>
              </w:tabs>
              <w:ind w:right="-360"/>
              <w:rPr>
                <w:sz w:val="20"/>
                <w:szCs w:val="20"/>
              </w:rPr>
            </w:pPr>
          </w:p>
        </w:tc>
        <w:tc>
          <w:tcPr>
            <w:tcW w:w="1350" w:type="dxa"/>
            <w:gridSpan w:val="2"/>
          </w:tcPr>
          <w:p w14:paraId="4BEAD765" w14:textId="77777777" w:rsidR="00E239E3" w:rsidRPr="00E239E3" w:rsidRDefault="00E239E3" w:rsidP="00E239E3">
            <w:pPr>
              <w:tabs>
                <w:tab w:val="decimal" w:pos="957"/>
                <w:tab w:val="right" w:pos="9180"/>
              </w:tabs>
              <w:ind w:right="-46"/>
              <w:rPr>
                <w:sz w:val="20"/>
                <w:szCs w:val="20"/>
              </w:rPr>
            </w:pPr>
          </w:p>
        </w:tc>
        <w:tc>
          <w:tcPr>
            <w:tcW w:w="270" w:type="dxa"/>
            <w:gridSpan w:val="2"/>
          </w:tcPr>
          <w:p w14:paraId="0B5622C6" w14:textId="77777777" w:rsidR="00E239E3" w:rsidRPr="00E239E3" w:rsidRDefault="00E239E3" w:rsidP="00E239E3">
            <w:pPr>
              <w:tabs>
                <w:tab w:val="right" w:pos="9180"/>
              </w:tabs>
              <w:ind w:right="-360"/>
              <w:rPr>
                <w:sz w:val="20"/>
                <w:szCs w:val="20"/>
              </w:rPr>
            </w:pPr>
          </w:p>
        </w:tc>
        <w:tc>
          <w:tcPr>
            <w:tcW w:w="1350" w:type="dxa"/>
            <w:gridSpan w:val="2"/>
            <w:tcBorders>
              <w:bottom w:val="double" w:sz="4" w:space="0" w:color="auto"/>
            </w:tcBorders>
          </w:tcPr>
          <w:p w14:paraId="0280BAAF" w14:textId="77777777" w:rsidR="00E239E3" w:rsidRPr="00E239E3" w:rsidRDefault="00E239E3" w:rsidP="00E239E3">
            <w:pPr>
              <w:tabs>
                <w:tab w:val="decimal" w:pos="972"/>
                <w:tab w:val="right" w:pos="9180"/>
              </w:tabs>
              <w:ind w:right="-18"/>
              <w:rPr>
                <w:sz w:val="20"/>
                <w:szCs w:val="20"/>
              </w:rPr>
            </w:pPr>
            <w:r w:rsidRPr="00E239E3">
              <w:rPr>
                <w:sz w:val="20"/>
                <w:szCs w:val="20"/>
              </w:rPr>
              <w:t>$</w:t>
            </w:r>
            <w:r w:rsidRPr="00E239E3">
              <w:rPr>
                <w:sz w:val="20"/>
                <w:szCs w:val="20"/>
              </w:rPr>
              <w:tab/>
              <w:t>11,423,870</w:t>
            </w:r>
          </w:p>
        </w:tc>
        <w:tc>
          <w:tcPr>
            <w:tcW w:w="270" w:type="dxa"/>
            <w:gridSpan w:val="2"/>
          </w:tcPr>
          <w:p w14:paraId="1F867A42" w14:textId="77777777" w:rsidR="00E239E3" w:rsidRPr="00E239E3" w:rsidRDefault="00E239E3" w:rsidP="00E239E3">
            <w:pPr>
              <w:tabs>
                <w:tab w:val="right" w:pos="9180"/>
              </w:tabs>
              <w:ind w:right="-360"/>
              <w:rPr>
                <w:sz w:val="20"/>
                <w:szCs w:val="20"/>
              </w:rPr>
            </w:pPr>
          </w:p>
        </w:tc>
        <w:tc>
          <w:tcPr>
            <w:tcW w:w="1350" w:type="dxa"/>
            <w:tcBorders>
              <w:bottom w:val="double" w:sz="4" w:space="0" w:color="auto"/>
            </w:tcBorders>
          </w:tcPr>
          <w:p w14:paraId="050CEFAD" w14:textId="77777777" w:rsidR="00E239E3" w:rsidRPr="00E239E3" w:rsidRDefault="00E239E3" w:rsidP="00E239E3">
            <w:pPr>
              <w:tabs>
                <w:tab w:val="decimal" w:pos="972"/>
                <w:tab w:val="right" w:pos="9180"/>
              </w:tabs>
              <w:ind w:right="-18"/>
              <w:rPr>
                <w:sz w:val="20"/>
                <w:szCs w:val="20"/>
              </w:rPr>
            </w:pPr>
            <w:r w:rsidRPr="00E239E3">
              <w:rPr>
                <w:sz w:val="20"/>
                <w:szCs w:val="20"/>
              </w:rPr>
              <w:t>$</w:t>
            </w:r>
            <w:r w:rsidRPr="00E239E3">
              <w:rPr>
                <w:sz w:val="20"/>
                <w:szCs w:val="20"/>
              </w:rPr>
              <w:tab/>
              <w:t>9,883,796</w:t>
            </w:r>
          </w:p>
        </w:tc>
        <w:tc>
          <w:tcPr>
            <w:tcW w:w="270" w:type="dxa"/>
          </w:tcPr>
          <w:p w14:paraId="5C538514" w14:textId="77777777" w:rsidR="00E239E3" w:rsidRPr="00E239E3" w:rsidRDefault="00E239E3" w:rsidP="00E239E3">
            <w:pPr>
              <w:tabs>
                <w:tab w:val="right" w:pos="9180"/>
              </w:tabs>
              <w:ind w:right="-360"/>
              <w:rPr>
                <w:sz w:val="20"/>
                <w:szCs w:val="20"/>
              </w:rPr>
            </w:pPr>
          </w:p>
        </w:tc>
        <w:tc>
          <w:tcPr>
            <w:tcW w:w="270" w:type="dxa"/>
          </w:tcPr>
          <w:p w14:paraId="0B254A2D" w14:textId="77777777" w:rsidR="00E239E3" w:rsidRPr="00E239E3" w:rsidRDefault="00E239E3" w:rsidP="00E239E3">
            <w:pPr>
              <w:tabs>
                <w:tab w:val="decimal" w:pos="1392"/>
                <w:tab w:val="left" w:pos="2340"/>
                <w:tab w:val="right" w:pos="9180"/>
              </w:tabs>
              <w:rPr>
                <w:sz w:val="20"/>
                <w:szCs w:val="20"/>
              </w:rPr>
            </w:pPr>
          </w:p>
        </w:tc>
      </w:tr>
      <w:tr w:rsidR="00E239E3" w:rsidRPr="00E239E3" w14:paraId="40A5112F" w14:textId="77777777" w:rsidTr="004F5282">
        <w:tc>
          <w:tcPr>
            <w:tcW w:w="288" w:type="dxa"/>
          </w:tcPr>
          <w:p w14:paraId="54F69447" w14:textId="77777777" w:rsidR="00E239E3" w:rsidRPr="00E239E3" w:rsidRDefault="00E239E3" w:rsidP="00E239E3">
            <w:pPr>
              <w:ind w:right="-360"/>
              <w:rPr>
                <w:sz w:val="20"/>
                <w:szCs w:val="20"/>
              </w:rPr>
            </w:pPr>
          </w:p>
        </w:tc>
        <w:tc>
          <w:tcPr>
            <w:tcW w:w="270" w:type="dxa"/>
          </w:tcPr>
          <w:p w14:paraId="12A33CEA" w14:textId="77777777" w:rsidR="00E239E3" w:rsidRPr="00E239E3" w:rsidRDefault="00E239E3" w:rsidP="00E239E3">
            <w:pPr>
              <w:ind w:right="-360"/>
              <w:rPr>
                <w:sz w:val="20"/>
                <w:szCs w:val="20"/>
              </w:rPr>
            </w:pPr>
          </w:p>
        </w:tc>
        <w:tc>
          <w:tcPr>
            <w:tcW w:w="360" w:type="dxa"/>
          </w:tcPr>
          <w:p w14:paraId="1B649DAC" w14:textId="77777777" w:rsidR="00E239E3" w:rsidRPr="00E239E3" w:rsidRDefault="00E239E3" w:rsidP="00E239E3">
            <w:pPr>
              <w:ind w:right="-360"/>
              <w:rPr>
                <w:sz w:val="20"/>
                <w:szCs w:val="20"/>
              </w:rPr>
            </w:pPr>
          </w:p>
        </w:tc>
        <w:tc>
          <w:tcPr>
            <w:tcW w:w="1260" w:type="dxa"/>
            <w:gridSpan w:val="2"/>
          </w:tcPr>
          <w:p w14:paraId="7E019FF4" w14:textId="77777777" w:rsidR="00E239E3" w:rsidRPr="00E239E3" w:rsidRDefault="00E239E3" w:rsidP="00E239E3">
            <w:pPr>
              <w:tabs>
                <w:tab w:val="right" w:pos="9180"/>
              </w:tabs>
              <w:ind w:right="-360"/>
              <w:rPr>
                <w:sz w:val="20"/>
                <w:szCs w:val="20"/>
              </w:rPr>
            </w:pPr>
          </w:p>
        </w:tc>
        <w:tc>
          <w:tcPr>
            <w:tcW w:w="2250" w:type="dxa"/>
          </w:tcPr>
          <w:p w14:paraId="1F6256FE" w14:textId="77777777" w:rsidR="00E239E3" w:rsidRPr="00E239E3" w:rsidRDefault="00E239E3" w:rsidP="00E239E3">
            <w:pPr>
              <w:tabs>
                <w:tab w:val="right" w:pos="9180"/>
              </w:tabs>
              <w:ind w:right="-18"/>
              <w:rPr>
                <w:sz w:val="20"/>
                <w:szCs w:val="20"/>
              </w:rPr>
            </w:pPr>
          </w:p>
        </w:tc>
        <w:tc>
          <w:tcPr>
            <w:tcW w:w="1170" w:type="dxa"/>
          </w:tcPr>
          <w:p w14:paraId="1AB011C9" w14:textId="77777777" w:rsidR="00E239E3" w:rsidRPr="00E239E3" w:rsidRDefault="00E239E3" w:rsidP="00E239E3">
            <w:pPr>
              <w:tabs>
                <w:tab w:val="right" w:pos="9180"/>
              </w:tabs>
              <w:ind w:right="-360"/>
              <w:rPr>
                <w:sz w:val="20"/>
                <w:szCs w:val="20"/>
              </w:rPr>
            </w:pPr>
          </w:p>
        </w:tc>
        <w:tc>
          <w:tcPr>
            <w:tcW w:w="1350" w:type="dxa"/>
            <w:gridSpan w:val="2"/>
          </w:tcPr>
          <w:p w14:paraId="6FA718BE" w14:textId="77777777" w:rsidR="00E239E3" w:rsidRPr="00E239E3" w:rsidRDefault="00E239E3" w:rsidP="00E239E3">
            <w:pPr>
              <w:tabs>
                <w:tab w:val="right" w:pos="9180"/>
              </w:tabs>
              <w:ind w:right="-46"/>
              <w:rPr>
                <w:sz w:val="20"/>
                <w:szCs w:val="20"/>
              </w:rPr>
            </w:pPr>
          </w:p>
        </w:tc>
        <w:tc>
          <w:tcPr>
            <w:tcW w:w="270" w:type="dxa"/>
            <w:gridSpan w:val="2"/>
          </w:tcPr>
          <w:p w14:paraId="786D3139" w14:textId="77777777" w:rsidR="00E239E3" w:rsidRPr="00E239E3" w:rsidRDefault="00E239E3" w:rsidP="00E239E3">
            <w:pPr>
              <w:tabs>
                <w:tab w:val="right" w:pos="9180"/>
              </w:tabs>
              <w:ind w:right="-360"/>
              <w:rPr>
                <w:sz w:val="20"/>
                <w:szCs w:val="20"/>
              </w:rPr>
            </w:pPr>
          </w:p>
        </w:tc>
        <w:tc>
          <w:tcPr>
            <w:tcW w:w="1350" w:type="dxa"/>
            <w:gridSpan w:val="2"/>
          </w:tcPr>
          <w:p w14:paraId="10064FD2" w14:textId="77777777" w:rsidR="00E239E3" w:rsidRPr="00E239E3" w:rsidRDefault="00E239E3" w:rsidP="00E239E3">
            <w:pPr>
              <w:tabs>
                <w:tab w:val="right" w:pos="9180"/>
              </w:tabs>
              <w:ind w:right="-18"/>
              <w:rPr>
                <w:sz w:val="20"/>
                <w:szCs w:val="20"/>
              </w:rPr>
            </w:pPr>
          </w:p>
        </w:tc>
        <w:tc>
          <w:tcPr>
            <w:tcW w:w="270" w:type="dxa"/>
            <w:gridSpan w:val="2"/>
          </w:tcPr>
          <w:p w14:paraId="5D30E55B" w14:textId="77777777" w:rsidR="00E239E3" w:rsidRPr="00E239E3" w:rsidRDefault="00E239E3" w:rsidP="00E239E3">
            <w:pPr>
              <w:tabs>
                <w:tab w:val="right" w:pos="9180"/>
              </w:tabs>
              <w:ind w:right="-360"/>
              <w:rPr>
                <w:sz w:val="20"/>
                <w:szCs w:val="20"/>
              </w:rPr>
            </w:pPr>
          </w:p>
        </w:tc>
        <w:tc>
          <w:tcPr>
            <w:tcW w:w="1350" w:type="dxa"/>
          </w:tcPr>
          <w:p w14:paraId="37DBCB7F" w14:textId="77777777" w:rsidR="00E239E3" w:rsidRPr="00E239E3" w:rsidRDefault="00E239E3" w:rsidP="00E239E3">
            <w:pPr>
              <w:tabs>
                <w:tab w:val="right" w:pos="9180"/>
              </w:tabs>
              <w:ind w:right="-18"/>
              <w:rPr>
                <w:sz w:val="20"/>
                <w:szCs w:val="20"/>
              </w:rPr>
            </w:pPr>
          </w:p>
        </w:tc>
        <w:tc>
          <w:tcPr>
            <w:tcW w:w="270" w:type="dxa"/>
          </w:tcPr>
          <w:p w14:paraId="061A8F26" w14:textId="77777777" w:rsidR="00E239E3" w:rsidRPr="00E239E3" w:rsidRDefault="00E239E3" w:rsidP="00E239E3">
            <w:pPr>
              <w:tabs>
                <w:tab w:val="right" w:pos="9180"/>
              </w:tabs>
              <w:ind w:right="-360"/>
              <w:rPr>
                <w:sz w:val="20"/>
                <w:szCs w:val="20"/>
              </w:rPr>
            </w:pPr>
          </w:p>
        </w:tc>
        <w:tc>
          <w:tcPr>
            <w:tcW w:w="270" w:type="dxa"/>
          </w:tcPr>
          <w:p w14:paraId="43F24746" w14:textId="77777777" w:rsidR="00E239E3" w:rsidRPr="00E239E3" w:rsidRDefault="00E239E3" w:rsidP="00E239E3">
            <w:pPr>
              <w:tabs>
                <w:tab w:val="left" w:pos="2340"/>
                <w:tab w:val="right" w:pos="9180"/>
              </w:tabs>
              <w:rPr>
                <w:sz w:val="20"/>
                <w:szCs w:val="20"/>
              </w:rPr>
            </w:pPr>
          </w:p>
        </w:tc>
      </w:tr>
      <w:tr w:rsidR="00E239E3" w:rsidRPr="00E239E3" w14:paraId="17A0D1A4" w14:textId="77777777" w:rsidTr="004F5282">
        <w:tc>
          <w:tcPr>
            <w:tcW w:w="10728" w:type="dxa"/>
            <w:gridSpan w:val="18"/>
          </w:tcPr>
          <w:p w14:paraId="358E16FB" w14:textId="77777777" w:rsidR="00E239E3" w:rsidRPr="00E239E3" w:rsidRDefault="00E239E3" w:rsidP="00E239E3">
            <w:pPr>
              <w:rPr>
                <w:sz w:val="20"/>
                <w:szCs w:val="20"/>
              </w:rPr>
            </w:pPr>
            <w:r w:rsidRPr="00E239E3">
              <w:rPr>
                <w:sz w:val="20"/>
                <w:szCs w:val="20"/>
              </w:rPr>
              <w:t>Supplemental disclosure of non-cash financing activities:</w:t>
            </w:r>
          </w:p>
          <w:p w14:paraId="271460B8" w14:textId="77777777" w:rsidR="00E239E3" w:rsidRPr="00E239E3" w:rsidRDefault="00E239E3" w:rsidP="00E239E3">
            <w:pPr>
              <w:rPr>
                <w:sz w:val="20"/>
                <w:szCs w:val="20"/>
              </w:rPr>
            </w:pPr>
            <w:r w:rsidRPr="00E239E3">
              <w:rPr>
                <w:sz w:val="20"/>
                <w:szCs w:val="20"/>
              </w:rPr>
              <w:t>During the year ended December 31, 2021:</w:t>
            </w:r>
          </w:p>
          <w:p w14:paraId="53CF3BE6" w14:textId="77777777" w:rsidR="00E239E3" w:rsidRPr="00E239E3" w:rsidRDefault="00E239E3" w:rsidP="00C73E0F">
            <w:pPr>
              <w:numPr>
                <w:ilvl w:val="0"/>
                <w:numId w:val="22"/>
              </w:numPr>
              <w:ind w:left="540"/>
              <w:contextualSpacing/>
              <w:rPr>
                <w:rFonts w:ascii="CG Times (WN)" w:hAnsi="CG Times (WN)"/>
                <w:sz w:val="20"/>
                <w:szCs w:val="20"/>
              </w:rPr>
            </w:pPr>
            <w:r w:rsidRPr="00E239E3">
              <w:rPr>
                <w:rFonts w:ascii="CG Times (WN)" w:hAnsi="CG Times (WN)"/>
                <w:sz w:val="20"/>
                <w:szCs w:val="20"/>
              </w:rPr>
              <w:t>149,705 shares of common stock were issued upon the cashless exercise of stock purchase warrants</w:t>
            </w:r>
          </w:p>
          <w:p w14:paraId="5039C437" w14:textId="77777777" w:rsidR="00E239E3" w:rsidRPr="00E239E3" w:rsidRDefault="00E239E3" w:rsidP="00C73E0F">
            <w:pPr>
              <w:numPr>
                <w:ilvl w:val="0"/>
                <w:numId w:val="22"/>
              </w:numPr>
              <w:ind w:left="540"/>
              <w:contextualSpacing/>
              <w:rPr>
                <w:rFonts w:ascii="CG Times (WN)" w:hAnsi="CG Times (WN)"/>
                <w:sz w:val="20"/>
                <w:szCs w:val="20"/>
              </w:rPr>
            </w:pPr>
            <w:r w:rsidRPr="00E239E3">
              <w:rPr>
                <w:rFonts w:ascii="CG Times (WN)" w:hAnsi="CG Times (WN)"/>
                <w:sz w:val="20"/>
                <w:szCs w:val="20"/>
              </w:rPr>
              <w:t>$172,056 of principal and accrued interest related to a note payable was extinguished upon the loan’s forgiveness</w:t>
            </w:r>
          </w:p>
          <w:p w14:paraId="53294DC4" w14:textId="77777777" w:rsidR="00E239E3" w:rsidRPr="00E239E3" w:rsidRDefault="00E239E3" w:rsidP="00E239E3">
            <w:pPr>
              <w:rPr>
                <w:sz w:val="20"/>
                <w:szCs w:val="20"/>
              </w:rPr>
            </w:pPr>
            <w:r w:rsidRPr="00E239E3">
              <w:rPr>
                <w:sz w:val="20"/>
                <w:szCs w:val="20"/>
              </w:rPr>
              <w:t>During the year ended December 31, 2020:</w:t>
            </w:r>
          </w:p>
          <w:p w14:paraId="72994598" w14:textId="77777777" w:rsidR="00E239E3" w:rsidRPr="00E239E3" w:rsidRDefault="00E239E3" w:rsidP="00C73E0F">
            <w:pPr>
              <w:numPr>
                <w:ilvl w:val="0"/>
                <w:numId w:val="21"/>
              </w:numPr>
              <w:ind w:left="540"/>
              <w:contextualSpacing/>
              <w:rPr>
                <w:rFonts w:ascii="CG Times (WN)" w:hAnsi="CG Times (WN)"/>
                <w:sz w:val="20"/>
                <w:szCs w:val="20"/>
              </w:rPr>
            </w:pPr>
            <w:r w:rsidRPr="00E239E3">
              <w:rPr>
                <w:rFonts w:ascii="CG Times (WN)" w:hAnsi="CG Times (WN)"/>
                <w:sz w:val="20"/>
                <w:szCs w:val="20"/>
              </w:rPr>
              <w:t>716,790 shares of common stock were issued upon conversion of convertible preferred stock</w:t>
            </w:r>
          </w:p>
          <w:p w14:paraId="7D0FDFE9" w14:textId="77777777" w:rsidR="00E239E3" w:rsidRPr="00E239E3" w:rsidRDefault="00E239E3" w:rsidP="00C73E0F">
            <w:pPr>
              <w:numPr>
                <w:ilvl w:val="0"/>
                <w:numId w:val="21"/>
              </w:numPr>
              <w:ind w:left="540"/>
              <w:contextualSpacing/>
              <w:rPr>
                <w:rFonts w:ascii="CG Times (WN)" w:hAnsi="CG Times (WN)"/>
                <w:sz w:val="20"/>
                <w:szCs w:val="20"/>
              </w:rPr>
            </w:pPr>
            <w:r w:rsidRPr="00E239E3">
              <w:rPr>
                <w:rFonts w:ascii="CG Times (WN)" w:hAnsi="CG Times (WN)"/>
                <w:sz w:val="20"/>
                <w:szCs w:val="20"/>
              </w:rPr>
              <w:t>36,902 shares of common stock were issued upon the cashless exercise of stock purchase warrants</w:t>
            </w:r>
          </w:p>
          <w:p w14:paraId="650DEC0C" w14:textId="77777777" w:rsidR="00E239E3" w:rsidRPr="00E239E3" w:rsidRDefault="00E239E3" w:rsidP="00C73E0F">
            <w:pPr>
              <w:numPr>
                <w:ilvl w:val="0"/>
                <w:numId w:val="21"/>
              </w:numPr>
              <w:ind w:left="540"/>
              <w:contextualSpacing/>
              <w:rPr>
                <w:rFonts w:ascii="CG Times (WN)" w:hAnsi="CG Times (WN)"/>
                <w:sz w:val="20"/>
                <w:szCs w:val="20"/>
              </w:rPr>
            </w:pPr>
            <w:r w:rsidRPr="00E239E3">
              <w:rPr>
                <w:rFonts w:ascii="CG Times (WN)" w:hAnsi="CG Times (WN)"/>
                <w:sz w:val="20"/>
                <w:szCs w:val="20"/>
              </w:rPr>
              <w:t>300,001 shares of common stock and 300,001 stock purchase warrants were issued in exchange for cancellation of $1,500,000 owed to current and former employees and directors</w:t>
            </w:r>
          </w:p>
          <w:p w14:paraId="622572AE" w14:textId="77777777" w:rsidR="00E239E3" w:rsidRPr="00E239E3" w:rsidRDefault="00E239E3" w:rsidP="00C73E0F">
            <w:pPr>
              <w:numPr>
                <w:ilvl w:val="0"/>
                <w:numId w:val="21"/>
              </w:numPr>
              <w:ind w:left="540"/>
              <w:contextualSpacing/>
              <w:rPr>
                <w:rFonts w:ascii="CG Times (WN)" w:hAnsi="CG Times (WN)"/>
                <w:sz w:val="20"/>
                <w:szCs w:val="20"/>
              </w:rPr>
            </w:pPr>
            <w:r w:rsidRPr="00E239E3">
              <w:rPr>
                <w:rFonts w:ascii="CG Times (WN)" w:hAnsi="CG Times (WN)"/>
                <w:sz w:val="20"/>
                <w:szCs w:val="20"/>
              </w:rPr>
              <w:t>177,626 shares of common stock, 126,042 pre-funded stock purchase warrants and 303,668 stock purchase warrants were issued upon conversion of $1,200,000 convertible debentures and $14,667 of related accrued interest</w:t>
            </w:r>
          </w:p>
          <w:p w14:paraId="063E4DDE" w14:textId="77777777" w:rsidR="00E239E3" w:rsidRPr="00E239E3" w:rsidRDefault="00E239E3" w:rsidP="00E239E3">
            <w:pPr>
              <w:tabs>
                <w:tab w:val="left" w:pos="2340"/>
                <w:tab w:val="right" w:pos="9180"/>
              </w:tabs>
              <w:rPr>
                <w:snapToGrid w:val="0"/>
                <w:color w:val="000000"/>
                <w:sz w:val="20"/>
                <w:szCs w:val="20"/>
              </w:rPr>
            </w:pPr>
          </w:p>
          <w:p w14:paraId="1F3DEB35" w14:textId="77777777" w:rsidR="00E239E3" w:rsidRPr="00E239E3" w:rsidRDefault="00E239E3" w:rsidP="00E239E3">
            <w:pPr>
              <w:tabs>
                <w:tab w:val="left" w:pos="2340"/>
                <w:tab w:val="right" w:pos="9180"/>
              </w:tabs>
              <w:jc w:val="center"/>
              <w:rPr>
                <w:snapToGrid w:val="0"/>
                <w:color w:val="000000"/>
                <w:sz w:val="20"/>
                <w:szCs w:val="20"/>
              </w:rPr>
            </w:pPr>
          </w:p>
          <w:p w14:paraId="25751484" w14:textId="77777777" w:rsidR="00E239E3" w:rsidRPr="00E239E3" w:rsidRDefault="00E239E3" w:rsidP="00E239E3">
            <w:pPr>
              <w:tabs>
                <w:tab w:val="left" w:pos="2340"/>
                <w:tab w:val="right" w:pos="9180"/>
              </w:tabs>
              <w:jc w:val="center"/>
              <w:rPr>
                <w:sz w:val="20"/>
                <w:szCs w:val="20"/>
              </w:rPr>
            </w:pPr>
            <w:r w:rsidRPr="00E239E3">
              <w:rPr>
                <w:snapToGrid w:val="0"/>
                <w:color w:val="000000"/>
                <w:sz w:val="20"/>
                <w:szCs w:val="20"/>
              </w:rPr>
              <w:t>See accompanying notes to consolidated financial statements</w:t>
            </w:r>
            <w:r w:rsidRPr="00E239E3">
              <w:rPr>
                <w:sz w:val="20"/>
                <w:szCs w:val="20"/>
              </w:rPr>
              <w:t>.</w:t>
            </w:r>
          </w:p>
        </w:tc>
      </w:tr>
    </w:tbl>
    <w:p w14:paraId="2A1C0745" w14:textId="77777777" w:rsidR="008A3183" w:rsidRDefault="008A3183">
      <w:pPr>
        <w:rPr>
          <w:b/>
          <w:bCs/>
          <w:sz w:val="20"/>
          <w:szCs w:val="20"/>
        </w:rPr>
      </w:pPr>
      <w:r>
        <w:rPr>
          <w:b/>
          <w:bCs/>
          <w:sz w:val="20"/>
          <w:szCs w:val="20"/>
        </w:rPr>
        <w:br w:type="page"/>
      </w:r>
    </w:p>
    <w:p w14:paraId="42AB9D3E" w14:textId="77777777" w:rsidR="00E239E3" w:rsidRPr="00E239E3" w:rsidRDefault="00E239E3" w:rsidP="00E239E3">
      <w:pPr>
        <w:tabs>
          <w:tab w:val="decimal" w:pos="2600"/>
        </w:tabs>
        <w:jc w:val="center"/>
        <w:rPr>
          <w:b/>
        </w:rPr>
      </w:pPr>
      <w:r w:rsidRPr="00E239E3">
        <w:rPr>
          <w:b/>
        </w:rPr>
        <w:lastRenderedPageBreak/>
        <w:t xml:space="preserve">GEOVAX LABS, INC. </w:t>
      </w:r>
    </w:p>
    <w:p w14:paraId="4CBC372D" w14:textId="77777777" w:rsidR="00E239E3" w:rsidRPr="00E239E3" w:rsidRDefault="00E239E3" w:rsidP="00E239E3">
      <w:pPr>
        <w:jc w:val="center"/>
        <w:rPr>
          <w:b/>
        </w:rPr>
      </w:pPr>
      <w:r w:rsidRPr="00E239E3">
        <w:rPr>
          <w:b/>
        </w:rPr>
        <w:t>NOTES TO CONSOLIDATED FINANCIAL STATEMENTS</w:t>
      </w:r>
    </w:p>
    <w:p w14:paraId="6B9DA983" w14:textId="77777777" w:rsidR="00E239E3" w:rsidRPr="00E239E3" w:rsidRDefault="00E239E3" w:rsidP="00E239E3">
      <w:pPr>
        <w:jc w:val="center"/>
        <w:rPr>
          <w:b/>
          <w:sz w:val="20"/>
          <w:szCs w:val="20"/>
        </w:rPr>
      </w:pPr>
    </w:p>
    <w:p w14:paraId="1A7D0393" w14:textId="77777777" w:rsidR="00E239E3" w:rsidRPr="00E239E3" w:rsidRDefault="00E239E3" w:rsidP="00E239E3">
      <w:pPr>
        <w:jc w:val="center"/>
        <w:rPr>
          <w:b/>
          <w:sz w:val="20"/>
          <w:szCs w:val="20"/>
        </w:rPr>
      </w:pPr>
      <w:r w:rsidRPr="00E239E3">
        <w:rPr>
          <w:b/>
          <w:sz w:val="20"/>
          <w:szCs w:val="20"/>
        </w:rPr>
        <w:t>Years Ended December 31, 2021 and 2020</w:t>
      </w:r>
    </w:p>
    <w:p w14:paraId="48FED0FB" w14:textId="77777777" w:rsidR="00E239E3" w:rsidRPr="00E239E3" w:rsidRDefault="00E239E3" w:rsidP="00E239E3">
      <w:pPr>
        <w:jc w:val="center"/>
        <w:rPr>
          <w:sz w:val="20"/>
          <w:szCs w:val="20"/>
          <w:u w:val="single"/>
        </w:rPr>
      </w:pPr>
    </w:p>
    <w:p w14:paraId="72A3F7F6" w14:textId="77777777" w:rsidR="00E239E3" w:rsidRPr="00E239E3" w:rsidRDefault="00E239E3" w:rsidP="00E239E3">
      <w:pPr>
        <w:ind w:left="720" w:hanging="720"/>
        <w:rPr>
          <w:sz w:val="20"/>
          <w:szCs w:val="20"/>
        </w:rPr>
      </w:pPr>
    </w:p>
    <w:p w14:paraId="176C7CD9" w14:textId="77777777" w:rsidR="00E239E3" w:rsidRPr="00E239E3" w:rsidRDefault="00E239E3" w:rsidP="00E239E3">
      <w:pPr>
        <w:jc w:val="both"/>
        <w:rPr>
          <w:b/>
          <w:sz w:val="20"/>
          <w:szCs w:val="20"/>
        </w:rPr>
      </w:pPr>
      <w:r w:rsidRPr="00E239E3">
        <w:rPr>
          <w:b/>
          <w:sz w:val="20"/>
          <w:szCs w:val="20"/>
        </w:rPr>
        <w:t>1.</w:t>
      </w:r>
      <w:r w:rsidRPr="00E239E3">
        <w:rPr>
          <w:b/>
          <w:sz w:val="20"/>
          <w:szCs w:val="20"/>
        </w:rPr>
        <w:tab/>
        <w:t>Description of Business and Recent Developments</w:t>
      </w:r>
    </w:p>
    <w:p w14:paraId="37FE5AA3" w14:textId="77777777" w:rsidR="00E239E3" w:rsidRPr="00E239E3" w:rsidRDefault="00E239E3" w:rsidP="00E239E3">
      <w:pPr>
        <w:rPr>
          <w:sz w:val="20"/>
          <w:szCs w:val="20"/>
        </w:rPr>
      </w:pPr>
    </w:p>
    <w:p w14:paraId="33E7F5D5" w14:textId="77777777" w:rsidR="00E239E3" w:rsidRPr="00E239E3" w:rsidRDefault="00E239E3" w:rsidP="00E239E3">
      <w:pPr>
        <w:rPr>
          <w:sz w:val="20"/>
          <w:szCs w:val="20"/>
        </w:rPr>
      </w:pPr>
      <w:bookmarkStart w:id="73" w:name="_Hlk84600694"/>
      <w:proofErr w:type="spellStart"/>
      <w:r w:rsidRPr="00E239E3">
        <w:rPr>
          <w:sz w:val="20"/>
          <w:szCs w:val="20"/>
        </w:rPr>
        <w:t>GeoVax</w:t>
      </w:r>
      <w:proofErr w:type="spellEnd"/>
      <w:r w:rsidRPr="00E239E3">
        <w:rPr>
          <w:sz w:val="20"/>
          <w:szCs w:val="20"/>
        </w:rPr>
        <w:t xml:space="preserve"> Labs, Inc. (“</w:t>
      </w:r>
      <w:proofErr w:type="spellStart"/>
      <w:r w:rsidRPr="00E239E3">
        <w:rPr>
          <w:sz w:val="20"/>
          <w:szCs w:val="20"/>
        </w:rPr>
        <w:t>GeoVax</w:t>
      </w:r>
      <w:proofErr w:type="spellEnd"/>
      <w:r w:rsidRPr="00E239E3">
        <w:rPr>
          <w:sz w:val="20"/>
          <w:szCs w:val="20"/>
        </w:rPr>
        <w:t xml:space="preserve">” or the “Company”), is a clinical-stage biotechnology company developing immunotherapies and vaccines against infectious diseases and cancers using novel vector vaccine platforms. </w:t>
      </w:r>
      <w:proofErr w:type="spellStart"/>
      <w:r w:rsidRPr="00E239E3">
        <w:rPr>
          <w:bCs/>
          <w:sz w:val="20"/>
          <w:szCs w:val="20"/>
        </w:rPr>
        <w:t>GeoVax’s</w:t>
      </w:r>
      <w:proofErr w:type="spellEnd"/>
      <w:r w:rsidRPr="00E239E3">
        <w:rPr>
          <w:bCs/>
          <w:sz w:val="20"/>
          <w:szCs w:val="20"/>
        </w:rPr>
        <w:t xml:space="preserve"> product pipeline includes ongoing human clinical trials in COVID-19 and </w:t>
      </w:r>
      <w:r w:rsidRPr="00E239E3">
        <w:rPr>
          <w:sz w:val="20"/>
          <w:szCs w:val="20"/>
        </w:rPr>
        <w:t>head and neck cancer. Additional research and development programs include preventive vaccines against Zika Virus, hemorrhagic fever viruses (Ebola, Sudan, Marburg, and Lassa) and malaria, as well as immunotherapies for solid tumors. Certain of our vaccine development activities have been, and continue to be, financially supported by the U.S. Government. This support has been both in the form of research grants and contracts awarded directly to us, as well as indirect support for the conduct of preclinical animal studies and human clinical trials.</w:t>
      </w:r>
    </w:p>
    <w:p w14:paraId="64CEC551" w14:textId="77777777" w:rsidR="00E239E3" w:rsidRPr="00E239E3" w:rsidRDefault="00E239E3" w:rsidP="00E239E3">
      <w:pPr>
        <w:rPr>
          <w:sz w:val="20"/>
          <w:szCs w:val="20"/>
        </w:rPr>
      </w:pPr>
    </w:p>
    <w:bookmarkEnd w:id="73"/>
    <w:p w14:paraId="6B74A591" w14:textId="77777777" w:rsidR="00E239E3" w:rsidRPr="00E239E3" w:rsidRDefault="00E239E3" w:rsidP="00E239E3">
      <w:pPr>
        <w:autoSpaceDE w:val="0"/>
        <w:autoSpaceDN w:val="0"/>
        <w:adjustRightInd w:val="0"/>
        <w:rPr>
          <w:bCs/>
          <w:sz w:val="20"/>
          <w:szCs w:val="20"/>
        </w:rPr>
      </w:pPr>
      <w:r w:rsidRPr="00E239E3">
        <w:rPr>
          <w:i/>
          <w:iCs/>
          <w:sz w:val="20"/>
          <w:szCs w:val="20"/>
        </w:rPr>
        <w:t>GEO-CM04S1 License</w:t>
      </w:r>
      <w:r w:rsidRPr="00E239E3">
        <w:rPr>
          <w:sz w:val="20"/>
          <w:szCs w:val="20"/>
        </w:rPr>
        <w:t xml:space="preserve"> -- In November 2021, </w:t>
      </w:r>
      <w:proofErr w:type="spellStart"/>
      <w:r w:rsidRPr="00E239E3">
        <w:rPr>
          <w:sz w:val="20"/>
          <w:szCs w:val="20"/>
        </w:rPr>
        <w:t>GeoVax</w:t>
      </w:r>
      <w:proofErr w:type="spellEnd"/>
      <w:r w:rsidRPr="00E239E3">
        <w:rPr>
          <w:sz w:val="20"/>
          <w:szCs w:val="20"/>
        </w:rPr>
        <w:t xml:space="preserve"> </w:t>
      </w:r>
      <w:r w:rsidRPr="00E239E3">
        <w:rPr>
          <w:bCs/>
          <w:sz w:val="20"/>
          <w:szCs w:val="20"/>
        </w:rPr>
        <w:t xml:space="preserve">entered into a license agreement with City of Hope (the “COH License”), granting </w:t>
      </w:r>
      <w:proofErr w:type="spellStart"/>
      <w:r w:rsidRPr="00E239E3">
        <w:rPr>
          <w:bCs/>
          <w:sz w:val="20"/>
          <w:szCs w:val="20"/>
        </w:rPr>
        <w:t>GeoVax</w:t>
      </w:r>
      <w:proofErr w:type="spellEnd"/>
      <w:r w:rsidRPr="00E239E3">
        <w:rPr>
          <w:bCs/>
          <w:sz w:val="20"/>
          <w:szCs w:val="20"/>
        </w:rPr>
        <w:t xml:space="preserve"> exclusive rights to further develop and commercialize GEO-CM04S1 (formerly referred to as COH04S1). GEO-CM04S1, a synthetic, attenuated modified vaccinia Ankara (</w:t>
      </w:r>
      <w:proofErr w:type="spellStart"/>
      <w:r w:rsidRPr="00E239E3">
        <w:rPr>
          <w:bCs/>
          <w:sz w:val="20"/>
          <w:szCs w:val="20"/>
        </w:rPr>
        <w:t>sMVA</w:t>
      </w:r>
      <w:proofErr w:type="spellEnd"/>
      <w:r w:rsidRPr="00E239E3">
        <w:rPr>
          <w:bCs/>
          <w:sz w:val="20"/>
          <w:szCs w:val="20"/>
        </w:rPr>
        <w:t xml:space="preserve">) vector expressing Spike and Nucleocapsid antigens of the SARS-CoV-2 virus, was initially </w:t>
      </w:r>
      <w:r w:rsidRPr="00E239E3">
        <w:rPr>
          <w:sz w:val="20"/>
          <w:szCs w:val="20"/>
        </w:rPr>
        <w:t>developed at COH for immunocompromised patients.</w:t>
      </w:r>
    </w:p>
    <w:p w14:paraId="75009027" w14:textId="77777777" w:rsidR="00E239E3" w:rsidRPr="00E239E3" w:rsidRDefault="00E239E3" w:rsidP="00E239E3">
      <w:pPr>
        <w:autoSpaceDE w:val="0"/>
        <w:autoSpaceDN w:val="0"/>
        <w:adjustRightInd w:val="0"/>
        <w:rPr>
          <w:bCs/>
          <w:sz w:val="20"/>
          <w:szCs w:val="20"/>
        </w:rPr>
      </w:pPr>
    </w:p>
    <w:p w14:paraId="31A71856" w14:textId="77777777" w:rsidR="00E239E3" w:rsidRPr="00E239E3" w:rsidRDefault="00E239E3" w:rsidP="00E239E3">
      <w:pPr>
        <w:autoSpaceDE w:val="0"/>
        <w:autoSpaceDN w:val="0"/>
        <w:adjustRightInd w:val="0"/>
        <w:rPr>
          <w:bCs/>
          <w:sz w:val="20"/>
          <w:szCs w:val="20"/>
        </w:rPr>
      </w:pPr>
      <w:r w:rsidRPr="00E239E3">
        <w:rPr>
          <w:bCs/>
          <w:sz w:val="20"/>
          <w:szCs w:val="20"/>
        </w:rPr>
        <w:t xml:space="preserve">GEO-CM04S1 is being studied in an ongoing Phase 2 clinical trial to evaluate its safety and immunogenicity, compared to the Pfizer mRNA-based vaccine, in patients who have previously received either an allogeneic hematopoietic cell transplant, an autologous hematopoietic cell transplant or chimeric antigen receptor (CAR) T cell therapy. GEO-CM04S1 </w:t>
      </w:r>
      <w:r w:rsidRPr="00E239E3">
        <w:rPr>
          <w:sz w:val="20"/>
          <w:szCs w:val="20"/>
        </w:rPr>
        <w:t xml:space="preserve">is the only COVID-19 vaccine that includes both SARS-CoV-2 spike and nucleocapsid proteins to advance to a Phase 2 trial in cancer patients. Such vaccines also tend to produce an immune response quickly – in less than 14 days – with only mild side effects. </w:t>
      </w:r>
      <w:r w:rsidRPr="00E239E3">
        <w:rPr>
          <w:bCs/>
          <w:sz w:val="20"/>
          <w:szCs w:val="20"/>
        </w:rPr>
        <w:t xml:space="preserve">The trial is also the first to compare an investigational multi-antigenic COVID-19 vaccine to the current Food and Drug Administration (FDA)-approved mRNA vaccine from Pfizer/BioNTech in people who are immunocompromised. Such patients have often shown a weak antibody response after receiving currently available COVID-19 vaccines. </w:t>
      </w:r>
    </w:p>
    <w:p w14:paraId="725D71EE" w14:textId="77777777" w:rsidR="00E239E3" w:rsidRPr="00E239E3" w:rsidRDefault="00E239E3" w:rsidP="00E239E3">
      <w:pPr>
        <w:autoSpaceDE w:val="0"/>
        <w:autoSpaceDN w:val="0"/>
        <w:adjustRightInd w:val="0"/>
        <w:rPr>
          <w:bCs/>
          <w:sz w:val="20"/>
          <w:szCs w:val="20"/>
        </w:rPr>
      </w:pPr>
    </w:p>
    <w:p w14:paraId="05E8BDBC" w14:textId="77777777" w:rsidR="00E239E3" w:rsidRPr="00E239E3" w:rsidRDefault="00E239E3" w:rsidP="00E239E3">
      <w:pPr>
        <w:autoSpaceDE w:val="0"/>
        <w:autoSpaceDN w:val="0"/>
        <w:adjustRightInd w:val="0"/>
        <w:rPr>
          <w:sz w:val="20"/>
          <w:szCs w:val="20"/>
        </w:rPr>
      </w:pPr>
      <w:r w:rsidRPr="00E239E3">
        <w:rPr>
          <w:bCs/>
          <w:sz w:val="20"/>
          <w:szCs w:val="20"/>
        </w:rPr>
        <w:t>In December 2021, patient enrollment began for the Phase 2 portion of a Phase 1/2 trial of GEO-CM04S1, to study its use as a universal booster vaccine to current FDA-approved vaccines.</w:t>
      </w:r>
      <w:r w:rsidRPr="00E239E3">
        <w:rPr>
          <w:sz w:val="20"/>
          <w:szCs w:val="20"/>
        </w:rPr>
        <w:t xml:space="preserve"> </w:t>
      </w:r>
      <w:proofErr w:type="spellStart"/>
      <w:r w:rsidRPr="00E239E3">
        <w:rPr>
          <w:sz w:val="20"/>
          <w:szCs w:val="20"/>
        </w:rPr>
        <w:t>GeoVax</w:t>
      </w:r>
      <w:proofErr w:type="spellEnd"/>
      <w:r w:rsidRPr="00E239E3">
        <w:rPr>
          <w:sz w:val="20"/>
          <w:szCs w:val="20"/>
        </w:rPr>
        <w:t xml:space="preserve"> believes that the </w:t>
      </w:r>
      <w:r w:rsidRPr="00E239E3">
        <w:rPr>
          <w:bCs/>
          <w:sz w:val="20"/>
          <w:szCs w:val="20"/>
        </w:rPr>
        <w:t xml:space="preserve">GEO-CM04S1 </w:t>
      </w:r>
      <w:r w:rsidRPr="00E239E3">
        <w:rPr>
          <w:sz w:val="20"/>
          <w:szCs w:val="20"/>
        </w:rPr>
        <w:t xml:space="preserve">vaccine, when administered as a heterologous booster, will provide additional recognition elements to the immune system over a homologous boost from mRNA vaccines such as those developed by Moderna or Pfizer, which are directed only toward SARS-CoV-2 Spike protein. The COH04S1 vaccine’s MVA backbone may be more effective at inducing COVID-19 immunity since MVA strongly induces T cell responses even in a background of immunosuppression. In addition, </w:t>
      </w:r>
      <w:r w:rsidRPr="00E239E3">
        <w:rPr>
          <w:bCs/>
          <w:sz w:val="20"/>
          <w:szCs w:val="20"/>
        </w:rPr>
        <w:t xml:space="preserve">GEO-CM04S1 </w:t>
      </w:r>
      <w:r w:rsidRPr="00E239E3">
        <w:rPr>
          <w:sz w:val="20"/>
          <w:szCs w:val="20"/>
        </w:rPr>
        <w:t>targeting of both Spike and Nucleocapsid antigens, may offer greater protection against the significant sequence variation observed with the Spike antigen.</w:t>
      </w:r>
    </w:p>
    <w:p w14:paraId="4CC39BF4" w14:textId="77777777" w:rsidR="00E239E3" w:rsidRPr="00E239E3" w:rsidRDefault="00E239E3" w:rsidP="00E239E3">
      <w:pPr>
        <w:autoSpaceDE w:val="0"/>
        <w:autoSpaceDN w:val="0"/>
        <w:adjustRightInd w:val="0"/>
        <w:rPr>
          <w:sz w:val="20"/>
          <w:szCs w:val="20"/>
        </w:rPr>
      </w:pPr>
    </w:p>
    <w:p w14:paraId="0742C47F" w14:textId="77777777" w:rsidR="00E239E3" w:rsidRPr="00E239E3" w:rsidRDefault="00E239E3" w:rsidP="00E239E3">
      <w:pPr>
        <w:rPr>
          <w:bCs/>
          <w:sz w:val="20"/>
          <w:szCs w:val="20"/>
        </w:rPr>
      </w:pPr>
      <w:proofErr w:type="spellStart"/>
      <w:r w:rsidRPr="00E239E3">
        <w:rPr>
          <w:bCs/>
          <w:i/>
          <w:iCs/>
          <w:sz w:val="20"/>
          <w:szCs w:val="20"/>
        </w:rPr>
        <w:t>Gedeptin</w:t>
      </w:r>
      <w:proofErr w:type="spellEnd"/>
      <w:r w:rsidRPr="00E239E3">
        <w:rPr>
          <w:bCs/>
          <w:i/>
          <w:iCs/>
          <w:sz w:val="20"/>
          <w:szCs w:val="20"/>
          <w:vertAlign w:val="superscript"/>
        </w:rPr>
        <w:t>®</w:t>
      </w:r>
      <w:r w:rsidRPr="00E239E3">
        <w:rPr>
          <w:bCs/>
          <w:i/>
          <w:iCs/>
          <w:sz w:val="20"/>
          <w:szCs w:val="20"/>
        </w:rPr>
        <w:t xml:space="preserve"> License</w:t>
      </w:r>
      <w:r w:rsidRPr="00E239E3">
        <w:rPr>
          <w:bCs/>
          <w:sz w:val="20"/>
          <w:szCs w:val="20"/>
        </w:rPr>
        <w:t xml:space="preserve"> -- In September 2021, </w:t>
      </w:r>
      <w:proofErr w:type="spellStart"/>
      <w:r w:rsidRPr="00E239E3">
        <w:rPr>
          <w:bCs/>
          <w:sz w:val="20"/>
          <w:szCs w:val="20"/>
        </w:rPr>
        <w:t>GeoVax</w:t>
      </w:r>
      <w:proofErr w:type="spellEnd"/>
      <w:r w:rsidRPr="00E239E3">
        <w:rPr>
          <w:bCs/>
          <w:sz w:val="20"/>
          <w:szCs w:val="20"/>
        </w:rPr>
        <w:t xml:space="preserve"> entered into an Assignment and License Agreement with PNP Therapeutics, Inc. (the “PNP License), whereby </w:t>
      </w:r>
      <w:proofErr w:type="spellStart"/>
      <w:r w:rsidRPr="00E239E3">
        <w:rPr>
          <w:bCs/>
          <w:sz w:val="20"/>
          <w:szCs w:val="20"/>
        </w:rPr>
        <w:t>GeoVax</w:t>
      </w:r>
      <w:proofErr w:type="spellEnd"/>
      <w:r w:rsidRPr="00E239E3">
        <w:rPr>
          <w:bCs/>
          <w:sz w:val="20"/>
          <w:szCs w:val="20"/>
        </w:rPr>
        <w:t xml:space="preserve"> </w:t>
      </w:r>
      <w:r w:rsidRPr="00E239E3">
        <w:rPr>
          <w:sz w:val="20"/>
          <w:szCs w:val="20"/>
        </w:rPr>
        <w:t xml:space="preserve">expanded its immuno-oncology pipeline and added a new technology platform through the acquisition of exclusive rights to </w:t>
      </w:r>
      <w:proofErr w:type="spellStart"/>
      <w:r w:rsidRPr="00E239E3">
        <w:rPr>
          <w:bCs/>
          <w:sz w:val="20"/>
          <w:szCs w:val="20"/>
        </w:rPr>
        <w:t>Gedeptin</w:t>
      </w:r>
      <w:proofErr w:type="spellEnd"/>
      <w:r w:rsidRPr="00E239E3">
        <w:rPr>
          <w:bCs/>
          <w:sz w:val="20"/>
          <w:szCs w:val="20"/>
          <w:vertAlign w:val="superscript"/>
        </w:rPr>
        <w:t>®</w:t>
      </w:r>
      <w:r w:rsidRPr="00E239E3">
        <w:rPr>
          <w:bCs/>
          <w:sz w:val="20"/>
          <w:szCs w:val="20"/>
        </w:rPr>
        <w:t>, a novel patented product for the treatment of solid tumors through a gene therapy strategy known as</w:t>
      </w:r>
      <w:r w:rsidRPr="00E239E3">
        <w:rPr>
          <w:sz w:val="20"/>
          <w:szCs w:val="20"/>
        </w:rPr>
        <w:t xml:space="preserve"> </w:t>
      </w:r>
      <w:r w:rsidRPr="00E239E3">
        <w:rPr>
          <w:bCs/>
          <w:sz w:val="20"/>
          <w:szCs w:val="20"/>
        </w:rPr>
        <w:t>GDEPT (Gene-Directed Enzyme Prodrug Therapy). In GDEPT, a vector is used to selectively transduce tumor cells with a nonhuman gene, which expresses an enzyme that can convert a nontoxic prodrug into a potent antitumor compound.</w:t>
      </w:r>
      <w:r w:rsidRPr="00E239E3">
        <w:rPr>
          <w:sz w:val="20"/>
          <w:szCs w:val="20"/>
        </w:rPr>
        <w:t xml:space="preserve"> A Phase 1/2 clinical trial is currently enrolling to evaluate the safety and efficacy of repeat cycles of </w:t>
      </w:r>
      <w:proofErr w:type="spellStart"/>
      <w:r w:rsidRPr="00E239E3">
        <w:rPr>
          <w:sz w:val="20"/>
          <w:szCs w:val="20"/>
        </w:rPr>
        <w:t>Gedeptin</w:t>
      </w:r>
      <w:proofErr w:type="spellEnd"/>
      <w:r w:rsidRPr="00E239E3">
        <w:rPr>
          <w:sz w:val="20"/>
          <w:szCs w:val="20"/>
        </w:rPr>
        <w:t xml:space="preserve"> therapy in patients with recurrent head and neck squamous cell carcinoma (HNSCC), with tumors accessible for injection and no curable treatment options. The FDA has granted </w:t>
      </w:r>
      <w:proofErr w:type="spellStart"/>
      <w:r w:rsidRPr="00E239E3">
        <w:rPr>
          <w:sz w:val="20"/>
          <w:szCs w:val="20"/>
        </w:rPr>
        <w:t>Gedeptin</w:t>
      </w:r>
      <w:proofErr w:type="spellEnd"/>
      <w:r w:rsidRPr="00E239E3">
        <w:rPr>
          <w:sz w:val="20"/>
          <w:szCs w:val="20"/>
        </w:rPr>
        <w:t xml:space="preserve"> Orphan Drug status for the treatment of HNSCC and the initial stage of the ongoing clinical trial is being funded by the FDA pursuant to its Orphan Products Clinical Trials Grants Program.</w:t>
      </w:r>
      <w:r w:rsidRPr="00E239E3">
        <w:rPr>
          <w:bCs/>
          <w:sz w:val="20"/>
          <w:szCs w:val="20"/>
        </w:rPr>
        <w:t xml:space="preserve"> </w:t>
      </w:r>
      <w:proofErr w:type="spellStart"/>
      <w:r w:rsidRPr="00E239E3">
        <w:rPr>
          <w:bCs/>
          <w:sz w:val="20"/>
          <w:szCs w:val="20"/>
        </w:rPr>
        <w:t>GeoVax’s</w:t>
      </w:r>
      <w:proofErr w:type="spellEnd"/>
      <w:r w:rsidRPr="00E239E3">
        <w:rPr>
          <w:bCs/>
          <w:sz w:val="20"/>
          <w:szCs w:val="20"/>
        </w:rPr>
        <w:t xml:space="preserve"> license to </w:t>
      </w:r>
      <w:proofErr w:type="spellStart"/>
      <w:r w:rsidRPr="00E239E3">
        <w:rPr>
          <w:bCs/>
          <w:sz w:val="20"/>
          <w:szCs w:val="20"/>
        </w:rPr>
        <w:t>Gedeptin</w:t>
      </w:r>
      <w:proofErr w:type="spellEnd"/>
      <w:r w:rsidRPr="00E239E3">
        <w:rPr>
          <w:bCs/>
          <w:sz w:val="20"/>
          <w:szCs w:val="20"/>
        </w:rPr>
        <w:t xml:space="preserve"> includes rights to expand its use to all human diseases and/or conditions including, but not limited to, cancers.</w:t>
      </w:r>
    </w:p>
    <w:p w14:paraId="27790259" w14:textId="77777777" w:rsidR="00E239E3" w:rsidRPr="00E239E3" w:rsidRDefault="00E239E3" w:rsidP="00E239E3">
      <w:pPr>
        <w:autoSpaceDE w:val="0"/>
        <w:autoSpaceDN w:val="0"/>
        <w:adjustRightInd w:val="0"/>
        <w:rPr>
          <w:sz w:val="20"/>
          <w:szCs w:val="20"/>
        </w:rPr>
      </w:pPr>
    </w:p>
    <w:p w14:paraId="685BCB60" w14:textId="77777777" w:rsidR="00E239E3" w:rsidRPr="00E239E3" w:rsidRDefault="00E239E3" w:rsidP="00E239E3">
      <w:pPr>
        <w:rPr>
          <w:sz w:val="20"/>
          <w:szCs w:val="20"/>
        </w:rPr>
      </w:pPr>
      <w:proofErr w:type="spellStart"/>
      <w:r w:rsidRPr="00E239E3">
        <w:rPr>
          <w:sz w:val="20"/>
          <w:szCs w:val="20"/>
        </w:rPr>
        <w:lastRenderedPageBreak/>
        <w:t>GeoVax</w:t>
      </w:r>
      <w:proofErr w:type="spellEnd"/>
      <w:r w:rsidRPr="00E239E3">
        <w:rPr>
          <w:sz w:val="20"/>
          <w:szCs w:val="20"/>
        </w:rPr>
        <w:t xml:space="preserve"> is incorporated under the laws of the State of Delaware and our principal offices are located in the metropolitan Atlanta, Georgia area.</w:t>
      </w:r>
    </w:p>
    <w:p w14:paraId="249600D0" w14:textId="77777777" w:rsidR="00E239E3" w:rsidRPr="00E239E3" w:rsidRDefault="00E239E3" w:rsidP="00E239E3">
      <w:pPr>
        <w:rPr>
          <w:sz w:val="20"/>
          <w:szCs w:val="20"/>
        </w:rPr>
      </w:pPr>
    </w:p>
    <w:p w14:paraId="75AA6B1F" w14:textId="77777777" w:rsidR="00E239E3" w:rsidRPr="00E239E3" w:rsidRDefault="00E239E3" w:rsidP="00E239E3">
      <w:pPr>
        <w:rPr>
          <w:b/>
          <w:sz w:val="20"/>
          <w:szCs w:val="20"/>
          <w:u w:val="single"/>
        </w:rPr>
      </w:pPr>
      <w:r w:rsidRPr="00E239E3">
        <w:rPr>
          <w:b/>
          <w:sz w:val="20"/>
          <w:szCs w:val="20"/>
        </w:rPr>
        <w:t>2.</w:t>
      </w:r>
      <w:r w:rsidRPr="00E239E3">
        <w:rPr>
          <w:b/>
          <w:sz w:val="20"/>
          <w:szCs w:val="20"/>
        </w:rPr>
        <w:tab/>
        <w:t>Summary of Significant Accounting Policies</w:t>
      </w:r>
    </w:p>
    <w:p w14:paraId="25DC6BF7" w14:textId="77777777" w:rsidR="00E239E3" w:rsidRPr="00E239E3" w:rsidRDefault="00E239E3" w:rsidP="00E239E3">
      <w:pPr>
        <w:rPr>
          <w:sz w:val="20"/>
          <w:szCs w:val="20"/>
        </w:rPr>
      </w:pPr>
    </w:p>
    <w:p w14:paraId="1426A532" w14:textId="77777777" w:rsidR="00E239E3" w:rsidRPr="00E239E3" w:rsidRDefault="00E239E3" w:rsidP="00E239E3">
      <w:pPr>
        <w:rPr>
          <w:sz w:val="20"/>
          <w:szCs w:val="20"/>
        </w:rPr>
      </w:pPr>
      <w:r w:rsidRPr="00E239E3">
        <w:rPr>
          <w:i/>
          <w:sz w:val="20"/>
          <w:szCs w:val="20"/>
        </w:rPr>
        <w:t>Principles of Consolidation</w:t>
      </w:r>
    </w:p>
    <w:p w14:paraId="299C2710" w14:textId="77777777" w:rsidR="00E239E3" w:rsidRPr="00E239E3" w:rsidRDefault="00E239E3" w:rsidP="00E239E3">
      <w:pPr>
        <w:rPr>
          <w:sz w:val="20"/>
          <w:szCs w:val="20"/>
        </w:rPr>
      </w:pPr>
    </w:p>
    <w:p w14:paraId="6693579E" w14:textId="77777777" w:rsidR="00E239E3" w:rsidRPr="00E239E3" w:rsidRDefault="00E239E3" w:rsidP="00E239E3">
      <w:pPr>
        <w:rPr>
          <w:sz w:val="20"/>
          <w:szCs w:val="20"/>
        </w:rPr>
      </w:pPr>
      <w:r w:rsidRPr="00E239E3">
        <w:rPr>
          <w:sz w:val="20"/>
          <w:szCs w:val="20"/>
        </w:rPr>
        <w:t xml:space="preserve">The accompanying consolidated financial statements include the accounts of </w:t>
      </w:r>
      <w:proofErr w:type="spellStart"/>
      <w:r w:rsidRPr="00E239E3">
        <w:rPr>
          <w:sz w:val="20"/>
          <w:szCs w:val="20"/>
        </w:rPr>
        <w:t>GeoVax</w:t>
      </w:r>
      <w:proofErr w:type="spellEnd"/>
      <w:r w:rsidRPr="00E239E3">
        <w:rPr>
          <w:sz w:val="20"/>
          <w:szCs w:val="20"/>
        </w:rPr>
        <w:t xml:space="preserve"> Labs, Inc. together with those of our wholly-owned subsidiary, </w:t>
      </w:r>
      <w:proofErr w:type="spellStart"/>
      <w:r w:rsidRPr="00E239E3">
        <w:rPr>
          <w:sz w:val="20"/>
          <w:szCs w:val="20"/>
        </w:rPr>
        <w:t>GeoVax</w:t>
      </w:r>
      <w:proofErr w:type="spellEnd"/>
      <w:r w:rsidRPr="00E239E3">
        <w:rPr>
          <w:sz w:val="20"/>
          <w:szCs w:val="20"/>
        </w:rPr>
        <w:t>, Inc. All intercompany transactions have been eliminated in consolidation.</w:t>
      </w:r>
    </w:p>
    <w:p w14:paraId="3D953B30" w14:textId="77777777" w:rsidR="00E239E3" w:rsidRPr="00E239E3" w:rsidRDefault="00E239E3" w:rsidP="00E239E3">
      <w:pPr>
        <w:rPr>
          <w:sz w:val="20"/>
          <w:szCs w:val="20"/>
        </w:rPr>
      </w:pPr>
    </w:p>
    <w:p w14:paraId="210C84C5" w14:textId="77777777" w:rsidR="00E239E3" w:rsidRPr="00E239E3" w:rsidRDefault="00E239E3" w:rsidP="00E239E3">
      <w:pPr>
        <w:rPr>
          <w:sz w:val="20"/>
          <w:szCs w:val="20"/>
        </w:rPr>
      </w:pPr>
      <w:r w:rsidRPr="00E239E3">
        <w:rPr>
          <w:i/>
          <w:sz w:val="20"/>
          <w:szCs w:val="20"/>
        </w:rPr>
        <w:t>Basis of Presentation</w:t>
      </w:r>
    </w:p>
    <w:p w14:paraId="784E355B" w14:textId="77777777" w:rsidR="00E239E3" w:rsidRPr="00E239E3" w:rsidRDefault="00E239E3" w:rsidP="00E239E3">
      <w:pPr>
        <w:rPr>
          <w:sz w:val="20"/>
          <w:szCs w:val="20"/>
        </w:rPr>
      </w:pPr>
    </w:p>
    <w:p w14:paraId="6B61E24F" w14:textId="77777777" w:rsidR="00E239E3" w:rsidRPr="00E239E3" w:rsidRDefault="00E239E3" w:rsidP="00E239E3">
      <w:pPr>
        <w:rPr>
          <w:sz w:val="20"/>
          <w:szCs w:val="20"/>
        </w:rPr>
      </w:pPr>
      <w:r w:rsidRPr="00E239E3">
        <w:rPr>
          <w:sz w:val="20"/>
          <w:szCs w:val="20"/>
        </w:rPr>
        <w:t>On January 21, 2020, we effected a 1-for-2000 reverse split of our common stock and on September 25, 2020, we effected a 1-for-20 reverse split of our common stock. Unless otherwise noted, the accompanying consolidated financial statements, and all share and per share information contained herein, have been retroactively restated to reflect the reverse stock splits.</w:t>
      </w:r>
    </w:p>
    <w:p w14:paraId="2533F373" w14:textId="77777777" w:rsidR="00E239E3" w:rsidRPr="00E239E3" w:rsidRDefault="00E239E3" w:rsidP="00E239E3">
      <w:pPr>
        <w:rPr>
          <w:sz w:val="20"/>
          <w:szCs w:val="20"/>
        </w:rPr>
      </w:pPr>
    </w:p>
    <w:p w14:paraId="550F5B44" w14:textId="77777777" w:rsidR="00E239E3" w:rsidRPr="00E239E3" w:rsidRDefault="00E239E3" w:rsidP="00E239E3">
      <w:pPr>
        <w:autoSpaceDE w:val="0"/>
        <w:autoSpaceDN w:val="0"/>
        <w:adjustRightInd w:val="0"/>
        <w:rPr>
          <w:sz w:val="20"/>
          <w:szCs w:val="20"/>
        </w:rPr>
      </w:pPr>
      <w:r w:rsidRPr="00E239E3">
        <w:rPr>
          <w:sz w:val="20"/>
          <w:szCs w:val="20"/>
        </w:rPr>
        <w:t>The accompanying consolidated financial statements have been prepared assuming that we will continue as a going concern, which contemplates realization of assets and the satisfaction of liabilities in the normal course of business for the twelve-month period following the issue date of these consolidated financial statements. We are devoting substantially all of our present efforts to research and development of our vaccine and immunotherapy candidates. We expect to incur future net losses and require substantial funds as we continue our research and development activities. Our transition to profitability will be dependent upon, among other things, the successful development and commercialization of our product candidates. We may never achieve profitability or positive cash flows, and unless and until we do, we will continue to need to raise additional funding.</w:t>
      </w:r>
    </w:p>
    <w:p w14:paraId="492D2D66" w14:textId="77777777" w:rsidR="00E239E3" w:rsidRPr="00E239E3" w:rsidRDefault="00E239E3" w:rsidP="00E239E3">
      <w:pPr>
        <w:autoSpaceDE w:val="0"/>
        <w:autoSpaceDN w:val="0"/>
        <w:adjustRightInd w:val="0"/>
        <w:rPr>
          <w:sz w:val="20"/>
          <w:szCs w:val="20"/>
        </w:rPr>
      </w:pPr>
    </w:p>
    <w:p w14:paraId="653378E5" w14:textId="77777777" w:rsidR="00E239E3" w:rsidRPr="00E239E3" w:rsidRDefault="00E239E3" w:rsidP="00E239E3">
      <w:pPr>
        <w:autoSpaceDE w:val="0"/>
        <w:autoSpaceDN w:val="0"/>
        <w:adjustRightInd w:val="0"/>
        <w:rPr>
          <w:sz w:val="20"/>
          <w:szCs w:val="20"/>
        </w:rPr>
      </w:pPr>
      <w:r w:rsidRPr="00E239E3">
        <w:rPr>
          <w:sz w:val="20"/>
          <w:szCs w:val="20"/>
        </w:rPr>
        <w:t>We have funded our activities to date from sales of our equity securities, government grants and clinical trial assistance, and corporate and academic collaborations. We believe that our existing cash resources will be sufficient to continue our planned operations into the second quarter of 2023. We intend to fund future operations through additional private and/or public offerings of debt or equity securities.  In addition, we may seek additional capital through arrangements with strategic partners or from other sources. There can be no assurance that we will be able to raise additional funds or achieve or sustain profitability or positive cash flows from operations. </w:t>
      </w:r>
    </w:p>
    <w:p w14:paraId="02B1D70A" w14:textId="77777777" w:rsidR="00E239E3" w:rsidRPr="00E239E3" w:rsidRDefault="00E239E3" w:rsidP="00E239E3">
      <w:pPr>
        <w:rPr>
          <w:sz w:val="20"/>
          <w:szCs w:val="20"/>
        </w:rPr>
      </w:pPr>
    </w:p>
    <w:p w14:paraId="7B93590B" w14:textId="77777777" w:rsidR="00E239E3" w:rsidRPr="00E239E3" w:rsidRDefault="00E239E3" w:rsidP="00E239E3">
      <w:pPr>
        <w:rPr>
          <w:sz w:val="20"/>
          <w:szCs w:val="20"/>
        </w:rPr>
      </w:pPr>
      <w:r w:rsidRPr="00E239E3">
        <w:rPr>
          <w:i/>
          <w:sz w:val="20"/>
          <w:szCs w:val="20"/>
        </w:rPr>
        <w:t>Use of Estimates</w:t>
      </w:r>
    </w:p>
    <w:p w14:paraId="5ECC06F7" w14:textId="77777777" w:rsidR="00E239E3" w:rsidRPr="00E239E3" w:rsidRDefault="00E239E3" w:rsidP="00E239E3">
      <w:pPr>
        <w:rPr>
          <w:sz w:val="20"/>
          <w:szCs w:val="20"/>
        </w:rPr>
      </w:pPr>
    </w:p>
    <w:p w14:paraId="543407F9" w14:textId="77777777" w:rsidR="00E239E3" w:rsidRPr="00E239E3" w:rsidRDefault="00E239E3" w:rsidP="00E239E3">
      <w:pPr>
        <w:rPr>
          <w:sz w:val="20"/>
          <w:szCs w:val="20"/>
        </w:rPr>
      </w:pPr>
      <w:r w:rsidRPr="00E239E3">
        <w:rPr>
          <w:sz w:val="20"/>
          <w:szCs w:val="20"/>
        </w:rPr>
        <w:t>The preparation of financial statements in conformity with generally accepted accounting principles (GAAP) requires us to make estimates and assumptions that affect the reported amounts of assets and liabilities and disclosure of contingent assets and liabilities at the date of the financial statements and the reported amounts of revenues and expenses during the reporting period. Actual results may differ from those estimates.</w:t>
      </w:r>
    </w:p>
    <w:p w14:paraId="6B22B7EB" w14:textId="77777777" w:rsidR="00E239E3" w:rsidRPr="00E239E3" w:rsidRDefault="00E239E3" w:rsidP="00E239E3">
      <w:pPr>
        <w:rPr>
          <w:sz w:val="20"/>
          <w:szCs w:val="20"/>
        </w:rPr>
      </w:pPr>
    </w:p>
    <w:p w14:paraId="2DF691C2" w14:textId="77777777" w:rsidR="00E239E3" w:rsidRPr="00E239E3" w:rsidRDefault="00E239E3" w:rsidP="00E239E3">
      <w:pPr>
        <w:rPr>
          <w:sz w:val="20"/>
          <w:szCs w:val="20"/>
        </w:rPr>
      </w:pPr>
      <w:r w:rsidRPr="00E239E3">
        <w:rPr>
          <w:i/>
          <w:sz w:val="20"/>
          <w:szCs w:val="20"/>
        </w:rPr>
        <w:t>Cash and Cash Equivalents</w:t>
      </w:r>
    </w:p>
    <w:p w14:paraId="67427BCB" w14:textId="77777777" w:rsidR="00E239E3" w:rsidRPr="00E239E3" w:rsidRDefault="00E239E3" w:rsidP="00E239E3">
      <w:pPr>
        <w:rPr>
          <w:sz w:val="20"/>
          <w:szCs w:val="20"/>
        </w:rPr>
      </w:pPr>
    </w:p>
    <w:p w14:paraId="7C93FD0C" w14:textId="77777777" w:rsidR="00E239E3" w:rsidRPr="00E239E3" w:rsidRDefault="00E239E3" w:rsidP="00E239E3">
      <w:pPr>
        <w:rPr>
          <w:b/>
          <w:sz w:val="20"/>
          <w:szCs w:val="20"/>
        </w:rPr>
      </w:pPr>
      <w:r w:rsidRPr="00E239E3">
        <w:rPr>
          <w:sz w:val="20"/>
          <w:szCs w:val="20"/>
        </w:rPr>
        <w:t>We consider all highly liquid investments with a maturity of three months or less when purchased to be cash equivalents.  Our cash and cash equivalents consist primarily of bank deposits and money market accounts. The recorded values approximate fair market values due to the short maturities.</w:t>
      </w:r>
    </w:p>
    <w:p w14:paraId="545FC18D" w14:textId="77777777" w:rsidR="00E239E3" w:rsidRPr="00E239E3" w:rsidRDefault="00E239E3" w:rsidP="00E239E3">
      <w:pPr>
        <w:rPr>
          <w:sz w:val="20"/>
          <w:szCs w:val="20"/>
        </w:rPr>
      </w:pPr>
    </w:p>
    <w:p w14:paraId="7891125D" w14:textId="77777777" w:rsidR="00E239E3" w:rsidRPr="00E239E3" w:rsidRDefault="00E239E3" w:rsidP="00E239E3">
      <w:pPr>
        <w:rPr>
          <w:sz w:val="20"/>
          <w:szCs w:val="20"/>
        </w:rPr>
      </w:pPr>
      <w:r w:rsidRPr="00E239E3">
        <w:rPr>
          <w:i/>
          <w:iCs/>
          <w:sz w:val="20"/>
          <w:szCs w:val="20"/>
        </w:rPr>
        <w:t>Fair Value of Financial Instruments and Concentration of Credit Risk</w:t>
      </w:r>
    </w:p>
    <w:p w14:paraId="707A794F" w14:textId="77777777" w:rsidR="00E239E3" w:rsidRPr="00E239E3" w:rsidRDefault="00E239E3" w:rsidP="00E239E3">
      <w:pPr>
        <w:rPr>
          <w:sz w:val="20"/>
          <w:szCs w:val="20"/>
        </w:rPr>
      </w:pPr>
    </w:p>
    <w:p w14:paraId="258CD1E6" w14:textId="77777777" w:rsidR="00E239E3" w:rsidRPr="00E239E3" w:rsidRDefault="00E239E3" w:rsidP="00E239E3">
      <w:pPr>
        <w:rPr>
          <w:b/>
          <w:sz w:val="20"/>
          <w:szCs w:val="20"/>
        </w:rPr>
      </w:pPr>
      <w:r w:rsidRPr="00E239E3">
        <w:rPr>
          <w:sz w:val="20"/>
          <w:szCs w:val="20"/>
        </w:rPr>
        <w:t>Financial instruments that subject us to concentration of credit risk consist primarily of cash and cash equivalents, which are maintained by a high credit quality financial institution. The carrying values reported in the balance sheets for cash and cash equivalents approximate fair values.</w:t>
      </w:r>
    </w:p>
    <w:p w14:paraId="265D2452" w14:textId="77777777" w:rsidR="00E239E3" w:rsidRPr="00E239E3" w:rsidRDefault="00E239E3" w:rsidP="00E239E3">
      <w:pPr>
        <w:rPr>
          <w:sz w:val="20"/>
          <w:szCs w:val="20"/>
        </w:rPr>
      </w:pPr>
    </w:p>
    <w:p w14:paraId="5E47275E" w14:textId="77777777" w:rsidR="00E239E3" w:rsidRPr="00E239E3" w:rsidRDefault="00E239E3" w:rsidP="00E239E3">
      <w:pPr>
        <w:rPr>
          <w:sz w:val="20"/>
          <w:szCs w:val="20"/>
        </w:rPr>
      </w:pPr>
      <w:r w:rsidRPr="00E239E3">
        <w:rPr>
          <w:i/>
          <w:sz w:val="20"/>
          <w:szCs w:val="20"/>
        </w:rPr>
        <w:t>Property and Equipment</w:t>
      </w:r>
    </w:p>
    <w:p w14:paraId="6ABE2939" w14:textId="77777777" w:rsidR="00E239E3" w:rsidRPr="00E239E3" w:rsidRDefault="00E239E3" w:rsidP="00E239E3">
      <w:pPr>
        <w:rPr>
          <w:sz w:val="20"/>
          <w:szCs w:val="20"/>
        </w:rPr>
      </w:pPr>
    </w:p>
    <w:p w14:paraId="1C405503" w14:textId="77777777" w:rsidR="00E239E3" w:rsidRPr="00E239E3" w:rsidRDefault="00E239E3" w:rsidP="00E239E3">
      <w:pPr>
        <w:rPr>
          <w:sz w:val="20"/>
          <w:szCs w:val="20"/>
        </w:rPr>
      </w:pPr>
      <w:r w:rsidRPr="00E239E3">
        <w:rPr>
          <w:sz w:val="20"/>
          <w:szCs w:val="20"/>
        </w:rPr>
        <w:t xml:space="preserve">Property and equipment are stated at cost, less accumulated depreciation and amortization. Expenditures for maintenance and repairs are charged to operations as incurred, while additions and improvements are capitalized. </w:t>
      </w:r>
      <w:r w:rsidRPr="00E239E3">
        <w:rPr>
          <w:sz w:val="20"/>
          <w:szCs w:val="20"/>
        </w:rPr>
        <w:lastRenderedPageBreak/>
        <w:t xml:space="preserve">We calculate depreciation using the straight-line method over the estimated useful lives of the assets which range from three to five years. We amortize leasehold improvements using the straight-line method over the term of the related lease.  </w:t>
      </w:r>
    </w:p>
    <w:p w14:paraId="6B0A1DBE" w14:textId="77777777" w:rsidR="00E239E3" w:rsidRPr="00E239E3" w:rsidRDefault="00E239E3" w:rsidP="00E239E3">
      <w:pPr>
        <w:rPr>
          <w:sz w:val="20"/>
          <w:szCs w:val="20"/>
        </w:rPr>
      </w:pPr>
    </w:p>
    <w:p w14:paraId="7E23F110" w14:textId="77777777" w:rsidR="00E239E3" w:rsidRPr="00E239E3" w:rsidRDefault="00E239E3" w:rsidP="00E239E3">
      <w:pPr>
        <w:rPr>
          <w:color w:val="000000"/>
          <w:sz w:val="20"/>
          <w:szCs w:val="20"/>
        </w:rPr>
      </w:pPr>
      <w:bookmarkStart w:id="74" w:name="_Hlk61873174"/>
      <w:r w:rsidRPr="00E239E3">
        <w:rPr>
          <w:sz w:val="20"/>
          <w:szCs w:val="20"/>
        </w:rPr>
        <w:t xml:space="preserve">We recognize leases in accordance with Financial Accounting Standards Board (FASB) </w:t>
      </w:r>
      <w:bookmarkEnd w:id="74"/>
      <w:r w:rsidRPr="00E239E3">
        <w:rPr>
          <w:sz w:val="20"/>
          <w:szCs w:val="20"/>
        </w:rPr>
        <w:t xml:space="preserve">Accounting Standards Update (ASU) No. 2016-02, </w:t>
      </w:r>
      <w:r w:rsidRPr="00E239E3">
        <w:rPr>
          <w:i/>
          <w:iCs/>
          <w:sz w:val="20"/>
          <w:szCs w:val="20"/>
        </w:rPr>
        <w:t>Leases</w:t>
      </w:r>
      <w:r w:rsidRPr="00E239E3">
        <w:rPr>
          <w:sz w:val="20"/>
          <w:szCs w:val="20"/>
        </w:rPr>
        <w:t xml:space="preserve"> (ASU 2016-02), which </w:t>
      </w:r>
      <w:r w:rsidRPr="00E239E3">
        <w:rPr>
          <w:color w:val="000000"/>
          <w:sz w:val="20"/>
          <w:szCs w:val="20"/>
        </w:rPr>
        <w:t xml:space="preserve">requires lessees to classify leases as either financing or operating leases based on the principle of whether or not the lease is effectively a financed purchase by the lessee. This classification determines whether lease expense is recognized based on an effective interest method or on a straight-line basis over the term of the lease, respectively. A lessee is also required to record a right-of-use asset and a lease liability for all leases with a term of greater than 12 months regardless of their classification. </w:t>
      </w:r>
      <w:r w:rsidRPr="00E239E3">
        <w:rPr>
          <w:sz w:val="20"/>
          <w:szCs w:val="20"/>
        </w:rPr>
        <w:t>In the case of our facility lease agreement which has an effective term of less than 12 months, we made an accounting policy election to not recognize lease assets and liabilities and record lease expense on a straight-line basis over the lease term.</w:t>
      </w:r>
    </w:p>
    <w:p w14:paraId="43E3FA82" w14:textId="77777777" w:rsidR="00E239E3" w:rsidRPr="00E239E3" w:rsidRDefault="00E239E3" w:rsidP="00E239E3">
      <w:pPr>
        <w:rPr>
          <w:sz w:val="20"/>
          <w:szCs w:val="20"/>
        </w:rPr>
      </w:pPr>
    </w:p>
    <w:p w14:paraId="1C0E2545" w14:textId="77777777" w:rsidR="00E239E3" w:rsidRPr="00E239E3" w:rsidRDefault="00E239E3" w:rsidP="00E239E3">
      <w:pPr>
        <w:rPr>
          <w:sz w:val="20"/>
          <w:szCs w:val="20"/>
        </w:rPr>
      </w:pPr>
      <w:r w:rsidRPr="00E239E3">
        <w:rPr>
          <w:i/>
          <w:iCs/>
          <w:sz w:val="20"/>
          <w:szCs w:val="20"/>
        </w:rPr>
        <w:t>Impairment of Long-Lived Assets</w:t>
      </w:r>
    </w:p>
    <w:p w14:paraId="65B88BF3" w14:textId="77777777" w:rsidR="00E239E3" w:rsidRPr="00E239E3" w:rsidRDefault="00E239E3" w:rsidP="00E239E3">
      <w:pPr>
        <w:rPr>
          <w:sz w:val="20"/>
          <w:szCs w:val="20"/>
        </w:rPr>
      </w:pPr>
    </w:p>
    <w:p w14:paraId="73DDD8D8" w14:textId="77777777" w:rsidR="00E239E3" w:rsidRPr="00E239E3" w:rsidRDefault="00E239E3" w:rsidP="00E239E3">
      <w:pPr>
        <w:rPr>
          <w:i/>
          <w:sz w:val="20"/>
          <w:szCs w:val="20"/>
        </w:rPr>
      </w:pPr>
      <w:r w:rsidRPr="00E239E3">
        <w:rPr>
          <w:sz w:val="20"/>
          <w:szCs w:val="20"/>
        </w:rPr>
        <w:t>We review long-lived assets for impairment whenever events or changes in circumstances indicate that the carrying amount of an asset may not be recoverable.  Recoverability of assets to be held and used is measured by a comparison of the carrying amount of the assets to the future net cash flows expected to be generated by such assets. If we consider such assets to be impaired, the impairment to be</w:t>
      </w:r>
      <w:r w:rsidRPr="00E239E3">
        <w:rPr>
          <w:b/>
          <w:sz w:val="20"/>
          <w:szCs w:val="20"/>
        </w:rPr>
        <w:t xml:space="preserve"> </w:t>
      </w:r>
      <w:r w:rsidRPr="00E239E3">
        <w:rPr>
          <w:sz w:val="20"/>
          <w:szCs w:val="20"/>
        </w:rPr>
        <w:t>recognized is measured by the amount by which the carrying amount of the assets exceeds the expected future net cash flows from the assets.</w:t>
      </w:r>
    </w:p>
    <w:p w14:paraId="20D4C211" w14:textId="77777777" w:rsidR="00E239E3" w:rsidRPr="00E239E3" w:rsidRDefault="00E239E3" w:rsidP="00E239E3">
      <w:pPr>
        <w:rPr>
          <w:i/>
          <w:sz w:val="20"/>
          <w:szCs w:val="20"/>
        </w:rPr>
      </w:pPr>
    </w:p>
    <w:p w14:paraId="1D25D9B9" w14:textId="77777777" w:rsidR="00E239E3" w:rsidRPr="00E239E3" w:rsidRDefault="00E239E3" w:rsidP="00E239E3">
      <w:pPr>
        <w:rPr>
          <w:sz w:val="20"/>
          <w:szCs w:val="20"/>
        </w:rPr>
      </w:pPr>
      <w:r w:rsidRPr="00E239E3">
        <w:rPr>
          <w:i/>
          <w:sz w:val="20"/>
          <w:szCs w:val="20"/>
        </w:rPr>
        <w:t>Accrued Expenses</w:t>
      </w:r>
    </w:p>
    <w:p w14:paraId="501E55FD" w14:textId="77777777" w:rsidR="00E239E3" w:rsidRPr="00E239E3" w:rsidRDefault="00E239E3" w:rsidP="00E239E3">
      <w:pPr>
        <w:rPr>
          <w:sz w:val="20"/>
          <w:szCs w:val="20"/>
        </w:rPr>
      </w:pPr>
    </w:p>
    <w:p w14:paraId="36D5A533" w14:textId="77777777" w:rsidR="00E239E3" w:rsidRPr="00E239E3" w:rsidRDefault="00E239E3" w:rsidP="00E239E3">
      <w:pPr>
        <w:rPr>
          <w:b/>
          <w:sz w:val="20"/>
          <w:szCs w:val="20"/>
        </w:rPr>
      </w:pPr>
      <w:r w:rsidRPr="00E239E3">
        <w:rPr>
          <w:sz w:val="20"/>
          <w:szCs w:val="20"/>
        </w:rPr>
        <w:t xml:space="preserve">As part of the process of preparing our financial statements, we estimate expenses that we believe we have incurred, but have not yet been billed by our third-party vendors. This process involves identifying services and activities that have been performed by such vendors on our behalf and estimating the level to which they have been performed and the associated cost incurred for such service as of each balance sheet date. </w:t>
      </w:r>
    </w:p>
    <w:p w14:paraId="3D2F6AA5" w14:textId="77777777" w:rsidR="00E239E3" w:rsidRPr="00E239E3" w:rsidRDefault="00E239E3" w:rsidP="00E239E3">
      <w:pPr>
        <w:rPr>
          <w:sz w:val="20"/>
          <w:szCs w:val="20"/>
        </w:rPr>
      </w:pPr>
    </w:p>
    <w:p w14:paraId="5F1B22F7" w14:textId="77777777" w:rsidR="00E239E3" w:rsidRPr="00E239E3" w:rsidRDefault="00E239E3" w:rsidP="00E239E3">
      <w:pPr>
        <w:rPr>
          <w:sz w:val="20"/>
          <w:szCs w:val="20"/>
        </w:rPr>
      </w:pPr>
      <w:r w:rsidRPr="00E239E3">
        <w:rPr>
          <w:i/>
          <w:sz w:val="20"/>
          <w:szCs w:val="20"/>
        </w:rPr>
        <w:t>Net Loss Per Share</w:t>
      </w:r>
    </w:p>
    <w:p w14:paraId="2F195491" w14:textId="77777777" w:rsidR="00E239E3" w:rsidRPr="00E239E3" w:rsidRDefault="00E239E3" w:rsidP="00E239E3">
      <w:pPr>
        <w:rPr>
          <w:sz w:val="20"/>
          <w:szCs w:val="20"/>
        </w:rPr>
      </w:pPr>
    </w:p>
    <w:p w14:paraId="79CE1BA9" w14:textId="77777777" w:rsidR="00E239E3" w:rsidRPr="00E239E3" w:rsidRDefault="00E239E3" w:rsidP="00E239E3">
      <w:pPr>
        <w:rPr>
          <w:b/>
          <w:sz w:val="20"/>
          <w:szCs w:val="20"/>
        </w:rPr>
      </w:pPr>
      <w:r w:rsidRPr="00E239E3">
        <w:rPr>
          <w:sz w:val="20"/>
          <w:szCs w:val="20"/>
        </w:rPr>
        <w:t>Basic and diluted loss per common share are computed based on the weighted average number of common shares outstanding. Common share equivalents consist of common shares issuable upon conversion of convertible preferred stock, and upon exercise of stock options and stock purchase warrants. All common share equivalents are excluded from the computation of diluted loss per share since the effect would be anti-dilutive. The weighted average number of common share equivalents which were excluded from the computation of diluted loss per share, calculated using the treasury stock method, totaled 213,831 and 1,001,948 shares at December 31, 2021 and 2020, respectively.</w:t>
      </w:r>
    </w:p>
    <w:p w14:paraId="73080C31" w14:textId="77777777" w:rsidR="00E239E3" w:rsidRPr="00E239E3" w:rsidRDefault="00E239E3" w:rsidP="00E239E3">
      <w:pPr>
        <w:rPr>
          <w:sz w:val="20"/>
          <w:szCs w:val="20"/>
        </w:rPr>
      </w:pPr>
    </w:p>
    <w:p w14:paraId="16C89FED" w14:textId="77777777" w:rsidR="00E239E3" w:rsidRPr="00E239E3" w:rsidRDefault="00E239E3" w:rsidP="00E239E3">
      <w:pPr>
        <w:rPr>
          <w:sz w:val="20"/>
          <w:szCs w:val="20"/>
        </w:rPr>
      </w:pPr>
      <w:r w:rsidRPr="00E239E3">
        <w:rPr>
          <w:i/>
          <w:sz w:val="20"/>
          <w:szCs w:val="20"/>
        </w:rPr>
        <w:t>Revenue Recognition</w:t>
      </w:r>
    </w:p>
    <w:p w14:paraId="29ABFEC5" w14:textId="77777777" w:rsidR="00E239E3" w:rsidRPr="00E239E3" w:rsidRDefault="00E239E3" w:rsidP="00E239E3">
      <w:pPr>
        <w:rPr>
          <w:sz w:val="20"/>
          <w:szCs w:val="20"/>
        </w:rPr>
      </w:pPr>
    </w:p>
    <w:p w14:paraId="4659A3D5" w14:textId="77777777" w:rsidR="00E239E3" w:rsidRPr="00E239E3" w:rsidRDefault="00E239E3" w:rsidP="00E239E3">
      <w:pPr>
        <w:rPr>
          <w:sz w:val="20"/>
          <w:szCs w:val="20"/>
        </w:rPr>
      </w:pPr>
      <w:r w:rsidRPr="00E239E3">
        <w:rPr>
          <w:sz w:val="20"/>
          <w:szCs w:val="20"/>
        </w:rPr>
        <w:t xml:space="preserve">We recognize revenue in accordance with FASB Accounting Standards Update 2014-09, </w:t>
      </w:r>
      <w:r w:rsidRPr="00E239E3">
        <w:rPr>
          <w:i/>
          <w:sz w:val="20"/>
          <w:szCs w:val="20"/>
        </w:rPr>
        <w:t>Revenue from Contracts with Customers</w:t>
      </w:r>
      <w:r w:rsidRPr="00E239E3">
        <w:rPr>
          <w:sz w:val="20"/>
          <w:szCs w:val="20"/>
        </w:rPr>
        <w:t xml:space="preserve"> (ASU 2014-09), which created a new Topic, Accounting Standards Codification Topic 606. The standard is principle-based and provides a five-step model to determine when and how revenue is recognized. The core principle is that an entity should recognize revenue when it transfers promised goods or services to customers in an amount that reflects the consideration to which the entity expects to be entitled in exchange for those goods or services.</w:t>
      </w:r>
    </w:p>
    <w:p w14:paraId="77EEFB2A" w14:textId="77777777" w:rsidR="00E239E3" w:rsidRPr="00E239E3" w:rsidRDefault="00E239E3" w:rsidP="00E239E3">
      <w:pPr>
        <w:rPr>
          <w:sz w:val="20"/>
          <w:szCs w:val="20"/>
        </w:rPr>
      </w:pPr>
    </w:p>
    <w:p w14:paraId="262683D4" w14:textId="77777777" w:rsidR="00E239E3" w:rsidRPr="00E239E3" w:rsidRDefault="00E239E3" w:rsidP="00E239E3">
      <w:pPr>
        <w:rPr>
          <w:sz w:val="20"/>
          <w:szCs w:val="20"/>
        </w:rPr>
      </w:pPr>
      <w:r w:rsidRPr="00E239E3">
        <w:rPr>
          <w:i/>
          <w:iCs/>
          <w:sz w:val="20"/>
          <w:szCs w:val="20"/>
        </w:rPr>
        <w:t>Grant revenue</w:t>
      </w:r>
      <w:r w:rsidRPr="00E239E3">
        <w:rPr>
          <w:sz w:val="20"/>
          <w:szCs w:val="20"/>
        </w:rPr>
        <w:t xml:space="preserve"> – We receive payments from government entities under non-refundable grants in support of our vaccine development programs. We record revenue associated with these grants when the reimbursable costs are incurred and we have complied with all conditions necessary to receive the grant funds.</w:t>
      </w:r>
    </w:p>
    <w:p w14:paraId="2E9C2260" w14:textId="77777777" w:rsidR="00E239E3" w:rsidRPr="00E239E3" w:rsidRDefault="00E239E3" w:rsidP="00E239E3">
      <w:pPr>
        <w:rPr>
          <w:sz w:val="20"/>
          <w:szCs w:val="20"/>
        </w:rPr>
      </w:pPr>
    </w:p>
    <w:p w14:paraId="36DF85DB" w14:textId="77777777" w:rsidR="00E239E3" w:rsidRPr="00E239E3" w:rsidRDefault="00E239E3" w:rsidP="00E239E3">
      <w:pPr>
        <w:rPr>
          <w:sz w:val="20"/>
          <w:szCs w:val="20"/>
        </w:rPr>
      </w:pPr>
      <w:r w:rsidRPr="00E239E3">
        <w:rPr>
          <w:i/>
          <w:iCs/>
          <w:sz w:val="20"/>
          <w:szCs w:val="20"/>
        </w:rPr>
        <w:t>Research collaborations</w:t>
      </w:r>
      <w:r w:rsidRPr="00E239E3">
        <w:rPr>
          <w:sz w:val="20"/>
          <w:szCs w:val="20"/>
        </w:rPr>
        <w:t xml:space="preserve"> – From time to time, we may enter into collaborative research and development agreements for specific vaccine development approaches and/or disease indications whereby we receive third-party funding for preclinical research under certain of these arrangements. Each agreement is evaluated in accordance with the process defined by ASU 2014-09 and revenue is recognized accordingly.</w:t>
      </w:r>
    </w:p>
    <w:p w14:paraId="381EF940" w14:textId="77777777" w:rsidR="00E239E3" w:rsidRPr="00E239E3" w:rsidRDefault="00E239E3" w:rsidP="00E239E3">
      <w:pPr>
        <w:rPr>
          <w:sz w:val="20"/>
          <w:szCs w:val="20"/>
        </w:rPr>
      </w:pPr>
    </w:p>
    <w:p w14:paraId="174CEC29" w14:textId="77777777" w:rsidR="00E239E3" w:rsidRPr="00E239E3" w:rsidRDefault="00E239E3" w:rsidP="00E239E3">
      <w:pPr>
        <w:rPr>
          <w:i/>
          <w:sz w:val="20"/>
          <w:szCs w:val="20"/>
        </w:rPr>
      </w:pPr>
      <w:r w:rsidRPr="00E239E3">
        <w:rPr>
          <w:i/>
          <w:sz w:val="20"/>
          <w:szCs w:val="20"/>
        </w:rPr>
        <w:lastRenderedPageBreak/>
        <w:t>Research and Development Expense</w:t>
      </w:r>
    </w:p>
    <w:p w14:paraId="7D0CA78C" w14:textId="77777777" w:rsidR="00E239E3" w:rsidRPr="00E239E3" w:rsidRDefault="00E239E3" w:rsidP="00E239E3">
      <w:pPr>
        <w:rPr>
          <w:sz w:val="20"/>
          <w:szCs w:val="20"/>
        </w:rPr>
      </w:pPr>
    </w:p>
    <w:p w14:paraId="6984B113" w14:textId="77777777" w:rsidR="00E239E3" w:rsidRPr="00E239E3" w:rsidRDefault="00E239E3" w:rsidP="00E239E3">
      <w:pPr>
        <w:rPr>
          <w:sz w:val="20"/>
          <w:szCs w:val="20"/>
        </w:rPr>
      </w:pPr>
      <w:r w:rsidRPr="00E239E3">
        <w:rPr>
          <w:sz w:val="20"/>
          <w:szCs w:val="20"/>
        </w:rPr>
        <w:t>Research and development (R&amp;D) expense primarily consists of costs incurred in the discovery, development, testing and manufacturing of our product candidates. These expenses consist primarily of (i) salaries, benefits, and stock-based compensation for personnel, (ii) laboratory supplies and facility-related expenses to conduct development, (iii) fees paid to third-party service providers to perform, monitor and accumulate data related to our preclinical studies and clinical trials, (iv) costs related to sponsored research agreements, and (v) costs to procure and manufacture materials used in clinical trials. These costs are charged to expense as incurred. During 2021, we also recorded $10,513,825 of R&amp;D expense for upfront license fees and warrant expense associated with the COH License and the PNP License.</w:t>
      </w:r>
    </w:p>
    <w:p w14:paraId="228A12A0" w14:textId="77777777" w:rsidR="00E239E3" w:rsidRPr="00E239E3" w:rsidRDefault="00E239E3" w:rsidP="00E239E3">
      <w:pPr>
        <w:rPr>
          <w:sz w:val="20"/>
          <w:szCs w:val="20"/>
        </w:rPr>
      </w:pPr>
    </w:p>
    <w:p w14:paraId="680FDB80" w14:textId="77777777" w:rsidR="00E239E3" w:rsidRPr="00E239E3" w:rsidRDefault="00E239E3" w:rsidP="00E239E3">
      <w:pPr>
        <w:rPr>
          <w:i/>
          <w:sz w:val="20"/>
          <w:szCs w:val="20"/>
        </w:rPr>
      </w:pPr>
      <w:r w:rsidRPr="00E239E3">
        <w:rPr>
          <w:i/>
          <w:sz w:val="20"/>
          <w:szCs w:val="20"/>
        </w:rPr>
        <w:t>Patent Costs</w:t>
      </w:r>
    </w:p>
    <w:p w14:paraId="43649D69" w14:textId="77777777" w:rsidR="00E239E3" w:rsidRPr="00E239E3" w:rsidRDefault="00E239E3" w:rsidP="00E239E3">
      <w:pPr>
        <w:rPr>
          <w:sz w:val="20"/>
          <w:szCs w:val="20"/>
        </w:rPr>
      </w:pPr>
    </w:p>
    <w:p w14:paraId="05F78BCE" w14:textId="77777777" w:rsidR="00E239E3" w:rsidRPr="00E239E3" w:rsidRDefault="00E239E3" w:rsidP="00E239E3">
      <w:pPr>
        <w:rPr>
          <w:b/>
          <w:sz w:val="20"/>
          <w:szCs w:val="20"/>
        </w:rPr>
      </w:pPr>
      <w:r w:rsidRPr="00E239E3">
        <w:rPr>
          <w:sz w:val="20"/>
          <w:szCs w:val="20"/>
        </w:rPr>
        <w:t>Our expenditures relating to obtaining and protecting patents are charged to expense when incurred and are included in general and administrative expense.</w:t>
      </w:r>
      <w:r w:rsidRPr="00E239E3">
        <w:rPr>
          <w:b/>
          <w:sz w:val="20"/>
          <w:szCs w:val="20"/>
        </w:rPr>
        <w:t xml:space="preserve"> </w:t>
      </w:r>
    </w:p>
    <w:p w14:paraId="04BB1C55" w14:textId="77777777" w:rsidR="00E239E3" w:rsidRPr="00E239E3" w:rsidRDefault="00E239E3" w:rsidP="00E239E3">
      <w:pPr>
        <w:rPr>
          <w:sz w:val="20"/>
          <w:szCs w:val="20"/>
        </w:rPr>
      </w:pPr>
    </w:p>
    <w:p w14:paraId="193A88BA" w14:textId="77777777" w:rsidR="00E239E3" w:rsidRPr="00E239E3" w:rsidRDefault="00E239E3" w:rsidP="00E239E3">
      <w:pPr>
        <w:rPr>
          <w:sz w:val="20"/>
          <w:szCs w:val="20"/>
        </w:rPr>
      </w:pPr>
      <w:r w:rsidRPr="00E239E3">
        <w:rPr>
          <w:i/>
          <w:sz w:val="20"/>
          <w:szCs w:val="20"/>
        </w:rPr>
        <w:t>Period-to-Period Comparisons</w:t>
      </w:r>
    </w:p>
    <w:p w14:paraId="759C029C" w14:textId="77777777" w:rsidR="00E239E3" w:rsidRPr="00E239E3" w:rsidRDefault="00E239E3" w:rsidP="00E239E3">
      <w:pPr>
        <w:rPr>
          <w:sz w:val="20"/>
          <w:szCs w:val="20"/>
        </w:rPr>
      </w:pPr>
    </w:p>
    <w:p w14:paraId="7D1D1FF7" w14:textId="77777777" w:rsidR="00E239E3" w:rsidRPr="00E239E3" w:rsidRDefault="00E239E3" w:rsidP="00E239E3">
      <w:pPr>
        <w:rPr>
          <w:sz w:val="20"/>
          <w:szCs w:val="20"/>
        </w:rPr>
      </w:pPr>
      <w:r w:rsidRPr="00E239E3">
        <w:rPr>
          <w:sz w:val="20"/>
          <w:szCs w:val="20"/>
        </w:rPr>
        <w:t xml:space="preserve">Our operating results are expected to fluctuate for the foreseeable future. Therefore, period-to-period comparisons should not be relied upon as predictive of the results for future periods. </w:t>
      </w:r>
    </w:p>
    <w:p w14:paraId="61604C53" w14:textId="77777777" w:rsidR="00E239E3" w:rsidRPr="00E239E3" w:rsidRDefault="00E239E3" w:rsidP="00E239E3">
      <w:pPr>
        <w:rPr>
          <w:i/>
          <w:sz w:val="20"/>
          <w:szCs w:val="20"/>
        </w:rPr>
      </w:pPr>
    </w:p>
    <w:p w14:paraId="465D0742" w14:textId="77777777" w:rsidR="00E239E3" w:rsidRPr="00E239E3" w:rsidRDefault="00E239E3" w:rsidP="00E239E3">
      <w:pPr>
        <w:rPr>
          <w:sz w:val="20"/>
          <w:szCs w:val="20"/>
        </w:rPr>
      </w:pPr>
      <w:r w:rsidRPr="00E239E3">
        <w:rPr>
          <w:i/>
          <w:sz w:val="20"/>
          <w:szCs w:val="20"/>
        </w:rPr>
        <w:t>Income Taxes</w:t>
      </w:r>
    </w:p>
    <w:p w14:paraId="79EC5985" w14:textId="77777777" w:rsidR="00E239E3" w:rsidRPr="00E239E3" w:rsidRDefault="00E239E3" w:rsidP="00E239E3">
      <w:pPr>
        <w:rPr>
          <w:sz w:val="20"/>
          <w:szCs w:val="20"/>
        </w:rPr>
      </w:pPr>
    </w:p>
    <w:p w14:paraId="7B334EC1" w14:textId="77777777" w:rsidR="00E239E3" w:rsidRPr="00E239E3" w:rsidRDefault="00E239E3" w:rsidP="00E239E3">
      <w:pPr>
        <w:rPr>
          <w:sz w:val="20"/>
          <w:szCs w:val="20"/>
        </w:rPr>
      </w:pPr>
      <w:r w:rsidRPr="00E239E3">
        <w:rPr>
          <w:sz w:val="20"/>
          <w:szCs w:val="20"/>
        </w:rPr>
        <w:t>We account for income taxes using the liability method. Under this method, deferred tax assets and liabilities are recognized for the estimated future tax consequences attributable to differences between the financial statement carrying amounts of existing assets and liabilities and their respective tax bases. Deferred tax assets and liabilities are measured using enacted rates in effect for the year in which temporary differences are expected to be recovered or settled. Deferred tax assets are reduced by a valuation allowance unless, in the opinion of management, it is more likely than not that some portion or all of the deferred tax assets will be realized.</w:t>
      </w:r>
    </w:p>
    <w:p w14:paraId="7A6143A9" w14:textId="77777777" w:rsidR="00E239E3" w:rsidRPr="00E239E3" w:rsidRDefault="00E239E3" w:rsidP="00E239E3">
      <w:pPr>
        <w:rPr>
          <w:sz w:val="20"/>
          <w:szCs w:val="20"/>
        </w:rPr>
      </w:pPr>
    </w:p>
    <w:p w14:paraId="006DACD9" w14:textId="77777777" w:rsidR="00E239E3" w:rsidRPr="00E239E3" w:rsidRDefault="00E239E3" w:rsidP="00E239E3">
      <w:pPr>
        <w:rPr>
          <w:sz w:val="20"/>
          <w:szCs w:val="20"/>
        </w:rPr>
      </w:pPr>
      <w:r w:rsidRPr="00E239E3">
        <w:rPr>
          <w:i/>
          <w:sz w:val="20"/>
          <w:szCs w:val="20"/>
        </w:rPr>
        <w:t>Stock-Based Compensation</w:t>
      </w:r>
    </w:p>
    <w:p w14:paraId="0A8CBD74" w14:textId="77777777" w:rsidR="00E239E3" w:rsidRPr="00E239E3" w:rsidRDefault="00E239E3" w:rsidP="00E239E3">
      <w:pPr>
        <w:rPr>
          <w:sz w:val="20"/>
          <w:szCs w:val="20"/>
        </w:rPr>
      </w:pPr>
    </w:p>
    <w:p w14:paraId="544CBC98" w14:textId="77777777" w:rsidR="00E239E3" w:rsidRPr="00E239E3" w:rsidRDefault="00E239E3" w:rsidP="00E239E3">
      <w:pPr>
        <w:rPr>
          <w:sz w:val="20"/>
          <w:szCs w:val="20"/>
        </w:rPr>
      </w:pPr>
      <w:r w:rsidRPr="00E239E3">
        <w:rPr>
          <w:sz w:val="20"/>
          <w:szCs w:val="20"/>
        </w:rPr>
        <w:t xml:space="preserve">We account for stock-based transactions in which the Company receives services from employees, directors or others in exchange for equity instruments based on the fair value of the award at the grant date. Stock-based compensation cost for awards of common stock is estimated based on the price of the underlying common stock on the date of issuance. Stock-based compensation cost for stock options or warrants is estimated at the grant date based on each instrument’s fair value as calculated by the Black-Scholes option pricing model. We recognize stock-based compensation cost as expense ratably on a straight-line basis over the requisite service period for the award.  See Note 7 for additional stock-based compensation information. </w:t>
      </w:r>
    </w:p>
    <w:p w14:paraId="1EEBF411" w14:textId="77777777" w:rsidR="00E239E3" w:rsidRPr="00E239E3" w:rsidRDefault="00E239E3" w:rsidP="00E239E3">
      <w:pPr>
        <w:rPr>
          <w:i/>
          <w:sz w:val="20"/>
          <w:szCs w:val="20"/>
        </w:rPr>
      </w:pPr>
    </w:p>
    <w:p w14:paraId="5CFEEE11" w14:textId="77777777" w:rsidR="00E239E3" w:rsidRPr="00E239E3" w:rsidRDefault="00E239E3" w:rsidP="00E239E3">
      <w:pPr>
        <w:rPr>
          <w:sz w:val="20"/>
          <w:szCs w:val="20"/>
        </w:rPr>
      </w:pPr>
      <w:r w:rsidRPr="00E239E3">
        <w:rPr>
          <w:i/>
          <w:sz w:val="20"/>
          <w:szCs w:val="20"/>
        </w:rPr>
        <w:t>Other Recent Accounting Pronouncements</w:t>
      </w:r>
    </w:p>
    <w:p w14:paraId="3AFFDD5D" w14:textId="77777777" w:rsidR="00E239E3" w:rsidRPr="00E239E3" w:rsidRDefault="00E239E3" w:rsidP="00E239E3">
      <w:pPr>
        <w:rPr>
          <w:sz w:val="20"/>
          <w:szCs w:val="20"/>
        </w:rPr>
      </w:pPr>
    </w:p>
    <w:p w14:paraId="04DC14CD" w14:textId="77777777" w:rsidR="00E239E3" w:rsidRPr="00E239E3" w:rsidRDefault="00E239E3" w:rsidP="00E239E3">
      <w:pPr>
        <w:rPr>
          <w:sz w:val="20"/>
          <w:szCs w:val="20"/>
        </w:rPr>
      </w:pPr>
      <w:r w:rsidRPr="00E239E3">
        <w:rPr>
          <w:sz w:val="20"/>
          <w:szCs w:val="20"/>
        </w:rPr>
        <w:t xml:space="preserve">Except as discussed above, there have been no recent accounting pronouncements or changes in accounting pronouncements which we expect to have a material impact on our financial statements, nor do we believe that any recently issued, but not yet effective, accounting standards if currently adopted would have a material effect on our financial statements. </w:t>
      </w:r>
    </w:p>
    <w:p w14:paraId="0A16B20D" w14:textId="77777777" w:rsidR="00E239E3" w:rsidRPr="00E239E3" w:rsidRDefault="00E239E3" w:rsidP="00E239E3">
      <w:pPr>
        <w:rPr>
          <w:sz w:val="20"/>
          <w:szCs w:val="20"/>
        </w:rPr>
      </w:pPr>
    </w:p>
    <w:p w14:paraId="00B1F39A" w14:textId="77777777" w:rsidR="00665276" w:rsidRDefault="00665276">
      <w:pPr>
        <w:rPr>
          <w:b/>
          <w:sz w:val="20"/>
          <w:szCs w:val="20"/>
        </w:rPr>
      </w:pPr>
      <w:r>
        <w:rPr>
          <w:b/>
          <w:sz w:val="20"/>
          <w:szCs w:val="20"/>
        </w:rPr>
        <w:br w:type="page"/>
      </w:r>
    </w:p>
    <w:p w14:paraId="23B94B55" w14:textId="440B4DBC" w:rsidR="00E239E3" w:rsidRPr="00E239E3" w:rsidRDefault="00E239E3" w:rsidP="00E239E3">
      <w:pPr>
        <w:rPr>
          <w:b/>
          <w:sz w:val="20"/>
          <w:szCs w:val="20"/>
        </w:rPr>
      </w:pPr>
      <w:r w:rsidRPr="00E239E3">
        <w:rPr>
          <w:b/>
          <w:sz w:val="20"/>
          <w:szCs w:val="20"/>
        </w:rPr>
        <w:lastRenderedPageBreak/>
        <w:t>3.</w:t>
      </w:r>
      <w:r w:rsidRPr="00E239E3">
        <w:rPr>
          <w:b/>
          <w:sz w:val="20"/>
          <w:szCs w:val="20"/>
        </w:rPr>
        <w:tab/>
        <w:t>Property and Equipment</w:t>
      </w:r>
    </w:p>
    <w:p w14:paraId="168BAE9C" w14:textId="77777777" w:rsidR="00E239E3" w:rsidRPr="00E239E3" w:rsidRDefault="00E239E3" w:rsidP="00E239E3">
      <w:pPr>
        <w:rPr>
          <w:sz w:val="20"/>
          <w:szCs w:val="20"/>
        </w:rPr>
      </w:pPr>
    </w:p>
    <w:p w14:paraId="07B64907" w14:textId="77777777" w:rsidR="00E239E3" w:rsidRPr="00E239E3" w:rsidRDefault="00E239E3" w:rsidP="00E239E3">
      <w:pPr>
        <w:rPr>
          <w:sz w:val="20"/>
          <w:szCs w:val="20"/>
        </w:rPr>
      </w:pPr>
      <w:r w:rsidRPr="00E239E3">
        <w:rPr>
          <w:sz w:val="20"/>
          <w:szCs w:val="20"/>
        </w:rPr>
        <w:t>Property and equipment as shown on the accompanying Consolidated Balance Sheets is composed of the following as of December 31, 2021 and 2020:</w:t>
      </w:r>
    </w:p>
    <w:p w14:paraId="771C476A" w14:textId="77777777" w:rsidR="00E239E3" w:rsidRPr="00E239E3" w:rsidRDefault="00E239E3" w:rsidP="00E239E3">
      <w:pPr>
        <w:rPr>
          <w:sz w:val="20"/>
          <w:szCs w:val="20"/>
        </w:rPr>
      </w:pPr>
    </w:p>
    <w:tbl>
      <w:tblPr>
        <w:tblW w:w="0" w:type="auto"/>
        <w:tblInd w:w="198" w:type="dxa"/>
        <w:tblLook w:val="04A0" w:firstRow="1" w:lastRow="0" w:firstColumn="1" w:lastColumn="0" w:noHBand="0" w:noVBand="1"/>
      </w:tblPr>
      <w:tblGrid>
        <w:gridCol w:w="5549"/>
        <w:gridCol w:w="1817"/>
        <w:gridCol w:w="1796"/>
      </w:tblGrid>
      <w:tr w:rsidR="00E239E3" w:rsidRPr="00E239E3" w14:paraId="09F56A5F" w14:textId="77777777" w:rsidTr="004F5282">
        <w:tc>
          <w:tcPr>
            <w:tcW w:w="6056" w:type="dxa"/>
          </w:tcPr>
          <w:p w14:paraId="12EC9E5A" w14:textId="77777777" w:rsidR="00E239E3" w:rsidRPr="00E239E3" w:rsidRDefault="00E239E3" w:rsidP="00E239E3">
            <w:pPr>
              <w:rPr>
                <w:sz w:val="20"/>
                <w:szCs w:val="20"/>
              </w:rPr>
            </w:pPr>
          </w:p>
        </w:tc>
        <w:tc>
          <w:tcPr>
            <w:tcW w:w="1842" w:type="dxa"/>
            <w:tcBorders>
              <w:bottom w:val="single" w:sz="4" w:space="0" w:color="auto"/>
            </w:tcBorders>
          </w:tcPr>
          <w:p w14:paraId="1A83AB74" w14:textId="77777777" w:rsidR="00E239E3" w:rsidRPr="00E239E3" w:rsidRDefault="00E239E3" w:rsidP="00E239E3">
            <w:pPr>
              <w:jc w:val="center"/>
              <w:rPr>
                <w:sz w:val="20"/>
                <w:szCs w:val="20"/>
              </w:rPr>
            </w:pPr>
            <w:r w:rsidRPr="00E239E3">
              <w:rPr>
                <w:sz w:val="20"/>
                <w:szCs w:val="20"/>
              </w:rPr>
              <w:t>2021</w:t>
            </w:r>
          </w:p>
        </w:tc>
        <w:tc>
          <w:tcPr>
            <w:tcW w:w="1840" w:type="dxa"/>
            <w:tcBorders>
              <w:bottom w:val="single" w:sz="4" w:space="0" w:color="auto"/>
            </w:tcBorders>
          </w:tcPr>
          <w:p w14:paraId="485542ED" w14:textId="77777777" w:rsidR="00E239E3" w:rsidRPr="00E239E3" w:rsidRDefault="00E239E3" w:rsidP="00E239E3">
            <w:pPr>
              <w:jc w:val="center"/>
              <w:rPr>
                <w:sz w:val="20"/>
                <w:szCs w:val="20"/>
              </w:rPr>
            </w:pPr>
            <w:r w:rsidRPr="00E239E3">
              <w:rPr>
                <w:sz w:val="20"/>
                <w:szCs w:val="20"/>
              </w:rPr>
              <w:t>2020</w:t>
            </w:r>
          </w:p>
        </w:tc>
      </w:tr>
      <w:tr w:rsidR="00E239E3" w:rsidRPr="00E239E3" w14:paraId="4C919E68" w14:textId="77777777" w:rsidTr="004F5282">
        <w:tc>
          <w:tcPr>
            <w:tcW w:w="6056" w:type="dxa"/>
          </w:tcPr>
          <w:p w14:paraId="26FE840C" w14:textId="77777777" w:rsidR="00E239E3" w:rsidRPr="00E239E3" w:rsidRDefault="00E239E3" w:rsidP="00E239E3">
            <w:pPr>
              <w:rPr>
                <w:sz w:val="20"/>
                <w:szCs w:val="20"/>
              </w:rPr>
            </w:pPr>
            <w:r w:rsidRPr="00E239E3">
              <w:rPr>
                <w:sz w:val="20"/>
                <w:szCs w:val="20"/>
              </w:rPr>
              <w:t>Equipment and furnishings</w:t>
            </w:r>
          </w:p>
        </w:tc>
        <w:tc>
          <w:tcPr>
            <w:tcW w:w="1842" w:type="dxa"/>
            <w:tcBorders>
              <w:top w:val="single" w:sz="4" w:space="0" w:color="auto"/>
            </w:tcBorders>
          </w:tcPr>
          <w:p w14:paraId="0D1C896B" w14:textId="77777777" w:rsidR="00E239E3" w:rsidRPr="00E239E3" w:rsidRDefault="00E239E3" w:rsidP="00E239E3">
            <w:pPr>
              <w:tabs>
                <w:tab w:val="decimal" w:pos="1332"/>
              </w:tabs>
              <w:rPr>
                <w:sz w:val="20"/>
                <w:szCs w:val="20"/>
              </w:rPr>
            </w:pPr>
            <w:r w:rsidRPr="00E239E3">
              <w:rPr>
                <w:sz w:val="20"/>
                <w:szCs w:val="20"/>
              </w:rPr>
              <w:t>$  591,554</w:t>
            </w:r>
          </w:p>
        </w:tc>
        <w:tc>
          <w:tcPr>
            <w:tcW w:w="1840" w:type="dxa"/>
            <w:tcBorders>
              <w:top w:val="single" w:sz="4" w:space="0" w:color="auto"/>
            </w:tcBorders>
          </w:tcPr>
          <w:p w14:paraId="1AD0852C" w14:textId="77777777" w:rsidR="00E239E3" w:rsidRPr="00E239E3" w:rsidRDefault="00E239E3" w:rsidP="00E239E3">
            <w:pPr>
              <w:tabs>
                <w:tab w:val="decimal" w:pos="1152"/>
              </w:tabs>
              <w:rPr>
                <w:sz w:val="20"/>
                <w:szCs w:val="20"/>
              </w:rPr>
            </w:pPr>
            <w:r w:rsidRPr="00E239E3">
              <w:rPr>
                <w:sz w:val="20"/>
                <w:szCs w:val="20"/>
              </w:rPr>
              <w:t>$  543,836</w:t>
            </w:r>
          </w:p>
        </w:tc>
      </w:tr>
      <w:tr w:rsidR="00E239E3" w:rsidRPr="00E239E3" w14:paraId="3F3E64A1" w14:textId="77777777" w:rsidTr="004F5282">
        <w:tc>
          <w:tcPr>
            <w:tcW w:w="6056" w:type="dxa"/>
          </w:tcPr>
          <w:p w14:paraId="0976E92E" w14:textId="77777777" w:rsidR="00E239E3" w:rsidRPr="00E239E3" w:rsidRDefault="00E239E3" w:rsidP="00E239E3">
            <w:pPr>
              <w:rPr>
                <w:sz w:val="20"/>
                <w:szCs w:val="20"/>
              </w:rPr>
            </w:pPr>
            <w:r w:rsidRPr="00E239E3">
              <w:rPr>
                <w:sz w:val="20"/>
                <w:szCs w:val="20"/>
              </w:rPr>
              <w:t>Leasehold improvements</w:t>
            </w:r>
          </w:p>
        </w:tc>
        <w:tc>
          <w:tcPr>
            <w:tcW w:w="1842" w:type="dxa"/>
          </w:tcPr>
          <w:p w14:paraId="31DC44AE" w14:textId="77777777" w:rsidR="00E239E3" w:rsidRPr="00E239E3" w:rsidRDefault="00E239E3" w:rsidP="00E239E3">
            <w:pPr>
              <w:tabs>
                <w:tab w:val="decimal" w:pos="1332"/>
              </w:tabs>
              <w:rPr>
                <w:sz w:val="20"/>
                <w:szCs w:val="20"/>
              </w:rPr>
            </w:pPr>
            <w:r w:rsidRPr="00E239E3">
              <w:rPr>
                <w:sz w:val="20"/>
                <w:szCs w:val="20"/>
              </w:rPr>
              <w:t>115,605</w:t>
            </w:r>
          </w:p>
        </w:tc>
        <w:tc>
          <w:tcPr>
            <w:tcW w:w="1840" w:type="dxa"/>
          </w:tcPr>
          <w:p w14:paraId="6A439F2D" w14:textId="77777777" w:rsidR="00E239E3" w:rsidRPr="00E239E3" w:rsidRDefault="00E239E3" w:rsidP="00E239E3">
            <w:pPr>
              <w:tabs>
                <w:tab w:val="decimal" w:pos="1152"/>
              </w:tabs>
              <w:rPr>
                <w:sz w:val="20"/>
                <w:szCs w:val="20"/>
              </w:rPr>
            </w:pPr>
            <w:r w:rsidRPr="00E239E3">
              <w:rPr>
                <w:sz w:val="20"/>
                <w:szCs w:val="20"/>
              </w:rPr>
              <w:t>115,605</w:t>
            </w:r>
          </w:p>
        </w:tc>
      </w:tr>
      <w:tr w:rsidR="00E239E3" w:rsidRPr="00E239E3" w14:paraId="1A171162" w14:textId="77777777" w:rsidTr="004F5282">
        <w:tc>
          <w:tcPr>
            <w:tcW w:w="6056" w:type="dxa"/>
          </w:tcPr>
          <w:p w14:paraId="57A741D0" w14:textId="77777777" w:rsidR="00E239E3" w:rsidRPr="00E239E3" w:rsidRDefault="00E239E3" w:rsidP="00E239E3">
            <w:pPr>
              <w:rPr>
                <w:sz w:val="20"/>
                <w:szCs w:val="20"/>
              </w:rPr>
            </w:pPr>
            <w:r w:rsidRPr="00E239E3">
              <w:rPr>
                <w:sz w:val="20"/>
                <w:szCs w:val="20"/>
              </w:rPr>
              <w:t>Total property and equipment</w:t>
            </w:r>
          </w:p>
        </w:tc>
        <w:tc>
          <w:tcPr>
            <w:tcW w:w="1842" w:type="dxa"/>
            <w:tcBorders>
              <w:top w:val="single" w:sz="4" w:space="0" w:color="auto"/>
            </w:tcBorders>
          </w:tcPr>
          <w:p w14:paraId="4694B3C9" w14:textId="77777777" w:rsidR="00E239E3" w:rsidRPr="00E239E3" w:rsidRDefault="00E239E3" w:rsidP="00E239E3">
            <w:pPr>
              <w:tabs>
                <w:tab w:val="decimal" w:pos="1332"/>
              </w:tabs>
              <w:rPr>
                <w:sz w:val="20"/>
                <w:szCs w:val="20"/>
              </w:rPr>
            </w:pPr>
            <w:r w:rsidRPr="00E239E3">
              <w:rPr>
                <w:sz w:val="20"/>
                <w:szCs w:val="20"/>
              </w:rPr>
              <w:t>707,159</w:t>
            </w:r>
          </w:p>
        </w:tc>
        <w:tc>
          <w:tcPr>
            <w:tcW w:w="1840" w:type="dxa"/>
            <w:tcBorders>
              <w:top w:val="single" w:sz="4" w:space="0" w:color="auto"/>
            </w:tcBorders>
          </w:tcPr>
          <w:p w14:paraId="51C1FD16" w14:textId="77777777" w:rsidR="00E239E3" w:rsidRPr="00E239E3" w:rsidRDefault="00E239E3" w:rsidP="00E239E3">
            <w:pPr>
              <w:tabs>
                <w:tab w:val="decimal" w:pos="1152"/>
              </w:tabs>
              <w:rPr>
                <w:sz w:val="20"/>
                <w:szCs w:val="20"/>
              </w:rPr>
            </w:pPr>
            <w:r w:rsidRPr="00E239E3">
              <w:rPr>
                <w:sz w:val="20"/>
                <w:szCs w:val="20"/>
              </w:rPr>
              <w:t>659,441</w:t>
            </w:r>
          </w:p>
        </w:tc>
      </w:tr>
      <w:tr w:rsidR="00E239E3" w:rsidRPr="00E239E3" w14:paraId="529BCF24" w14:textId="77777777" w:rsidTr="004F5282">
        <w:tc>
          <w:tcPr>
            <w:tcW w:w="6056" w:type="dxa"/>
          </w:tcPr>
          <w:p w14:paraId="02028EA8" w14:textId="77777777" w:rsidR="00E239E3" w:rsidRPr="00E239E3" w:rsidRDefault="00E239E3" w:rsidP="00E239E3">
            <w:pPr>
              <w:rPr>
                <w:sz w:val="20"/>
                <w:szCs w:val="20"/>
              </w:rPr>
            </w:pPr>
            <w:r w:rsidRPr="00E239E3">
              <w:rPr>
                <w:sz w:val="20"/>
                <w:szCs w:val="20"/>
              </w:rPr>
              <w:t>Accumulated depreciation and amortization</w:t>
            </w:r>
          </w:p>
        </w:tc>
        <w:tc>
          <w:tcPr>
            <w:tcW w:w="1842" w:type="dxa"/>
            <w:tcBorders>
              <w:bottom w:val="single" w:sz="4" w:space="0" w:color="auto"/>
            </w:tcBorders>
          </w:tcPr>
          <w:p w14:paraId="37278365" w14:textId="77777777" w:rsidR="00E239E3" w:rsidRPr="00E239E3" w:rsidRDefault="00E239E3" w:rsidP="00E239E3">
            <w:pPr>
              <w:tabs>
                <w:tab w:val="decimal" w:pos="1332"/>
              </w:tabs>
              <w:rPr>
                <w:sz w:val="20"/>
                <w:szCs w:val="20"/>
              </w:rPr>
            </w:pPr>
            <w:r w:rsidRPr="00E239E3">
              <w:rPr>
                <w:sz w:val="20"/>
                <w:szCs w:val="20"/>
              </w:rPr>
              <w:t>(550,221)</w:t>
            </w:r>
          </w:p>
        </w:tc>
        <w:tc>
          <w:tcPr>
            <w:tcW w:w="1840" w:type="dxa"/>
            <w:tcBorders>
              <w:bottom w:val="single" w:sz="4" w:space="0" w:color="auto"/>
            </w:tcBorders>
          </w:tcPr>
          <w:p w14:paraId="01E894A9" w14:textId="77777777" w:rsidR="00E239E3" w:rsidRPr="00E239E3" w:rsidRDefault="00E239E3" w:rsidP="00E239E3">
            <w:pPr>
              <w:tabs>
                <w:tab w:val="decimal" w:pos="1152"/>
              </w:tabs>
              <w:rPr>
                <w:sz w:val="20"/>
                <w:szCs w:val="20"/>
              </w:rPr>
            </w:pPr>
            <w:r w:rsidRPr="00E239E3">
              <w:rPr>
                <w:sz w:val="20"/>
                <w:szCs w:val="20"/>
              </w:rPr>
              <w:t>(511,700)</w:t>
            </w:r>
          </w:p>
        </w:tc>
      </w:tr>
      <w:tr w:rsidR="00E239E3" w:rsidRPr="00E239E3" w14:paraId="2BC59839" w14:textId="77777777" w:rsidTr="004F5282">
        <w:tc>
          <w:tcPr>
            <w:tcW w:w="6056" w:type="dxa"/>
          </w:tcPr>
          <w:p w14:paraId="3E667751" w14:textId="77777777" w:rsidR="00E239E3" w:rsidRPr="00E239E3" w:rsidRDefault="00E239E3" w:rsidP="00E239E3">
            <w:pPr>
              <w:rPr>
                <w:sz w:val="20"/>
                <w:szCs w:val="20"/>
              </w:rPr>
            </w:pPr>
            <w:r w:rsidRPr="00E239E3">
              <w:rPr>
                <w:sz w:val="20"/>
                <w:szCs w:val="20"/>
              </w:rPr>
              <w:t>Property and equipment, net</w:t>
            </w:r>
          </w:p>
        </w:tc>
        <w:tc>
          <w:tcPr>
            <w:tcW w:w="1842" w:type="dxa"/>
            <w:tcBorders>
              <w:top w:val="single" w:sz="4" w:space="0" w:color="auto"/>
              <w:bottom w:val="double" w:sz="4" w:space="0" w:color="auto"/>
            </w:tcBorders>
          </w:tcPr>
          <w:p w14:paraId="7BFC23BB" w14:textId="77777777" w:rsidR="00E239E3" w:rsidRPr="00E239E3" w:rsidRDefault="00E239E3" w:rsidP="00E239E3">
            <w:pPr>
              <w:tabs>
                <w:tab w:val="decimal" w:pos="1332"/>
              </w:tabs>
              <w:rPr>
                <w:sz w:val="20"/>
                <w:szCs w:val="20"/>
              </w:rPr>
            </w:pPr>
            <w:r w:rsidRPr="00E239E3">
              <w:rPr>
                <w:sz w:val="20"/>
                <w:szCs w:val="20"/>
              </w:rPr>
              <w:t>$  156,938</w:t>
            </w:r>
          </w:p>
        </w:tc>
        <w:tc>
          <w:tcPr>
            <w:tcW w:w="1840" w:type="dxa"/>
            <w:tcBorders>
              <w:top w:val="single" w:sz="4" w:space="0" w:color="auto"/>
              <w:bottom w:val="double" w:sz="4" w:space="0" w:color="auto"/>
            </w:tcBorders>
          </w:tcPr>
          <w:p w14:paraId="12F3BDD0" w14:textId="77777777" w:rsidR="00E239E3" w:rsidRPr="00E239E3" w:rsidRDefault="00E239E3" w:rsidP="00E239E3">
            <w:pPr>
              <w:tabs>
                <w:tab w:val="decimal" w:pos="1152"/>
              </w:tabs>
              <w:rPr>
                <w:sz w:val="20"/>
                <w:szCs w:val="20"/>
              </w:rPr>
            </w:pPr>
            <w:r w:rsidRPr="00E239E3">
              <w:rPr>
                <w:sz w:val="20"/>
                <w:szCs w:val="20"/>
              </w:rPr>
              <w:t>$    147,741</w:t>
            </w:r>
          </w:p>
        </w:tc>
      </w:tr>
    </w:tbl>
    <w:p w14:paraId="566D9D5F" w14:textId="77777777" w:rsidR="00E239E3" w:rsidRPr="00E239E3" w:rsidRDefault="00E239E3" w:rsidP="00E239E3">
      <w:pPr>
        <w:rPr>
          <w:sz w:val="20"/>
          <w:szCs w:val="20"/>
        </w:rPr>
      </w:pPr>
    </w:p>
    <w:p w14:paraId="463B171C" w14:textId="77777777" w:rsidR="00E239E3" w:rsidRPr="00E239E3" w:rsidRDefault="00E239E3" w:rsidP="00E239E3">
      <w:pPr>
        <w:rPr>
          <w:sz w:val="20"/>
          <w:szCs w:val="20"/>
        </w:rPr>
      </w:pPr>
      <w:r w:rsidRPr="00E239E3">
        <w:rPr>
          <w:sz w:val="20"/>
          <w:szCs w:val="20"/>
        </w:rPr>
        <w:t>Depreciation expense was $38,521 and $19,656 during the years ended December 31, 2021 and 2020, respectively.</w:t>
      </w:r>
    </w:p>
    <w:p w14:paraId="63F25F97" w14:textId="77777777" w:rsidR="00E239E3" w:rsidRPr="00E239E3" w:rsidRDefault="00E239E3" w:rsidP="00E239E3">
      <w:pPr>
        <w:rPr>
          <w:sz w:val="20"/>
          <w:szCs w:val="20"/>
        </w:rPr>
      </w:pPr>
    </w:p>
    <w:p w14:paraId="0A36B20F" w14:textId="77777777" w:rsidR="00E239E3" w:rsidRPr="00E239E3" w:rsidRDefault="00E239E3" w:rsidP="00E239E3">
      <w:pPr>
        <w:rPr>
          <w:b/>
          <w:sz w:val="20"/>
          <w:szCs w:val="20"/>
        </w:rPr>
      </w:pPr>
      <w:r w:rsidRPr="00E239E3">
        <w:rPr>
          <w:b/>
          <w:sz w:val="20"/>
          <w:szCs w:val="20"/>
        </w:rPr>
        <w:t>4.</w:t>
      </w:r>
      <w:r w:rsidRPr="00E239E3">
        <w:rPr>
          <w:b/>
          <w:sz w:val="20"/>
          <w:szCs w:val="20"/>
        </w:rPr>
        <w:tab/>
        <w:t>Accrued Expenses</w:t>
      </w:r>
    </w:p>
    <w:p w14:paraId="6F599295" w14:textId="77777777" w:rsidR="00E239E3" w:rsidRPr="00E239E3" w:rsidRDefault="00E239E3" w:rsidP="00E239E3">
      <w:pPr>
        <w:rPr>
          <w:sz w:val="20"/>
          <w:szCs w:val="20"/>
        </w:rPr>
      </w:pPr>
    </w:p>
    <w:p w14:paraId="5A59539D" w14:textId="77777777" w:rsidR="00E239E3" w:rsidRPr="00E239E3" w:rsidRDefault="00E239E3" w:rsidP="00E239E3">
      <w:pPr>
        <w:rPr>
          <w:sz w:val="20"/>
          <w:szCs w:val="20"/>
        </w:rPr>
      </w:pPr>
      <w:r w:rsidRPr="00E239E3">
        <w:rPr>
          <w:sz w:val="20"/>
          <w:szCs w:val="20"/>
        </w:rPr>
        <w:t>Accrued expenses as shown on the accompanying Consolidated Balance Sheets is composed of the following as of December 31, 2021 and 2020:</w:t>
      </w:r>
    </w:p>
    <w:tbl>
      <w:tblPr>
        <w:tblW w:w="0" w:type="auto"/>
        <w:tblInd w:w="198" w:type="dxa"/>
        <w:tblLook w:val="04A0" w:firstRow="1" w:lastRow="0" w:firstColumn="1" w:lastColumn="0" w:noHBand="0" w:noVBand="1"/>
      </w:tblPr>
      <w:tblGrid>
        <w:gridCol w:w="5569"/>
        <w:gridCol w:w="1799"/>
        <w:gridCol w:w="1794"/>
      </w:tblGrid>
      <w:tr w:rsidR="00E239E3" w:rsidRPr="00E239E3" w14:paraId="11863754" w14:textId="77777777" w:rsidTr="004F5282">
        <w:tc>
          <w:tcPr>
            <w:tcW w:w="6055" w:type="dxa"/>
          </w:tcPr>
          <w:p w14:paraId="2FE9A70C" w14:textId="77777777" w:rsidR="00E239E3" w:rsidRPr="00E239E3" w:rsidRDefault="00E239E3" w:rsidP="00E239E3">
            <w:pPr>
              <w:rPr>
                <w:sz w:val="20"/>
                <w:szCs w:val="20"/>
              </w:rPr>
            </w:pPr>
          </w:p>
        </w:tc>
        <w:tc>
          <w:tcPr>
            <w:tcW w:w="1842" w:type="dxa"/>
            <w:tcBorders>
              <w:bottom w:val="single" w:sz="4" w:space="0" w:color="auto"/>
            </w:tcBorders>
          </w:tcPr>
          <w:p w14:paraId="31BA3840" w14:textId="77777777" w:rsidR="00E239E3" w:rsidRPr="00E239E3" w:rsidRDefault="00E239E3" w:rsidP="00E239E3">
            <w:pPr>
              <w:jc w:val="center"/>
              <w:rPr>
                <w:sz w:val="20"/>
                <w:szCs w:val="20"/>
              </w:rPr>
            </w:pPr>
            <w:r w:rsidRPr="00E239E3">
              <w:rPr>
                <w:sz w:val="20"/>
                <w:szCs w:val="20"/>
              </w:rPr>
              <w:t>2021</w:t>
            </w:r>
          </w:p>
        </w:tc>
        <w:tc>
          <w:tcPr>
            <w:tcW w:w="1841" w:type="dxa"/>
            <w:tcBorders>
              <w:bottom w:val="single" w:sz="4" w:space="0" w:color="auto"/>
            </w:tcBorders>
          </w:tcPr>
          <w:p w14:paraId="500CAE44" w14:textId="77777777" w:rsidR="00E239E3" w:rsidRPr="00E239E3" w:rsidRDefault="00E239E3" w:rsidP="00E239E3">
            <w:pPr>
              <w:jc w:val="center"/>
              <w:rPr>
                <w:sz w:val="20"/>
                <w:szCs w:val="20"/>
              </w:rPr>
            </w:pPr>
            <w:r w:rsidRPr="00E239E3">
              <w:rPr>
                <w:sz w:val="20"/>
                <w:szCs w:val="20"/>
              </w:rPr>
              <w:t>2020</w:t>
            </w:r>
          </w:p>
        </w:tc>
      </w:tr>
      <w:tr w:rsidR="00E239E3" w:rsidRPr="00E239E3" w14:paraId="227F72CB" w14:textId="77777777" w:rsidTr="004F5282">
        <w:tc>
          <w:tcPr>
            <w:tcW w:w="6055" w:type="dxa"/>
          </w:tcPr>
          <w:p w14:paraId="65055613" w14:textId="77777777" w:rsidR="00E239E3" w:rsidRPr="00E239E3" w:rsidRDefault="00E239E3" w:rsidP="00E239E3">
            <w:pPr>
              <w:ind w:left="162"/>
              <w:rPr>
                <w:sz w:val="20"/>
                <w:szCs w:val="20"/>
              </w:rPr>
            </w:pPr>
            <w:r w:rsidRPr="00E239E3">
              <w:rPr>
                <w:sz w:val="20"/>
                <w:szCs w:val="20"/>
              </w:rPr>
              <w:t>Accrued license fees – current</w:t>
            </w:r>
          </w:p>
        </w:tc>
        <w:tc>
          <w:tcPr>
            <w:tcW w:w="1842" w:type="dxa"/>
          </w:tcPr>
          <w:p w14:paraId="18C3F876" w14:textId="77777777" w:rsidR="00E239E3" w:rsidRPr="00E239E3" w:rsidRDefault="00E239E3" w:rsidP="00E239E3">
            <w:pPr>
              <w:tabs>
                <w:tab w:val="decimal" w:pos="1199"/>
              </w:tabs>
              <w:rPr>
                <w:sz w:val="20"/>
                <w:szCs w:val="20"/>
              </w:rPr>
            </w:pPr>
            <w:r w:rsidRPr="00E239E3">
              <w:rPr>
                <w:sz w:val="20"/>
                <w:szCs w:val="20"/>
              </w:rPr>
              <w:t>$3,000,000</w:t>
            </w:r>
          </w:p>
        </w:tc>
        <w:tc>
          <w:tcPr>
            <w:tcW w:w="1841" w:type="dxa"/>
          </w:tcPr>
          <w:p w14:paraId="311F8D60" w14:textId="77777777" w:rsidR="00E239E3" w:rsidRPr="00E239E3" w:rsidRDefault="00E239E3" w:rsidP="00E239E3">
            <w:pPr>
              <w:tabs>
                <w:tab w:val="decimal" w:pos="1157"/>
              </w:tabs>
              <w:rPr>
                <w:sz w:val="20"/>
                <w:szCs w:val="20"/>
              </w:rPr>
            </w:pPr>
            <w:r w:rsidRPr="00E239E3">
              <w:rPr>
                <w:sz w:val="20"/>
                <w:szCs w:val="20"/>
              </w:rPr>
              <w:t>$           -</w:t>
            </w:r>
          </w:p>
        </w:tc>
      </w:tr>
      <w:tr w:rsidR="00E239E3" w:rsidRPr="00E239E3" w14:paraId="4A9F3AB6" w14:textId="77777777" w:rsidTr="004F5282">
        <w:tc>
          <w:tcPr>
            <w:tcW w:w="6055" w:type="dxa"/>
          </w:tcPr>
          <w:p w14:paraId="0E63A433" w14:textId="77777777" w:rsidR="00E239E3" w:rsidRPr="00E239E3" w:rsidRDefault="00E239E3" w:rsidP="00E239E3">
            <w:pPr>
              <w:ind w:left="162"/>
              <w:rPr>
                <w:sz w:val="20"/>
                <w:szCs w:val="20"/>
              </w:rPr>
            </w:pPr>
            <w:r w:rsidRPr="00E239E3">
              <w:rPr>
                <w:sz w:val="20"/>
                <w:szCs w:val="20"/>
              </w:rPr>
              <w:t>Accrued license fees – noncurrent</w:t>
            </w:r>
          </w:p>
        </w:tc>
        <w:tc>
          <w:tcPr>
            <w:tcW w:w="1842" w:type="dxa"/>
          </w:tcPr>
          <w:p w14:paraId="1F9EF2D3" w14:textId="77777777" w:rsidR="00E239E3" w:rsidRPr="00E239E3" w:rsidRDefault="00E239E3" w:rsidP="00E239E3">
            <w:pPr>
              <w:tabs>
                <w:tab w:val="decimal" w:pos="1199"/>
              </w:tabs>
              <w:rPr>
                <w:sz w:val="20"/>
                <w:szCs w:val="20"/>
              </w:rPr>
            </w:pPr>
            <w:r w:rsidRPr="00E239E3">
              <w:rPr>
                <w:sz w:val="20"/>
                <w:szCs w:val="20"/>
              </w:rPr>
              <w:t>2,000,000</w:t>
            </w:r>
          </w:p>
        </w:tc>
        <w:tc>
          <w:tcPr>
            <w:tcW w:w="1841" w:type="dxa"/>
          </w:tcPr>
          <w:p w14:paraId="2FD64845" w14:textId="77777777" w:rsidR="00E239E3" w:rsidRPr="00E239E3" w:rsidRDefault="00E239E3" w:rsidP="00E239E3">
            <w:pPr>
              <w:tabs>
                <w:tab w:val="decimal" w:pos="1157"/>
              </w:tabs>
              <w:rPr>
                <w:sz w:val="20"/>
                <w:szCs w:val="20"/>
              </w:rPr>
            </w:pPr>
            <w:r w:rsidRPr="00E239E3">
              <w:rPr>
                <w:sz w:val="20"/>
                <w:szCs w:val="20"/>
              </w:rPr>
              <w:t>-</w:t>
            </w:r>
          </w:p>
        </w:tc>
      </w:tr>
      <w:tr w:rsidR="00E239E3" w:rsidRPr="00E239E3" w14:paraId="0AFE3267" w14:textId="77777777" w:rsidTr="004F5282">
        <w:tc>
          <w:tcPr>
            <w:tcW w:w="6055" w:type="dxa"/>
          </w:tcPr>
          <w:p w14:paraId="599C2212" w14:textId="77777777" w:rsidR="00E239E3" w:rsidRPr="00E239E3" w:rsidRDefault="00E239E3" w:rsidP="00E239E3">
            <w:pPr>
              <w:ind w:left="162"/>
              <w:rPr>
                <w:sz w:val="20"/>
                <w:szCs w:val="20"/>
              </w:rPr>
            </w:pPr>
            <w:r w:rsidRPr="00E239E3">
              <w:rPr>
                <w:sz w:val="20"/>
                <w:szCs w:val="20"/>
              </w:rPr>
              <w:t>Accrued payroll</w:t>
            </w:r>
          </w:p>
        </w:tc>
        <w:tc>
          <w:tcPr>
            <w:tcW w:w="1842" w:type="dxa"/>
          </w:tcPr>
          <w:p w14:paraId="55D3F118" w14:textId="77777777" w:rsidR="00E239E3" w:rsidRPr="00E239E3" w:rsidRDefault="00E239E3" w:rsidP="00E239E3">
            <w:pPr>
              <w:tabs>
                <w:tab w:val="decimal" w:pos="1199"/>
              </w:tabs>
              <w:rPr>
                <w:sz w:val="20"/>
                <w:szCs w:val="20"/>
              </w:rPr>
            </w:pPr>
            <w:r w:rsidRPr="00E239E3">
              <w:rPr>
                <w:sz w:val="20"/>
                <w:szCs w:val="20"/>
              </w:rPr>
              <w:t>269,000</w:t>
            </w:r>
          </w:p>
        </w:tc>
        <w:tc>
          <w:tcPr>
            <w:tcW w:w="1841" w:type="dxa"/>
          </w:tcPr>
          <w:p w14:paraId="3ED4F66B" w14:textId="77777777" w:rsidR="00E239E3" w:rsidRPr="00E239E3" w:rsidRDefault="00E239E3" w:rsidP="00E239E3">
            <w:pPr>
              <w:tabs>
                <w:tab w:val="decimal" w:pos="1157"/>
              </w:tabs>
              <w:rPr>
                <w:sz w:val="20"/>
                <w:szCs w:val="20"/>
              </w:rPr>
            </w:pPr>
            <w:r w:rsidRPr="00E239E3">
              <w:rPr>
                <w:sz w:val="20"/>
                <w:szCs w:val="20"/>
              </w:rPr>
              <w:t>279,696</w:t>
            </w:r>
          </w:p>
        </w:tc>
      </w:tr>
      <w:tr w:rsidR="00E239E3" w:rsidRPr="00E239E3" w14:paraId="75AFADCD" w14:textId="77777777" w:rsidTr="004F5282">
        <w:tc>
          <w:tcPr>
            <w:tcW w:w="6055" w:type="dxa"/>
          </w:tcPr>
          <w:p w14:paraId="54E0507D" w14:textId="77777777" w:rsidR="00E239E3" w:rsidRPr="00E239E3" w:rsidRDefault="00E239E3" w:rsidP="00E239E3">
            <w:pPr>
              <w:ind w:left="162"/>
              <w:rPr>
                <w:sz w:val="20"/>
                <w:szCs w:val="20"/>
              </w:rPr>
            </w:pPr>
            <w:r w:rsidRPr="00E239E3">
              <w:rPr>
                <w:sz w:val="20"/>
                <w:szCs w:val="20"/>
              </w:rPr>
              <w:t>Other accrued expenses</w:t>
            </w:r>
          </w:p>
        </w:tc>
        <w:tc>
          <w:tcPr>
            <w:tcW w:w="1842" w:type="dxa"/>
            <w:tcBorders>
              <w:bottom w:val="single" w:sz="4" w:space="0" w:color="auto"/>
            </w:tcBorders>
          </w:tcPr>
          <w:p w14:paraId="3C7CB8A8" w14:textId="77777777" w:rsidR="00E239E3" w:rsidRPr="00E239E3" w:rsidRDefault="00E239E3" w:rsidP="00E239E3">
            <w:pPr>
              <w:tabs>
                <w:tab w:val="decimal" w:pos="1199"/>
              </w:tabs>
              <w:rPr>
                <w:sz w:val="20"/>
                <w:szCs w:val="20"/>
              </w:rPr>
            </w:pPr>
            <w:r w:rsidRPr="00E239E3">
              <w:rPr>
                <w:sz w:val="20"/>
                <w:szCs w:val="20"/>
              </w:rPr>
              <w:t>108,826</w:t>
            </w:r>
          </w:p>
        </w:tc>
        <w:tc>
          <w:tcPr>
            <w:tcW w:w="1841" w:type="dxa"/>
            <w:tcBorders>
              <w:bottom w:val="single" w:sz="4" w:space="0" w:color="auto"/>
            </w:tcBorders>
          </w:tcPr>
          <w:p w14:paraId="17C4D86E" w14:textId="77777777" w:rsidR="00E239E3" w:rsidRPr="00E239E3" w:rsidRDefault="00E239E3" w:rsidP="00E239E3">
            <w:pPr>
              <w:tabs>
                <w:tab w:val="decimal" w:pos="1157"/>
              </w:tabs>
              <w:rPr>
                <w:sz w:val="20"/>
                <w:szCs w:val="20"/>
              </w:rPr>
            </w:pPr>
            <w:r w:rsidRPr="00E239E3">
              <w:rPr>
                <w:sz w:val="20"/>
                <w:szCs w:val="20"/>
              </w:rPr>
              <w:t>79,585</w:t>
            </w:r>
          </w:p>
        </w:tc>
      </w:tr>
      <w:tr w:rsidR="00E239E3" w:rsidRPr="00E239E3" w14:paraId="28CADD43" w14:textId="77777777" w:rsidTr="004F5282">
        <w:tc>
          <w:tcPr>
            <w:tcW w:w="6055" w:type="dxa"/>
          </w:tcPr>
          <w:p w14:paraId="6FAB9A5D" w14:textId="77777777" w:rsidR="00E239E3" w:rsidRPr="00E239E3" w:rsidRDefault="00E239E3" w:rsidP="00E239E3">
            <w:pPr>
              <w:ind w:left="162"/>
              <w:rPr>
                <w:sz w:val="20"/>
                <w:szCs w:val="20"/>
              </w:rPr>
            </w:pPr>
            <w:r w:rsidRPr="00E239E3">
              <w:rPr>
                <w:sz w:val="20"/>
                <w:szCs w:val="20"/>
              </w:rPr>
              <w:t>Total accrued expenses</w:t>
            </w:r>
          </w:p>
        </w:tc>
        <w:tc>
          <w:tcPr>
            <w:tcW w:w="1842" w:type="dxa"/>
            <w:tcBorders>
              <w:top w:val="single" w:sz="4" w:space="0" w:color="auto"/>
              <w:bottom w:val="double" w:sz="4" w:space="0" w:color="auto"/>
            </w:tcBorders>
          </w:tcPr>
          <w:p w14:paraId="254DDC98" w14:textId="77777777" w:rsidR="00E239E3" w:rsidRPr="00E239E3" w:rsidRDefault="00E239E3" w:rsidP="00E239E3">
            <w:pPr>
              <w:tabs>
                <w:tab w:val="decimal" w:pos="1199"/>
              </w:tabs>
              <w:rPr>
                <w:sz w:val="20"/>
                <w:szCs w:val="20"/>
              </w:rPr>
            </w:pPr>
            <w:r w:rsidRPr="00E239E3">
              <w:rPr>
                <w:sz w:val="20"/>
                <w:szCs w:val="20"/>
              </w:rPr>
              <w:t>$ 5,377,826</w:t>
            </w:r>
          </w:p>
        </w:tc>
        <w:tc>
          <w:tcPr>
            <w:tcW w:w="1841" w:type="dxa"/>
            <w:tcBorders>
              <w:top w:val="single" w:sz="4" w:space="0" w:color="auto"/>
              <w:bottom w:val="double" w:sz="4" w:space="0" w:color="auto"/>
            </w:tcBorders>
          </w:tcPr>
          <w:p w14:paraId="371481F8" w14:textId="77777777" w:rsidR="00E239E3" w:rsidRPr="00E239E3" w:rsidRDefault="00E239E3" w:rsidP="00E239E3">
            <w:pPr>
              <w:tabs>
                <w:tab w:val="decimal" w:pos="1157"/>
              </w:tabs>
              <w:rPr>
                <w:sz w:val="20"/>
                <w:szCs w:val="20"/>
              </w:rPr>
            </w:pPr>
            <w:r w:rsidRPr="00E239E3">
              <w:rPr>
                <w:sz w:val="20"/>
                <w:szCs w:val="20"/>
              </w:rPr>
              <w:t>$ 359,281</w:t>
            </w:r>
          </w:p>
        </w:tc>
      </w:tr>
    </w:tbl>
    <w:p w14:paraId="099728D6" w14:textId="77777777" w:rsidR="00E239E3" w:rsidRPr="00E239E3" w:rsidRDefault="00E239E3" w:rsidP="00E239E3">
      <w:pPr>
        <w:rPr>
          <w:sz w:val="20"/>
          <w:szCs w:val="20"/>
        </w:rPr>
      </w:pPr>
    </w:p>
    <w:p w14:paraId="070656E3" w14:textId="77777777" w:rsidR="00E239E3" w:rsidRPr="00E239E3" w:rsidRDefault="00E239E3" w:rsidP="00E239E3">
      <w:pPr>
        <w:rPr>
          <w:b/>
          <w:sz w:val="20"/>
          <w:szCs w:val="20"/>
        </w:rPr>
      </w:pPr>
      <w:r w:rsidRPr="00E239E3">
        <w:rPr>
          <w:b/>
          <w:sz w:val="20"/>
          <w:szCs w:val="20"/>
        </w:rPr>
        <w:t>5.</w:t>
      </w:r>
      <w:r w:rsidRPr="00E239E3">
        <w:rPr>
          <w:b/>
          <w:sz w:val="20"/>
          <w:szCs w:val="20"/>
        </w:rPr>
        <w:tab/>
        <w:t>Debt</w:t>
      </w:r>
    </w:p>
    <w:p w14:paraId="193FFE56" w14:textId="77777777" w:rsidR="00E239E3" w:rsidRPr="00E239E3" w:rsidRDefault="00E239E3" w:rsidP="00E239E3">
      <w:pPr>
        <w:rPr>
          <w:bCs/>
          <w:sz w:val="20"/>
          <w:szCs w:val="20"/>
        </w:rPr>
      </w:pPr>
    </w:p>
    <w:p w14:paraId="470CE1BD" w14:textId="77777777" w:rsidR="00E239E3" w:rsidRPr="00E239E3" w:rsidRDefault="00E239E3" w:rsidP="00E239E3">
      <w:pPr>
        <w:rPr>
          <w:sz w:val="20"/>
          <w:szCs w:val="20"/>
        </w:rPr>
      </w:pPr>
      <w:bookmarkStart w:id="75" w:name="_Hlk511052867"/>
      <w:bookmarkStart w:id="76" w:name="_Hlk536784938"/>
      <w:r w:rsidRPr="00E239E3">
        <w:rPr>
          <w:rFonts w:ascii="CG Times (WN)" w:hAnsi="CG Times (WN)"/>
          <w:i/>
          <w:iCs/>
          <w:sz w:val="20"/>
          <w:szCs w:val="20"/>
        </w:rPr>
        <w:t>GRA Note</w:t>
      </w:r>
      <w:r w:rsidRPr="00E239E3">
        <w:rPr>
          <w:rFonts w:ascii="CG Times (WN)" w:hAnsi="CG Times (WN)"/>
          <w:sz w:val="20"/>
          <w:szCs w:val="20"/>
        </w:rPr>
        <w:t xml:space="preserve"> – On February 28, 2018, we entered into a Senior Note Purchase Agreement with Georgia Research Alliance, Inc. (GRA) pursuant to which we issued a five-year Senior Promissory Note (the “GRA Note”) to GRA in exchange for $50,000. The GRA Note bore an annual interest rate of 5%. During May 2021, we repaid the remaining principal balance of $22,737 and retired the GRA Note</w:t>
      </w:r>
      <w:r w:rsidRPr="00E239E3">
        <w:rPr>
          <w:sz w:val="20"/>
          <w:szCs w:val="20"/>
        </w:rPr>
        <w:t xml:space="preserve">. </w:t>
      </w:r>
      <w:bookmarkEnd w:id="75"/>
    </w:p>
    <w:bookmarkEnd w:id="76"/>
    <w:p w14:paraId="543CE7DA" w14:textId="77777777" w:rsidR="00E239E3" w:rsidRPr="00E239E3" w:rsidRDefault="00E239E3" w:rsidP="00E239E3">
      <w:pPr>
        <w:rPr>
          <w:sz w:val="20"/>
          <w:szCs w:val="20"/>
        </w:rPr>
      </w:pPr>
    </w:p>
    <w:p w14:paraId="3F976804" w14:textId="77777777" w:rsidR="00E239E3" w:rsidRPr="00E239E3" w:rsidRDefault="00E239E3" w:rsidP="00E239E3">
      <w:pPr>
        <w:rPr>
          <w:rFonts w:ascii="CG Times (WN)" w:hAnsi="CG Times (WN)"/>
          <w:sz w:val="20"/>
          <w:szCs w:val="20"/>
        </w:rPr>
      </w:pPr>
      <w:r w:rsidRPr="00E239E3">
        <w:rPr>
          <w:i/>
          <w:sz w:val="20"/>
          <w:szCs w:val="20"/>
        </w:rPr>
        <w:t xml:space="preserve">CARES Act Paycheck Protection Program Loan – </w:t>
      </w:r>
      <w:r w:rsidRPr="00E239E3">
        <w:rPr>
          <w:iCs/>
          <w:sz w:val="20"/>
          <w:szCs w:val="20"/>
        </w:rPr>
        <w:t xml:space="preserve">On April 17, 2020, we received a $170,200 bank loan backed by the United States Small Business Administration (SBA) pursuant to the Paycheck Protection Program (PPP) provisions of the Coronavirus Aid, Relief, and Economic Security (CARES) Act. </w:t>
      </w:r>
      <w:r w:rsidRPr="00E239E3">
        <w:rPr>
          <w:sz w:val="20"/>
          <w:szCs w:val="20"/>
        </w:rPr>
        <w:t>The loan bore an annual interest rate of one percent</w:t>
      </w:r>
      <w:r w:rsidRPr="00E239E3">
        <w:rPr>
          <w:rFonts w:ascii="CG Times (WN)" w:hAnsi="CG Times (WN)"/>
          <w:sz w:val="20"/>
          <w:szCs w:val="20"/>
        </w:rPr>
        <w:t>.</w:t>
      </w:r>
      <w:r w:rsidRPr="00E239E3">
        <w:rPr>
          <w:sz w:val="20"/>
          <w:szCs w:val="20"/>
        </w:rPr>
        <w:t xml:space="preserve"> </w:t>
      </w:r>
      <w:r w:rsidRPr="00E239E3">
        <w:rPr>
          <w:rFonts w:ascii="CG Times (WN)" w:hAnsi="CG Times (WN)"/>
          <w:sz w:val="20"/>
          <w:szCs w:val="20"/>
        </w:rPr>
        <w:t>During May 2021, upon receiving payment from the SBA, the lender forgave the full principal balance of $170,200 together with $1,856 of accrued interest, and we recorded a $172,056 gain on debt extinguishment.</w:t>
      </w:r>
    </w:p>
    <w:p w14:paraId="2E7E48C8" w14:textId="77777777" w:rsidR="00E239E3" w:rsidRPr="00E239E3" w:rsidRDefault="00E239E3" w:rsidP="00E239E3">
      <w:pPr>
        <w:rPr>
          <w:rFonts w:ascii="CG Times (WN)" w:hAnsi="CG Times (WN)"/>
          <w:sz w:val="20"/>
          <w:szCs w:val="20"/>
        </w:rPr>
      </w:pPr>
    </w:p>
    <w:p w14:paraId="3DBAE6A4" w14:textId="77777777" w:rsidR="00E239E3" w:rsidRPr="00E239E3" w:rsidRDefault="00E239E3" w:rsidP="00E239E3">
      <w:pPr>
        <w:rPr>
          <w:rFonts w:ascii="CG Times (WN)" w:hAnsi="CG Times (WN)"/>
          <w:sz w:val="20"/>
          <w:szCs w:val="20"/>
        </w:rPr>
      </w:pPr>
      <w:r w:rsidRPr="00E239E3">
        <w:rPr>
          <w:rFonts w:ascii="CG Times (WN)" w:hAnsi="CG Times (WN)"/>
          <w:i/>
          <w:iCs/>
          <w:sz w:val="20"/>
          <w:szCs w:val="20"/>
        </w:rPr>
        <w:t>Convertible Debentures</w:t>
      </w:r>
      <w:r w:rsidRPr="00E239E3">
        <w:rPr>
          <w:rFonts w:ascii="CG Times (WN)" w:hAnsi="CG Times (WN)"/>
          <w:sz w:val="20"/>
          <w:szCs w:val="20"/>
        </w:rPr>
        <w:t xml:space="preserve"> – On June 26 2020, we issued convertible debentures in the aggregate principal amount of $1,200,000 and warrants to purchase an aggregate of 120,000 shares of our common stock for gross proceeds of $1,050,000. As discussed in Note 7, in September 2020, the convertible debentures and accrued interest were fully converted into our equity securities and were retired.</w:t>
      </w:r>
    </w:p>
    <w:p w14:paraId="462EEE14" w14:textId="77777777" w:rsidR="00E239E3" w:rsidRPr="00E239E3" w:rsidRDefault="00E239E3" w:rsidP="00E239E3">
      <w:pPr>
        <w:rPr>
          <w:sz w:val="20"/>
          <w:szCs w:val="20"/>
        </w:rPr>
      </w:pPr>
    </w:p>
    <w:p w14:paraId="11706091" w14:textId="77777777" w:rsidR="00E239E3" w:rsidRPr="00E239E3" w:rsidRDefault="00E239E3" w:rsidP="00E239E3">
      <w:pPr>
        <w:rPr>
          <w:sz w:val="20"/>
          <w:szCs w:val="20"/>
        </w:rPr>
      </w:pPr>
      <w:r w:rsidRPr="00E239E3">
        <w:rPr>
          <w:sz w:val="20"/>
          <w:szCs w:val="20"/>
        </w:rPr>
        <w:t>Interest expense recorded for the years ended December 31, 2021 and 2020 was as follows:</w:t>
      </w:r>
    </w:p>
    <w:tbl>
      <w:tblPr>
        <w:tblW w:w="0" w:type="auto"/>
        <w:tblInd w:w="-90" w:type="dxa"/>
        <w:tblLook w:val="04A0" w:firstRow="1" w:lastRow="0" w:firstColumn="1" w:lastColumn="0" w:noHBand="0" w:noVBand="1"/>
      </w:tblPr>
      <w:tblGrid>
        <w:gridCol w:w="6548"/>
        <w:gridCol w:w="1528"/>
        <w:gridCol w:w="1374"/>
      </w:tblGrid>
      <w:tr w:rsidR="00E239E3" w:rsidRPr="00E239E3" w14:paraId="0E1CC5B8" w14:textId="77777777" w:rsidTr="004F5282">
        <w:tc>
          <w:tcPr>
            <w:tcW w:w="6660" w:type="dxa"/>
          </w:tcPr>
          <w:p w14:paraId="1F35525A" w14:textId="77777777" w:rsidR="00E239E3" w:rsidRPr="00E239E3" w:rsidRDefault="00E239E3" w:rsidP="00E239E3">
            <w:pPr>
              <w:rPr>
                <w:sz w:val="20"/>
                <w:szCs w:val="20"/>
              </w:rPr>
            </w:pPr>
          </w:p>
        </w:tc>
        <w:tc>
          <w:tcPr>
            <w:tcW w:w="1530" w:type="dxa"/>
            <w:tcBorders>
              <w:bottom w:val="single" w:sz="4" w:space="0" w:color="auto"/>
            </w:tcBorders>
          </w:tcPr>
          <w:p w14:paraId="5BA4F899" w14:textId="77777777" w:rsidR="00E239E3" w:rsidRPr="00E239E3" w:rsidRDefault="00E239E3" w:rsidP="00E239E3">
            <w:pPr>
              <w:jc w:val="center"/>
              <w:rPr>
                <w:sz w:val="20"/>
                <w:szCs w:val="20"/>
              </w:rPr>
            </w:pPr>
            <w:r w:rsidRPr="00E239E3">
              <w:rPr>
                <w:sz w:val="20"/>
                <w:szCs w:val="20"/>
              </w:rPr>
              <w:t>2021</w:t>
            </w:r>
          </w:p>
        </w:tc>
        <w:tc>
          <w:tcPr>
            <w:tcW w:w="1374" w:type="dxa"/>
            <w:tcBorders>
              <w:bottom w:val="single" w:sz="4" w:space="0" w:color="auto"/>
            </w:tcBorders>
          </w:tcPr>
          <w:p w14:paraId="62E1DE5F" w14:textId="77777777" w:rsidR="00E239E3" w:rsidRPr="00E239E3" w:rsidRDefault="00E239E3" w:rsidP="00E239E3">
            <w:pPr>
              <w:jc w:val="center"/>
              <w:rPr>
                <w:sz w:val="20"/>
                <w:szCs w:val="20"/>
              </w:rPr>
            </w:pPr>
            <w:r w:rsidRPr="00E239E3">
              <w:rPr>
                <w:sz w:val="20"/>
                <w:szCs w:val="20"/>
              </w:rPr>
              <w:t>2020</w:t>
            </w:r>
          </w:p>
        </w:tc>
      </w:tr>
      <w:tr w:rsidR="00E239E3" w:rsidRPr="00E239E3" w14:paraId="1A5B7EC4" w14:textId="77777777" w:rsidTr="004F5282">
        <w:tc>
          <w:tcPr>
            <w:tcW w:w="6660" w:type="dxa"/>
          </w:tcPr>
          <w:p w14:paraId="00D9EA35" w14:textId="77777777" w:rsidR="00E239E3" w:rsidRPr="00E239E3" w:rsidRDefault="00E239E3" w:rsidP="00E239E3">
            <w:pPr>
              <w:ind w:left="162"/>
              <w:rPr>
                <w:sz w:val="20"/>
                <w:szCs w:val="20"/>
              </w:rPr>
            </w:pPr>
            <w:r w:rsidRPr="00E239E3">
              <w:rPr>
                <w:sz w:val="20"/>
                <w:szCs w:val="20"/>
              </w:rPr>
              <w:t>GRA Note</w:t>
            </w:r>
          </w:p>
        </w:tc>
        <w:tc>
          <w:tcPr>
            <w:tcW w:w="1530" w:type="dxa"/>
          </w:tcPr>
          <w:p w14:paraId="42FA95DF" w14:textId="77777777" w:rsidR="00E239E3" w:rsidRPr="00E239E3" w:rsidRDefault="00E239E3" w:rsidP="00E239E3">
            <w:pPr>
              <w:tabs>
                <w:tab w:val="decimal" w:pos="1199"/>
              </w:tabs>
              <w:rPr>
                <w:sz w:val="20"/>
                <w:szCs w:val="20"/>
              </w:rPr>
            </w:pPr>
            <w:r w:rsidRPr="00E239E3">
              <w:rPr>
                <w:sz w:val="20"/>
                <w:szCs w:val="20"/>
              </w:rPr>
              <w:t>$   633</w:t>
            </w:r>
          </w:p>
        </w:tc>
        <w:tc>
          <w:tcPr>
            <w:tcW w:w="1374" w:type="dxa"/>
          </w:tcPr>
          <w:p w14:paraId="225462B5" w14:textId="77777777" w:rsidR="00E239E3" w:rsidRPr="00E239E3" w:rsidRDefault="00E239E3" w:rsidP="00E239E3">
            <w:pPr>
              <w:tabs>
                <w:tab w:val="decimal" w:pos="1157"/>
              </w:tabs>
              <w:rPr>
                <w:sz w:val="20"/>
                <w:szCs w:val="20"/>
              </w:rPr>
            </w:pPr>
            <w:r w:rsidRPr="00E239E3">
              <w:rPr>
                <w:sz w:val="20"/>
                <w:szCs w:val="20"/>
              </w:rPr>
              <w:t>$    1,727</w:t>
            </w:r>
          </w:p>
        </w:tc>
      </w:tr>
      <w:tr w:rsidR="00E239E3" w:rsidRPr="00E239E3" w14:paraId="49D0155C" w14:textId="77777777" w:rsidTr="004F5282">
        <w:tc>
          <w:tcPr>
            <w:tcW w:w="6660" w:type="dxa"/>
          </w:tcPr>
          <w:p w14:paraId="431AE3D8" w14:textId="77777777" w:rsidR="00E239E3" w:rsidRPr="00E239E3" w:rsidRDefault="00E239E3" w:rsidP="00E239E3">
            <w:pPr>
              <w:ind w:left="162"/>
              <w:rPr>
                <w:sz w:val="20"/>
                <w:szCs w:val="20"/>
              </w:rPr>
            </w:pPr>
            <w:r w:rsidRPr="00E239E3">
              <w:rPr>
                <w:sz w:val="20"/>
                <w:szCs w:val="20"/>
              </w:rPr>
              <w:t>PPP Loan</w:t>
            </w:r>
          </w:p>
        </w:tc>
        <w:tc>
          <w:tcPr>
            <w:tcW w:w="1530" w:type="dxa"/>
          </w:tcPr>
          <w:p w14:paraId="79A3A99C" w14:textId="77777777" w:rsidR="00E239E3" w:rsidRPr="00E239E3" w:rsidRDefault="00E239E3" w:rsidP="00E239E3">
            <w:pPr>
              <w:tabs>
                <w:tab w:val="decimal" w:pos="1199"/>
              </w:tabs>
              <w:rPr>
                <w:sz w:val="20"/>
                <w:szCs w:val="20"/>
              </w:rPr>
            </w:pPr>
            <w:r w:rsidRPr="00E239E3">
              <w:rPr>
                <w:sz w:val="20"/>
                <w:szCs w:val="20"/>
              </w:rPr>
              <w:t>653</w:t>
            </w:r>
          </w:p>
        </w:tc>
        <w:tc>
          <w:tcPr>
            <w:tcW w:w="1374" w:type="dxa"/>
          </w:tcPr>
          <w:p w14:paraId="16AEC534" w14:textId="77777777" w:rsidR="00E239E3" w:rsidRPr="00E239E3" w:rsidRDefault="00E239E3" w:rsidP="00E239E3">
            <w:pPr>
              <w:tabs>
                <w:tab w:val="decimal" w:pos="1157"/>
              </w:tabs>
              <w:rPr>
                <w:sz w:val="20"/>
                <w:szCs w:val="20"/>
              </w:rPr>
            </w:pPr>
            <w:r w:rsidRPr="00E239E3">
              <w:rPr>
                <w:sz w:val="20"/>
                <w:szCs w:val="20"/>
              </w:rPr>
              <w:t>1,203</w:t>
            </w:r>
          </w:p>
        </w:tc>
      </w:tr>
      <w:tr w:rsidR="00E239E3" w:rsidRPr="00E239E3" w14:paraId="1662F9F6" w14:textId="77777777" w:rsidTr="004F5282">
        <w:tc>
          <w:tcPr>
            <w:tcW w:w="6660" w:type="dxa"/>
          </w:tcPr>
          <w:p w14:paraId="4ED05079" w14:textId="77777777" w:rsidR="00E239E3" w:rsidRPr="00E239E3" w:rsidRDefault="00E239E3" w:rsidP="00E239E3">
            <w:pPr>
              <w:ind w:left="162"/>
              <w:rPr>
                <w:sz w:val="20"/>
                <w:szCs w:val="20"/>
              </w:rPr>
            </w:pPr>
            <w:r w:rsidRPr="00E239E3">
              <w:rPr>
                <w:sz w:val="20"/>
                <w:szCs w:val="20"/>
              </w:rPr>
              <w:t>Insurance premium financing costs</w:t>
            </w:r>
          </w:p>
        </w:tc>
        <w:tc>
          <w:tcPr>
            <w:tcW w:w="1530" w:type="dxa"/>
          </w:tcPr>
          <w:p w14:paraId="28AC1AEF" w14:textId="77777777" w:rsidR="00E239E3" w:rsidRPr="00E239E3" w:rsidRDefault="00E239E3" w:rsidP="00E239E3">
            <w:pPr>
              <w:tabs>
                <w:tab w:val="decimal" w:pos="1199"/>
              </w:tabs>
              <w:rPr>
                <w:sz w:val="20"/>
                <w:szCs w:val="20"/>
              </w:rPr>
            </w:pPr>
            <w:r w:rsidRPr="00E239E3">
              <w:rPr>
                <w:sz w:val="20"/>
                <w:szCs w:val="20"/>
              </w:rPr>
              <w:t>-</w:t>
            </w:r>
          </w:p>
        </w:tc>
        <w:tc>
          <w:tcPr>
            <w:tcW w:w="1374" w:type="dxa"/>
          </w:tcPr>
          <w:p w14:paraId="6D9208A8" w14:textId="77777777" w:rsidR="00E239E3" w:rsidRPr="00E239E3" w:rsidRDefault="00E239E3" w:rsidP="00E239E3">
            <w:pPr>
              <w:tabs>
                <w:tab w:val="decimal" w:pos="1157"/>
              </w:tabs>
              <w:rPr>
                <w:sz w:val="20"/>
                <w:szCs w:val="20"/>
              </w:rPr>
            </w:pPr>
            <w:r w:rsidRPr="00E239E3">
              <w:rPr>
                <w:sz w:val="20"/>
                <w:szCs w:val="20"/>
              </w:rPr>
              <w:t>1,743</w:t>
            </w:r>
          </w:p>
        </w:tc>
      </w:tr>
      <w:tr w:rsidR="00E239E3" w:rsidRPr="00E239E3" w14:paraId="40E39E50" w14:textId="77777777" w:rsidTr="004F5282">
        <w:tc>
          <w:tcPr>
            <w:tcW w:w="6660" w:type="dxa"/>
          </w:tcPr>
          <w:p w14:paraId="6E1C1F9E" w14:textId="77777777" w:rsidR="00E239E3" w:rsidRPr="00E239E3" w:rsidRDefault="00E239E3" w:rsidP="00E239E3">
            <w:pPr>
              <w:ind w:left="162"/>
              <w:rPr>
                <w:sz w:val="20"/>
                <w:szCs w:val="20"/>
              </w:rPr>
            </w:pPr>
            <w:r w:rsidRPr="00E239E3">
              <w:rPr>
                <w:sz w:val="20"/>
                <w:szCs w:val="20"/>
              </w:rPr>
              <w:t>Convertible debentures (including $124,185 of debt discount amortization)</w:t>
            </w:r>
          </w:p>
        </w:tc>
        <w:tc>
          <w:tcPr>
            <w:tcW w:w="1530" w:type="dxa"/>
          </w:tcPr>
          <w:p w14:paraId="47F5D4A7" w14:textId="77777777" w:rsidR="00E239E3" w:rsidRPr="00E239E3" w:rsidRDefault="00E239E3" w:rsidP="00E239E3">
            <w:pPr>
              <w:tabs>
                <w:tab w:val="decimal" w:pos="1199"/>
              </w:tabs>
              <w:rPr>
                <w:sz w:val="20"/>
                <w:szCs w:val="20"/>
              </w:rPr>
            </w:pPr>
            <w:r w:rsidRPr="00E239E3">
              <w:rPr>
                <w:sz w:val="20"/>
                <w:szCs w:val="20"/>
              </w:rPr>
              <w:t>-</w:t>
            </w:r>
          </w:p>
        </w:tc>
        <w:tc>
          <w:tcPr>
            <w:tcW w:w="1374" w:type="dxa"/>
          </w:tcPr>
          <w:p w14:paraId="3CEBE602" w14:textId="77777777" w:rsidR="00E239E3" w:rsidRPr="00E239E3" w:rsidRDefault="00E239E3" w:rsidP="00E239E3">
            <w:pPr>
              <w:tabs>
                <w:tab w:val="decimal" w:pos="1157"/>
              </w:tabs>
              <w:rPr>
                <w:sz w:val="20"/>
                <w:szCs w:val="20"/>
              </w:rPr>
            </w:pPr>
            <w:r w:rsidRPr="00E239E3">
              <w:rPr>
                <w:sz w:val="20"/>
                <w:szCs w:val="20"/>
              </w:rPr>
              <w:t>138,851</w:t>
            </w:r>
          </w:p>
        </w:tc>
      </w:tr>
      <w:tr w:rsidR="00E239E3" w:rsidRPr="00E239E3" w14:paraId="79E7337C" w14:textId="77777777" w:rsidTr="004F5282">
        <w:tc>
          <w:tcPr>
            <w:tcW w:w="6660" w:type="dxa"/>
          </w:tcPr>
          <w:p w14:paraId="773D36C1" w14:textId="77777777" w:rsidR="00E239E3" w:rsidRPr="00E239E3" w:rsidRDefault="00E239E3" w:rsidP="00E239E3">
            <w:pPr>
              <w:ind w:left="162"/>
              <w:rPr>
                <w:sz w:val="20"/>
                <w:szCs w:val="20"/>
              </w:rPr>
            </w:pPr>
            <w:r w:rsidRPr="00E239E3">
              <w:rPr>
                <w:sz w:val="20"/>
                <w:szCs w:val="20"/>
              </w:rPr>
              <w:t>Total interest expense</w:t>
            </w:r>
          </w:p>
        </w:tc>
        <w:tc>
          <w:tcPr>
            <w:tcW w:w="1530" w:type="dxa"/>
            <w:tcBorders>
              <w:top w:val="single" w:sz="4" w:space="0" w:color="auto"/>
              <w:bottom w:val="double" w:sz="4" w:space="0" w:color="auto"/>
            </w:tcBorders>
          </w:tcPr>
          <w:p w14:paraId="026A8633" w14:textId="77777777" w:rsidR="00E239E3" w:rsidRPr="00E239E3" w:rsidRDefault="00E239E3" w:rsidP="00E239E3">
            <w:pPr>
              <w:tabs>
                <w:tab w:val="decimal" w:pos="1199"/>
              </w:tabs>
              <w:rPr>
                <w:sz w:val="20"/>
                <w:szCs w:val="20"/>
              </w:rPr>
            </w:pPr>
            <w:r w:rsidRPr="00E239E3">
              <w:rPr>
                <w:sz w:val="20"/>
                <w:szCs w:val="20"/>
              </w:rPr>
              <w:t>$ 1,286</w:t>
            </w:r>
          </w:p>
        </w:tc>
        <w:tc>
          <w:tcPr>
            <w:tcW w:w="1374" w:type="dxa"/>
            <w:tcBorders>
              <w:top w:val="single" w:sz="4" w:space="0" w:color="auto"/>
              <w:bottom w:val="double" w:sz="4" w:space="0" w:color="auto"/>
            </w:tcBorders>
          </w:tcPr>
          <w:p w14:paraId="4BAAFE36" w14:textId="77777777" w:rsidR="00E239E3" w:rsidRPr="00E239E3" w:rsidRDefault="00E239E3" w:rsidP="00E239E3">
            <w:pPr>
              <w:tabs>
                <w:tab w:val="decimal" w:pos="1157"/>
              </w:tabs>
              <w:rPr>
                <w:sz w:val="20"/>
                <w:szCs w:val="20"/>
              </w:rPr>
            </w:pPr>
            <w:r w:rsidRPr="00E239E3">
              <w:rPr>
                <w:sz w:val="20"/>
                <w:szCs w:val="20"/>
              </w:rPr>
              <w:t>$ 143,524</w:t>
            </w:r>
          </w:p>
        </w:tc>
      </w:tr>
    </w:tbl>
    <w:p w14:paraId="35AF1309" w14:textId="77777777" w:rsidR="00E239E3" w:rsidRPr="00E239E3" w:rsidRDefault="00E239E3" w:rsidP="00E239E3">
      <w:pPr>
        <w:rPr>
          <w:sz w:val="20"/>
          <w:szCs w:val="20"/>
        </w:rPr>
      </w:pPr>
    </w:p>
    <w:p w14:paraId="7EB40331" w14:textId="77777777" w:rsidR="00665276" w:rsidRDefault="00665276">
      <w:pPr>
        <w:rPr>
          <w:b/>
          <w:sz w:val="20"/>
          <w:szCs w:val="20"/>
        </w:rPr>
      </w:pPr>
      <w:r>
        <w:rPr>
          <w:b/>
          <w:sz w:val="20"/>
          <w:szCs w:val="20"/>
        </w:rPr>
        <w:br w:type="page"/>
      </w:r>
    </w:p>
    <w:p w14:paraId="187A04D5" w14:textId="45DB074E" w:rsidR="00E239E3" w:rsidRPr="00E239E3" w:rsidRDefault="00E239E3" w:rsidP="00E239E3">
      <w:pPr>
        <w:rPr>
          <w:b/>
          <w:sz w:val="20"/>
          <w:szCs w:val="20"/>
        </w:rPr>
      </w:pPr>
      <w:r w:rsidRPr="00E239E3">
        <w:rPr>
          <w:b/>
          <w:sz w:val="20"/>
          <w:szCs w:val="20"/>
        </w:rPr>
        <w:lastRenderedPageBreak/>
        <w:t>6.</w:t>
      </w:r>
      <w:r w:rsidRPr="00E239E3">
        <w:rPr>
          <w:b/>
          <w:sz w:val="20"/>
          <w:szCs w:val="20"/>
        </w:rPr>
        <w:tab/>
        <w:t>Commitments</w:t>
      </w:r>
    </w:p>
    <w:p w14:paraId="1C181A93" w14:textId="77777777" w:rsidR="00E239E3" w:rsidRPr="00E239E3" w:rsidRDefault="00E239E3" w:rsidP="00E239E3">
      <w:pPr>
        <w:rPr>
          <w:sz w:val="20"/>
          <w:szCs w:val="20"/>
        </w:rPr>
      </w:pPr>
    </w:p>
    <w:p w14:paraId="63C03FE8" w14:textId="77777777" w:rsidR="00E239E3" w:rsidRPr="00E239E3" w:rsidRDefault="00E239E3" w:rsidP="00E239E3">
      <w:pPr>
        <w:rPr>
          <w:bCs/>
          <w:i/>
          <w:sz w:val="20"/>
          <w:szCs w:val="20"/>
        </w:rPr>
      </w:pPr>
      <w:r w:rsidRPr="00E239E3">
        <w:rPr>
          <w:i/>
          <w:sz w:val="20"/>
          <w:szCs w:val="20"/>
        </w:rPr>
        <w:t>Operating Lease</w:t>
      </w:r>
    </w:p>
    <w:p w14:paraId="6160A48F" w14:textId="77777777" w:rsidR="00E239E3" w:rsidRPr="00E239E3" w:rsidRDefault="00E239E3" w:rsidP="00E239E3">
      <w:pPr>
        <w:rPr>
          <w:sz w:val="20"/>
          <w:szCs w:val="20"/>
        </w:rPr>
      </w:pPr>
    </w:p>
    <w:p w14:paraId="5395F6C3" w14:textId="77777777" w:rsidR="00E239E3" w:rsidRPr="00E239E3" w:rsidRDefault="00E239E3" w:rsidP="00E239E3">
      <w:pPr>
        <w:rPr>
          <w:sz w:val="20"/>
          <w:szCs w:val="20"/>
        </w:rPr>
      </w:pPr>
      <w:r w:rsidRPr="00E239E3">
        <w:rPr>
          <w:sz w:val="20"/>
          <w:szCs w:val="20"/>
        </w:rPr>
        <w:t xml:space="preserve">We lease approximately 8,400 square feet of office and laboratory space pursuant to an operating lease which expires on December 31, 2022. Rent expense for the years ended December 31, 2021 and 2020 was $166,242 and $166,577, respectively. Future minimum lease payments total $176,356 in 2022, although the lease may be terminated at any time by either party with ninety days written notice. </w:t>
      </w:r>
    </w:p>
    <w:p w14:paraId="3B28777F" w14:textId="77777777" w:rsidR="00E239E3" w:rsidRPr="00E239E3" w:rsidRDefault="00E239E3" w:rsidP="00E239E3">
      <w:pPr>
        <w:rPr>
          <w:bCs/>
          <w:sz w:val="20"/>
          <w:szCs w:val="20"/>
        </w:rPr>
      </w:pPr>
    </w:p>
    <w:p w14:paraId="1A7D291E" w14:textId="77777777" w:rsidR="00E239E3" w:rsidRPr="00E239E3" w:rsidRDefault="00E239E3" w:rsidP="00E239E3">
      <w:pPr>
        <w:rPr>
          <w:bCs/>
          <w:i/>
          <w:iCs/>
          <w:sz w:val="20"/>
          <w:szCs w:val="20"/>
        </w:rPr>
      </w:pPr>
      <w:r w:rsidRPr="00E239E3">
        <w:rPr>
          <w:bCs/>
          <w:i/>
          <w:iCs/>
          <w:sz w:val="20"/>
          <w:szCs w:val="20"/>
        </w:rPr>
        <w:t>License Agreements</w:t>
      </w:r>
    </w:p>
    <w:p w14:paraId="4E9F1F8A" w14:textId="77777777" w:rsidR="00E239E3" w:rsidRPr="00E239E3" w:rsidRDefault="00E239E3" w:rsidP="00E239E3">
      <w:pPr>
        <w:rPr>
          <w:bCs/>
          <w:sz w:val="20"/>
          <w:szCs w:val="20"/>
        </w:rPr>
      </w:pPr>
    </w:p>
    <w:p w14:paraId="4989E173" w14:textId="77777777" w:rsidR="00E239E3" w:rsidRPr="00E239E3" w:rsidRDefault="00E239E3" w:rsidP="00E239E3">
      <w:pPr>
        <w:rPr>
          <w:bCs/>
          <w:sz w:val="20"/>
          <w:szCs w:val="20"/>
        </w:rPr>
      </w:pPr>
      <w:r w:rsidRPr="00E239E3">
        <w:rPr>
          <w:bCs/>
          <w:sz w:val="20"/>
          <w:szCs w:val="20"/>
        </w:rPr>
        <w:t xml:space="preserve">We have entered into license agreements with City of Hope, PNP Therapeutics, Inc., University of Alabama at Birmingham, Southern Research Institute, Emory University, and with </w:t>
      </w:r>
      <w:r w:rsidRPr="00E239E3">
        <w:rPr>
          <w:sz w:val="20"/>
          <w:szCs w:val="20"/>
        </w:rPr>
        <w:t xml:space="preserve">the U.S. Department of Health and Human Services (HHS), as represented by National Institute of Allergy and Infectious Diseases (NIAID), an institute of the National Institutes of Health (NIH), for various technologies and patent rights associated with our product development activities. These agreements may contain provisions for upfront payments, milestone fees </w:t>
      </w:r>
      <w:r w:rsidRPr="00E239E3">
        <w:rPr>
          <w:bCs/>
          <w:sz w:val="20"/>
          <w:szCs w:val="20"/>
        </w:rPr>
        <w:t xml:space="preserve">due upon the achievement of selected development and regulatory events, minimum annual royalties or other fees, </w:t>
      </w:r>
      <w:r w:rsidRPr="00E239E3">
        <w:rPr>
          <w:sz w:val="20"/>
          <w:szCs w:val="20"/>
        </w:rPr>
        <w:t>and royalties based on future net sales. Aggregate unrecorded future minimum payments under these agreements (excluding milestone and royalty payments due upon contingent future events, and assuming neither party terminates the agreements) are approximately $174,000 in 2022, $128,000 in 2023, $128,000 in 2024, $28,000 in 2025 and $28,000 in 2026.</w:t>
      </w:r>
    </w:p>
    <w:p w14:paraId="499ADD55" w14:textId="77777777" w:rsidR="00E239E3" w:rsidRPr="00E239E3" w:rsidRDefault="00E239E3" w:rsidP="00E239E3">
      <w:pPr>
        <w:rPr>
          <w:sz w:val="20"/>
          <w:szCs w:val="20"/>
        </w:rPr>
      </w:pPr>
    </w:p>
    <w:p w14:paraId="5529D693" w14:textId="77777777" w:rsidR="00E239E3" w:rsidRPr="00E239E3" w:rsidRDefault="00E239E3" w:rsidP="00E239E3">
      <w:pPr>
        <w:rPr>
          <w:bCs/>
          <w:i/>
          <w:sz w:val="20"/>
          <w:szCs w:val="20"/>
        </w:rPr>
      </w:pPr>
      <w:r w:rsidRPr="00E239E3">
        <w:rPr>
          <w:bCs/>
          <w:i/>
          <w:sz w:val="20"/>
          <w:szCs w:val="20"/>
        </w:rPr>
        <w:t>Other Commitments</w:t>
      </w:r>
    </w:p>
    <w:p w14:paraId="4119B74B" w14:textId="77777777" w:rsidR="00E239E3" w:rsidRPr="00E239E3" w:rsidRDefault="00E239E3" w:rsidP="00E239E3">
      <w:pPr>
        <w:rPr>
          <w:sz w:val="20"/>
          <w:szCs w:val="20"/>
        </w:rPr>
      </w:pPr>
    </w:p>
    <w:p w14:paraId="129995AF" w14:textId="77777777" w:rsidR="00E239E3" w:rsidRPr="00E239E3" w:rsidRDefault="00E239E3" w:rsidP="00E239E3">
      <w:pPr>
        <w:rPr>
          <w:sz w:val="20"/>
          <w:szCs w:val="20"/>
        </w:rPr>
      </w:pPr>
      <w:r w:rsidRPr="00E239E3">
        <w:rPr>
          <w:sz w:val="20"/>
          <w:szCs w:val="20"/>
        </w:rPr>
        <w:t xml:space="preserve">In the normal course of business, we enter into various firm purchase commitments related to production and testing of our vaccine, conduct of research studies, and other activities. As of December 31, 2021, there were approximately $407,000 of unrecorded outstanding purchase commitments to our vendors and subcontractors, which we expect will be due in 2022. </w:t>
      </w:r>
    </w:p>
    <w:p w14:paraId="29102175" w14:textId="77777777" w:rsidR="00E239E3" w:rsidRPr="00E239E3" w:rsidRDefault="00E239E3" w:rsidP="00E239E3">
      <w:pPr>
        <w:rPr>
          <w:sz w:val="20"/>
          <w:szCs w:val="20"/>
        </w:rPr>
      </w:pPr>
    </w:p>
    <w:p w14:paraId="6AE058E6" w14:textId="77777777" w:rsidR="00E239E3" w:rsidRPr="00E239E3" w:rsidRDefault="00E239E3" w:rsidP="00E239E3">
      <w:pPr>
        <w:rPr>
          <w:b/>
          <w:color w:val="000000"/>
          <w:sz w:val="20"/>
          <w:szCs w:val="20"/>
        </w:rPr>
      </w:pPr>
      <w:r w:rsidRPr="00E239E3">
        <w:rPr>
          <w:b/>
          <w:sz w:val="20"/>
          <w:szCs w:val="20"/>
        </w:rPr>
        <w:t>7.</w:t>
      </w:r>
      <w:r w:rsidRPr="00E239E3">
        <w:rPr>
          <w:b/>
          <w:sz w:val="20"/>
          <w:szCs w:val="20"/>
        </w:rPr>
        <w:tab/>
        <w:t>Stockholders’ Equity</w:t>
      </w:r>
    </w:p>
    <w:p w14:paraId="3BBF4FC3" w14:textId="77777777" w:rsidR="00E239E3" w:rsidRPr="00E239E3" w:rsidRDefault="00E239E3" w:rsidP="00E239E3">
      <w:pPr>
        <w:rPr>
          <w:sz w:val="20"/>
          <w:szCs w:val="20"/>
        </w:rPr>
      </w:pPr>
    </w:p>
    <w:p w14:paraId="3563CE5F" w14:textId="77777777" w:rsidR="00E239E3" w:rsidRPr="00E239E3" w:rsidRDefault="00E239E3" w:rsidP="00E239E3">
      <w:pPr>
        <w:rPr>
          <w:rFonts w:eastAsia="????"/>
          <w:i/>
          <w:iCs/>
          <w:sz w:val="20"/>
          <w:szCs w:val="20"/>
        </w:rPr>
      </w:pPr>
      <w:r w:rsidRPr="00E239E3">
        <w:rPr>
          <w:rFonts w:eastAsia="????"/>
          <w:i/>
          <w:iCs/>
          <w:sz w:val="20"/>
          <w:szCs w:val="20"/>
        </w:rPr>
        <w:t>Preferred Stock</w:t>
      </w:r>
    </w:p>
    <w:p w14:paraId="50F0E6E1" w14:textId="77777777" w:rsidR="00E239E3" w:rsidRPr="00E239E3" w:rsidRDefault="00E239E3" w:rsidP="00E239E3">
      <w:pPr>
        <w:rPr>
          <w:rFonts w:eastAsia="????"/>
          <w:sz w:val="20"/>
          <w:szCs w:val="20"/>
        </w:rPr>
      </w:pPr>
    </w:p>
    <w:p w14:paraId="44D633CF" w14:textId="77777777" w:rsidR="00E239E3" w:rsidRPr="00E239E3" w:rsidRDefault="00E239E3" w:rsidP="00E239E3">
      <w:pPr>
        <w:rPr>
          <w:sz w:val="20"/>
          <w:szCs w:val="20"/>
        </w:rPr>
      </w:pPr>
      <w:r w:rsidRPr="00E239E3">
        <w:rPr>
          <w:rFonts w:ascii="CG Times (WN)" w:hAnsi="CG Times (WN)"/>
          <w:sz w:val="20"/>
          <w:szCs w:val="20"/>
        </w:rPr>
        <w:t>In June 2021, we repurchased the remaining 100 shares of our Series B convertible preferred stock for a total price of $1,000.  As of December 31, 2021, there are no shares of our preferred stock outstanding.</w:t>
      </w:r>
    </w:p>
    <w:p w14:paraId="688E5F84" w14:textId="77777777" w:rsidR="00E239E3" w:rsidRPr="00E239E3" w:rsidRDefault="00E239E3" w:rsidP="00E239E3">
      <w:pPr>
        <w:rPr>
          <w:color w:val="000000"/>
          <w:sz w:val="20"/>
          <w:szCs w:val="20"/>
        </w:rPr>
      </w:pPr>
    </w:p>
    <w:p w14:paraId="38F34A8F" w14:textId="77777777" w:rsidR="00E239E3" w:rsidRPr="00E239E3" w:rsidRDefault="00E239E3" w:rsidP="00E239E3">
      <w:pPr>
        <w:rPr>
          <w:i/>
          <w:sz w:val="20"/>
          <w:szCs w:val="20"/>
        </w:rPr>
      </w:pPr>
      <w:r w:rsidRPr="00E239E3">
        <w:rPr>
          <w:i/>
          <w:sz w:val="20"/>
          <w:szCs w:val="20"/>
        </w:rPr>
        <w:t>Common Stock</w:t>
      </w:r>
    </w:p>
    <w:p w14:paraId="6880103C" w14:textId="77777777" w:rsidR="00E239E3" w:rsidRPr="00E239E3" w:rsidRDefault="00E239E3" w:rsidP="00E239E3">
      <w:pPr>
        <w:rPr>
          <w:sz w:val="20"/>
          <w:szCs w:val="20"/>
        </w:rPr>
      </w:pPr>
    </w:p>
    <w:p w14:paraId="13FBC828" w14:textId="77777777" w:rsidR="00E239E3" w:rsidRPr="00E239E3" w:rsidRDefault="00E239E3" w:rsidP="00E239E3">
      <w:pPr>
        <w:rPr>
          <w:sz w:val="20"/>
          <w:szCs w:val="20"/>
        </w:rPr>
      </w:pPr>
      <w:bookmarkStart w:id="77" w:name="_Hlk53826292"/>
      <w:r w:rsidRPr="00E239E3">
        <w:rPr>
          <w:i/>
          <w:iCs/>
          <w:sz w:val="20"/>
          <w:szCs w:val="20"/>
        </w:rPr>
        <w:t xml:space="preserve">2020 Public Offering – </w:t>
      </w:r>
      <w:r w:rsidRPr="00E239E3">
        <w:rPr>
          <w:sz w:val="20"/>
          <w:szCs w:val="20"/>
        </w:rPr>
        <w:t>On September 29, 2020, we closed an underwritten public offering (the “2020 Offering”) of an aggregate of 2,560,000 units of our equity securities (the “Units”) with gross proceeds to us of approximately $12.8 million. Net proceeds after deducting under</w:t>
      </w:r>
      <w:bookmarkStart w:id="78" w:name="_Hlk93337760"/>
      <w:r w:rsidRPr="00E239E3">
        <w:rPr>
          <w:sz w:val="20"/>
          <w:szCs w:val="20"/>
        </w:rPr>
        <w:t>writing discounts and commissions and other offering expenses were approximately $11.2 million</w:t>
      </w:r>
      <w:bookmarkEnd w:id="78"/>
      <w:r w:rsidRPr="00E239E3">
        <w:rPr>
          <w:sz w:val="20"/>
          <w:szCs w:val="20"/>
        </w:rPr>
        <w:t xml:space="preserve">. Each Unit sold in the offering consisted of one share of our common stock (or a pre-funded warrant to purchase one share of common stock, all of which were fully exercised during 2020), and a warrant to purchase one share of common stock (“Unit Warrant”), exercisable at an exercise price of $5.00 per share and with a five-year expiration date. </w:t>
      </w:r>
    </w:p>
    <w:bookmarkEnd w:id="77"/>
    <w:p w14:paraId="3D3A71C2" w14:textId="77777777" w:rsidR="00E239E3" w:rsidRPr="00E239E3" w:rsidRDefault="00E239E3" w:rsidP="00E239E3">
      <w:pPr>
        <w:rPr>
          <w:sz w:val="20"/>
          <w:szCs w:val="20"/>
        </w:rPr>
      </w:pPr>
    </w:p>
    <w:p w14:paraId="062B0768" w14:textId="77777777" w:rsidR="00E239E3" w:rsidRPr="00E239E3" w:rsidRDefault="00E239E3" w:rsidP="00E239E3">
      <w:pPr>
        <w:rPr>
          <w:sz w:val="20"/>
          <w:szCs w:val="20"/>
        </w:rPr>
      </w:pPr>
      <w:r w:rsidRPr="00E239E3">
        <w:rPr>
          <w:sz w:val="20"/>
          <w:szCs w:val="20"/>
        </w:rPr>
        <w:t xml:space="preserve">From 2016 through August 2020, to help conserve the Company’s cash resources, our executive officers and non-employee directors agreed to defer receipt of all or a portion of their respective cash compensation. Upon consummation of the 2020 Offering, $1,500,000 of accumulated deferrals were converted at the $5.00 offering price, resulting in the issuance of 300,001 units substantially similar to the units sold in the public offering, with each unit consisting of one share of our common stock and one warrant substantially similar to a Unit Warrant. </w:t>
      </w:r>
    </w:p>
    <w:p w14:paraId="3BC7D1C9" w14:textId="77777777" w:rsidR="00E239E3" w:rsidRPr="00E239E3" w:rsidRDefault="00E239E3" w:rsidP="00E239E3">
      <w:pPr>
        <w:rPr>
          <w:sz w:val="20"/>
          <w:szCs w:val="20"/>
        </w:rPr>
      </w:pPr>
    </w:p>
    <w:p w14:paraId="7BC7DDEA" w14:textId="77777777" w:rsidR="00E239E3" w:rsidRPr="00E239E3" w:rsidRDefault="00E239E3" w:rsidP="00E239E3">
      <w:pPr>
        <w:rPr>
          <w:sz w:val="20"/>
          <w:szCs w:val="20"/>
        </w:rPr>
      </w:pPr>
      <w:r w:rsidRPr="00E239E3">
        <w:rPr>
          <w:rFonts w:eastAsia="????"/>
          <w:sz w:val="20"/>
          <w:szCs w:val="20"/>
        </w:rPr>
        <w:t>Upon consummation of the 2020 Offering, we issued an aggregate of 177,626 shares of our common stock, 126,042 pre-funded warrants to purchase common stock, and 303,668 warrants</w:t>
      </w:r>
      <w:r w:rsidRPr="00E239E3">
        <w:rPr>
          <w:sz w:val="20"/>
          <w:szCs w:val="20"/>
        </w:rPr>
        <w:t xml:space="preserve"> substantially similar to a Unit Warrant</w:t>
      </w:r>
      <w:r w:rsidRPr="00E239E3">
        <w:rPr>
          <w:rFonts w:eastAsia="????"/>
          <w:sz w:val="20"/>
          <w:szCs w:val="20"/>
        </w:rPr>
        <w:t xml:space="preserve"> upon the mandatory conversion of $1,214,667 of convertible debentures and accrued interest.</w:t>
      </w:r>
    </w:p>
    <w:p w14:paraId="3D99484D" w14:textId="77777777" w:rsidR="00E239E3" w:rsidRPr="00E239E3" w:rsidRDefault="00E239E3" w:rsidP="00E239E3">
      <w:pPr>
        <w:rPr>
          <w:sz w:val="20"/>
          <w:szCs w:val="20"/>
        </w:rPr>
      </w:pPr>
    </w:p>
    <w:p w14:paraId="3C779A33" w14:textId="77777777" w:rsidR="00E239E3" w:rsidRPr="00E239E3" w:rsidRDefault="00E239E3" w:rsidP="00E239E3">
      <w:pPr>
        <w:rPr>
          <w:sz w:val="20"/>
          <w:szCs w:val="20"/>
        </w:rPr>
      </w:pPr>
      <w:r w:rsidRPr="00E239E3">
        <w:rPr>
          <w:i/>
          <w:iCs/>
          <w:sz w:val="20"/>
          <w:szCs w:val="20"/>
        </w:rPr>
        <w:lastRenderedPageBreak/>
        <w:t xml:space="preserve">2021 Public Offering – </w:t>
      </w:r>
      <w:r w:rsidRPr="00E239E3">
        <w:rPr>
          <w:sz w:val="20"/>
          <w:szCs w:val="20"/>
        </w:rPr>
        <w:t xml:space="preserve">On February 11, 2021, we closed an underwritten public offering of 1,644,000 shares of our common stock, with gross proceeds to us of approximately $10.3 million. Net proceeds after deducting underwriting discounts and commissions and other offering expenses were approximately $9.4 million. </w:t>
      </w:r>
    </w:p>
    <w:p w14:paraId="53636367" w14:textId="77777777" w:rsidR="00E239E3" w:rsidRPr="00E239E3" w:rsidRDefault="00E239E3" w:rsidP="00E239E3">
      <w:pPr>
        <w:rPr>
          <w:sz w:val="20"/>
          <w:szCs w:val="20"/>
        </w:rPr>
      </w:pPr>
    </w:p>
    <w:p w14:paraId="26E94E32" w14:textId="77777777" w:rsidR="00E239E3" w:rsidRPr="00E239E3" w:rsidRDefault="00E239E3" w:rsidP="00E239E3">
      <w:pPr>
        <w:rPr>
          <w:sz w:val="20"/>
          <w:szCs w:val="20"/>
        </w:rPr>
      </w:pPr>
      <w:r w:rsidRPr="00E239E3">
        <w:rPr>
          <w:i/>
          <w:iCs/>
          <w:sz w:val="20"/>
          <w:szCs w:val="20"/>
        </w:rPr>
        <w:t>Warrant exercises</w:t>
      </w:r>
      <w:r w:rsidRPr="00E239E3">
        <w:rPr>
          <w:sz w:val="20"/>
          <w:szCs w:val="20"/>
        </w:rPr>
        <w:t xml:space="preserve"> – During 2021, 740,034 Unit Warrants were exercised for cash, resulting in gross proceeds to us of approximately $3.7 million; net proceeds after deducting commissions owed to the underwriter of the 2020 Offering were approximately $3.4 million.  During 2021, an aggregate of 215,672 warrants were exercised using the cashless exercise </w:t>
      </w:r>
      <w:r w:rsidRPr="00E239E3">
        <w:rPr>
          <w:color w:val="000000"/>
          <w:sz w:val="20"/>
          <w:szCs w:val="20"/>
        </w:rPr>
        <w:t>feature of the warrants, resulting in the issuance of an aggregate of 149,705 shares of our common stock. During 2020, 54,557 warrants were exercised using the cashless exercise feature of the warrants, resulting in the issuance of an aggregate of 36,902 shares of our common stock</w:t>
      </w:r>
    </w:p>
    <w:p w14:paraId="5F699D98" w14:textId="77777777" w:rsidR="00E239E3" w:rsidRPr="00E239E3" w:rsidRDefault="00E239E3" w:rsidP="00E239E3">
      <w:pPr>
        <w:rPr>
          <w:sz w:val="20"/>
          <w:szCs w:val="20"/>
        </w:rPr>
      </w:pPr>
    </w:p>
    <w:p w14:paraId="71CFAA5B" w14:textId="77777777" w:rsidR="00E239E3" w:rsidRPr="00E239E3" w:rsidRDefault="00E239E3" w:rsidP="00E239E3">
      <w:pPr>
        <w:rPr>
          <w:sz w:val="20"/>
          <w:szCs w:val="20"/>
        </w:rPr>
      </w:pPr>
      <w:r w:rsidRPr="00E239E3">
        <w:rPr>
          <w:i/>
          <w:iCs/>
          <w:sz w:val="20"/>
          <w:szCs w:val="20"/>
        </w:rPr>
        <w:t>Other Common Stock Transactions</w:t>
      </w:r>
      <w:r w:rsidRPr="00E239E3">
        <w:rPr>
          <w:sz w:val="20"/>
          <w:szCs w:val="20"/>
        </w:rPr>
        <w:t xml:space="preserve"> – </w:t>
      </w:r>
      <w:bookmarkStart w:id="79" w:name="_Hlk61863128"/>
      <w:r w:rsidRPr="00E239E3">
        <w:rPr>
          <w:sz w:val="20"/>
          <w:szCs w:val="20"/>
        </w:rPr>
        <w:t>During 2021 and 2020 we issued 13,707 and 26,581 shares, respectively, of our common stock pursuant to consulting agreements.</w:t>
      </w:r>
      <w:bookmarkEnd w:id="79"/>
      <w:r w:rsidRPr="00E239E3">
        <w:rPr>
          <w:sz w:val="20"/>
          <w:szCs w:val="20"/>
        </w:rPr>
        <w:t xml:space="preserve"> During 2020 we issued an aggregate of 716,790 shares of our common stock, pursuant to the conversion of Series H and Series I convertible preferred stock.</w:t>
      </w:r>
    </w:p>
    <w:p w14:paraId="46C7529B" w14:textId="77777777" w:rsidR="00E239E3" w:rsidRPr="00E239E3" w:rsidRDefault="00E239E3" w:rsidP="00E239E3">
      <w:pPr>
        <w:rPr>
          <w:sz w:val="20"/>
          <w:szCs w:val="20"/>
        </w:rPr>
      </w:pPr>
    </w:p>
    <w:p w14:paraId="67B8CD5D" w14:textId="77777777" w:rsidR="00E239E3" w:rsidRPr="00E239E3" w:rsidRDefault="00E239E3" w:rsidP="00E239E3">
      <w:pPr>
        <w:suppressAutoHyphens/>
        <w:spacing w:line="240" w:lineRule="exact"/>
        <w:rPr>
          <w:i/>
          <w:sz w:val="20"/>
          <w:szCs w:val="20"/>
        </w:rPr>
      </w:pPr>
      <w:r w:rsidRPr="00E239E3">
        <w:rPr>
          <w:i/>
          <w:sz w:val="20"/>
          <w:szCs w:val="20"/>
        </w:rPr>
        <w:t>Stock Option Plan</w:t>
      </w:r>
    </w:p>
    <w:p w14:paraId="37AB4672" w14:textId="77777777" w:rsidR="00E239E3" w:rsidRPr="00E239E3" w:rsidRDefault="00E239E3" w:rsidP="00E239E3">
      <w:pPr>
        <w:rPr>
          <w:sz w:val="20"/>
          <w:szCs w:val="20"/>
        </w:rPr>
      </w:pPr>
    </w:p>
    <w:p w14:paraId="40BA5F34" w14:textId="77777777" w:rsidR="00E239E3" w:rsidRPr="00E239E3" w:rsidRDefault="00E239E3" w:rsidP="00E239E3">
      <w:pPr>
        <w:rPr>
          <w:sz w:val="20"/>
          <w:szCs w:val="20"/>
        </w:rPr>
      </w:pPr>
      <w:r w:rsidRPr="00E239E3">
        <w:rPr>
          <w:sz w:val="20"/>
          <w:szCs w:val="20"/>
        </w:rPr>
        <w:t xml:space="preserve">We have a stock-based incentive plan (the “2020 Plan”) </w:t>
      </w:r>
      <w:r w:rsidRPr="00E239E3">
        <w:rPr>
          <w:color w:val="000000"/>
          <w:sz w:val="20"/>
          <w:szCs w:val="20"/>
        </w:rPr>
        <w:t xml:space="preserve">pursuant to which our Board of Directors may grant stock options to our employees. A total of 1,500,000 shares of our common stock are reserved for issuance pursuant to the 2020 Plan. </w:t>
      </w:r>
      <w:r w:rsidRPr="00E239E3">
        <w:rPr>
          <w:sz w:val="20"/>
          <w:szCs w:val="20"/>
        </w:rPr>
        <w:t>The exercise price for any option granted may not be less than fair value (110% of fair value for ISO’s granted to certain employees). Options have a maximum ten-year term</w:t>
      </w:r>
      <w:r w:rsidRPr="00E239E3">
        <w:rPr>
          <w:color w:val="000000"/>
          <w:sz w:val="20"/>
          <w:szCs w:val="20"/>
        </w:rPr>
        <w:t>.</w:t>
      </w:r>
    </w:p>
    <w:p w14:paraId="48E314EC" w14:textId="77777777" w:rsidR="00E239E3" w:rsidRPr="00E239E3" w:rsidRDefault="00E239E3" w:rsidP="00E239E3">
      <w:pPr>
        <w:suppressAutoHyphens/>
        <w:spacing w:line="240" w:lineRule="exact"/>
        <w:rPr>
          <w:sz w:val="20"/>
          <w:szCs w:val="20"/>
        </w:rPr>
      </w:pPr>
    </w:p>
    <w:p w14:paraId="4AA68311" w14:textId="77777777" w:rsidR="00E239E3" w:rsidRPr="00E239E3" w:rsidRDefault="00E239E3" w:rsidP="00E239E3">
      <w:pPr>
        <w:suppressAutoHyphens/>
        <w:spacing w:line="240" w:lineRule="exact"/>
        <w:rPr>
          <w:sz w:val="20"/>
          <w:szCs w:val="20"/>
        </w:rPr>
      </w:pPr>
      <w:r w:rsidRPr="00E239E3">
        <w:rPr>
          <w:sz w:val="20"/>
          <w:szCs w:val="20"/>
        </w:rPr>
        <w:t>We use the Black-Scholes model for determining the grant date fair value of our stock option grants. This model utilizes certain information, such as the interest rate on a risk-free security with a term generally equivalent to the expected life of the option being valued and requires certain other assumptions, such as the expected amount of time an option will be outstanding until it is exercised or expired, to calculate the fair value of stock options granted. The significant assumptions we used in our fair value calculations were as follows:</w:t>
      </w:r>
    </w:p>
    <w:tbl>
      <w:tblPr>
        <w:tblW w:w="0" w:type="auto"/>
        <w:tblLook w:val="01E0" w:firstRow="1" w:lastRow="1" w:firstColumn="1" w:lastColumn="1" w:noHBand="0" w:noVBand="0"/>
      </w:tblPr>
      <w:tblGrid>
        <w:gridCol w:w="5139"/>
        <w:gridCol w:w="1346"/>
        <w:gridCol w:w="1439"/>
        <w:gridCol w:w="1436"/>
      </w:tblGrid>
      <w:tr w:rsidR="00E239E3" w:rsidRPr="00E239E3" w14:paraId="435EE818" w14:textId="77777777" w:rsidTr="004F5282">
        <w:tc>
          <w:tcPr>
            <w:tcW w:w="5598" w:type="dxa"/>
          </w:tcPr>
          <w:p w14:paraId="70FEFB24" w14:textId="77777777" w:rsidR="00E239E3" w:rsidRPr="00E239E3" w:rsidRDefault="00E239E3" w:rsidP="00E239E3">
            <w:pPr>
              <w:suppressAutoHyphens/>
              <w:spacing w:line="240" w:lineRule="exact"/>
              <w:rPr>
                <w:sz w:val="20"/>
                <w:szCs w:val="20"/>
              </w:rPr>
            </w:pPr>
          </w:p>
        </w:tc>
        <w:tc>
          <w:tcPr>
            <w:tcW w:w="1470" w:type="dxa"/>
          </w:tcPr>
          <w:p w14:paraId="00F5775D" w14:textId="77777777" w:rsidR="00E239E3" w:rsidRPr="00E239E3" w:rsidRDefault="00E239E3" w:rsidP="00E239E3">
            <w:pPr>
              <w:suppressAutoHyphens/>
              <w:spacing w:line="240" w:lineRule="exact"/>
              <w:rPr>
                <w:sz w:val="20"/>
                <w:szCs w:val="20"/>
              </w:rPr>
            </w:pPr>
          </w:p>
        </w:tc>
        <w:tc>
          <w:tcPr>
            <w:tcW w:w="1470" w:type="dxa"/>
            <w:tcBorders>
              <w:bottom w:val="single" w:sz="4" w:space="0" w:color="auto"/>
            </w:tcBorders>
          </w:tcPr>
          <w:p w14:paraId="63F0D1D2" w14:textId="77777777" w:rsidR="00E239E3" w:rsidRPr="00E239E3" w:rsidRDefault="00E239E3" w:rsidP="00E239E3">
            <w:pPr>
              <w:suppressAutoHyphens/>
              <w:spacing w:line="240" w:lineRule="exact"/>
              <w:jc w:val="center"/>
              <w:rPr>
                <w:sz w:val="20"/>
                <w:szCs w:val="20"/>
              </w:rPr>
            </w:pPr>
            <w:r w:rsidRPr="00E239E3">
              <w:rPr>
                <w:sz w:val="20"/>
                <w:szCs w:val="20"/>
              </w:rPr>
              <w:t>2021</w:t>
            </w:r>
          </w:p>
        </w:tc>
        <w:tc>
          <w:tcPr>
            <w:tcW w:w="1470" w:type="dxa"/>
            <w:tcBorders>
              <w:bottom w:val="single" w:sz="4" w:space="0" w:color="auto"/>
            </w:tcBorders>
          </w:tcPr>
          <w:p w14:paraId="28AE577C" w14:textId="77777777" w:rsidR="00E239E3" w:rsidRPr="00E239E3" w:rsidRDefault="00E239E3" w:rsidP="00E239E3">
            <w:pPr>
              <w:suppressAutoHyphens/>
              <w:spacing w:line="240" w:lineRule="exact"/>
              <w:jc w:val="center"/>
              <w:rPr>
                <w:sz w:val="20"/>
                <w:szCs w:val="20"/>
              </w:rPr>
            </w:pPr>
            <w:r w:rsidRPr="00E239E3">
              <w:rPr>
                <w:sz w:val="20"/>
                <w:szCs w:val="20"/>
              </w:rPr>
              <w:t>2020</w:t>
            </w:r>
          </w:p>
        </w:tc>
      </w:tr>
      <w:tr w:rsidR="00E239E3" w:rsidRPr="00E239E3" w14:paraId="56BFD139" w14:textId="77777777" w:rsidTr="004F5282">
        <w:tc>
          <w:tcPr>
            <w:tcW w:w="5598" w:type="dxa"/>
          </w:tcPr>
          <w:p w14:paraId="2AFAB577" w14:textId="77777777" w:rsidR="00E239E3" w:rsidRPr="00E239E3" w:rsidRDefault="00E239E3" w:rsidP="00E239E3">
            <w:pPr>
              <w:suppressAutoHyphens/>
              <w:spacing w:line="240" w:lineRule="exact"/>
              <w:rPr>
                <w:sz w:val="20"/>
                <w:szCs w:val="20"/>
              </w:rPr>
            </w:pPr>
            <w:r w:rsidRPr="00E239E3">
              <w:rPr>
                <w:sz w:val="20"/>
                <w:szCs w:val="20"/>
              </w:rPr>
              <w:t>Weighted average risk-free interest rates</w:t>
            </w:r>
          </w:p>
        </w:tc>
        <w:tc>
          <w:tcPr>
            <w:tcW w:w="1470" w:type="dxa"/>
          </w:tcPr>
          <w:p w14:paraId="6F105A6A" w14:textId="77777777" w:rsidR="00E239E3" w:rsidRPr="00E239E3" w:rsidRDefault="00E239E3" w:rsidP="00E239E3">
            <w:pPr>
              <w:tabs>
                <w:tab w:val="right" w:pos="882"/>
              </w:tabs>
              <w:suppressAutoHyphens/>
              <w:spacing w:line="240" w:lineRule="exact"/>
              <w:rPr>
                <w:sz w:val="20"/>
                <w:szCs w:val="20"/>
              </w:rPr>
            </w:pPr>
          </w:p>
        </w:tc>
        <w:tc>
          <w:tcPr>
            <w:tcW w:w="1470" w:type="dxa"/>
            <w:tcBorders>
              <w:top w:val="single" w:sz="4" w:space="0" w:color="auto"/>
            </w:tcBorders>
          </w:tcPr>
          <w:p w14:paraId="61697996" w14:textId="77777777" w:rsidR="00E239E3" w:rsidRPr="00E239E3" w:rsidRDefault="00E239E3" w:rsidP="00E239E3">
            <w:pPr>
              <w:tabs>
                <w:tab w:val="right" w:pos="942"/>
              </w:tabs>
              <w:suppressAutoHyphens/>
              <w:spacing w:line="240" w:lineRule="exact"/>
              <w:rPr>
                <w:sz w:val="20"/>
                <w:szCs w:val="20"/>
              </w:rPr>
            </w:pPr>
            <w:r w:rsidRPr="00E239E3">
              <w:rPr>
                <w:sz w:val="20"/>
                <w:szCs w:val="20"/>
              </w:rPr>
              <w:tab/>
              <w:t>1.43%</w:t>
            </w:r>
          </w:p>
        </w:tc>
        <w:tc>
          <w:tcPr>
            <w:tcW w:w="1470" w:type="dxa"/>
            <w:tcBorders>
              <w:top w:val="single" w:sz="4" w:space="0" w:color="auto"/>
            </w:tcBorders>
          </w:tcPr>
          <w:p w14:paraId="266A4AAF" w14:textId="77777777" w:rsidR="00E239E3" w:rsidRPr="00E239E3" w:rsidRDefault="00E239E3" w:rsidP="00E239E3">
            <w:pPr>
              <w:tabs>
                <w:tab w:val="right" w:pos="912"/>
              </w:tabs>
              <w:suppressAutoHyphens/>
              <w:spacing w:line="240" w:lineRule="exact"/>
              <w:rPr>
                <w:sz w:val="20"/>
                <w:szCs w:val="20"/>
              </w:rPr>
            </w:pPr>
            <w:r w:rsidRPr="00E239E3">
              <w:rPr>
                <w:sz w:val="20"/>
                <w:szCs w:val="20"/>
              </w:rPr>
              <w:tab/>
              <w:t>0.69%</w:t>
            </w:r>
          </w:p>
        </w:tc>
      </w:tr>
      <w:tr w:rsidR="00E239E3" w:rsidRPr="00E239E3" w14:paraId="4467C454" w14:textId="77777777" w:rsidTr="004F5282">
        <w:tc>
          <w:tcPr>
            <w:tcW w:w="5598" w:type="dxa"/>
          </w:tcPr>
          <w:p w14:paraId="17CA53A6" w14:textId="77777777" w:rsidR="00E239E3" w:rsidRPr="00E239E3" w:rsidRDefault="00E239E3" w:rsidP="00E239E3">
            <w:pPr>
              <w:suppressAutoHyphens/>
              <w:spacing w:line="240" w:lineRule="exact"/>
              <w:rPr>
                <w:sz w:val="20"/>
                <w:szCs w:val="20"/>
              </w:rPr>
            </w:pPr>
            <w:r w:rsidRPr="00E239E3">
              <w:rPr>
                <w:sz w:val="20"/>
                <w:szCs w:val="20"/>
              </w:rPr>
              <w:t>Expected dividend yield</w:t>
            </w:r>
          </w:p>
        </w:tc>
        <w:tc>
          <w:tcPr>
            <w:tcW w:w="1470" w:type="dxa"/>
          </w:tcPr>
          <w:p w14:paraId="47F7B5E9" w14:textId="77777777" w:rsidR="00E239E3" w:rsidRPr="00E239E3" w:rsidRDefault="00E239E3" w:rsidP="00E239E3">
            <w:pPr>
              <w:tabs>
                <w:tab w:val="right" w:pos="882"/>
              </w:tabs>
              <w:suppressAutoHyphens/>
              <w:spacing w:line="240" w:lineRule="exact"/>
              <w:rPr>
                <w:sz w:val="20"/>
                <w:szCs w:val="20"/>
              </w:rPr>
            </w:pPr>
          </w:p>
        </w:tc>
        <w:tc>
          <w:tcPr>
            <w:tcW w:w="1470" w:type="dxa"/>
          </w:tcPr>
          <w:p w14:paraId="050A84BD" w14:textId="77777777" w:rsidR="00E239E3" w:rsidRPr="00E239E3" w:rsidRDefault="00E239E3" w:rsidP="00E239E3">
            <w:pPr>
              <w:tabs>
                <w:tab w:val="right" w:pos="942"/>
              </w:tabs>
              <w:suppressAutoHyphens/>
              <w:spacing w:line="240" w:lineRule="exact"/>
              <w:rPr>
                <w:sz w:val="20"/>
                <w:szCs w:val="20"/>
              </w:rPr>
            </w:pPr>
            <w:r w:rsidRPr="00E239E3">
              <w:rPr>
                <w:sz w:val="20"/>
                <w:szCs w:val="20"/>
              </w:rPr>
              <w:tab/>
              <w:t>0.0%</w:t>
            </w:r>
          </w:p>
        </w:tc>
        <w:tc>
          <w:tcPr>
            <w:tcW w:w="1470" w:type="dxa"/>
          </w:tcPr>
          <w:p w14:paraId="7F92F902" w14:textId="77777777" w:rsidR="00E239E3" w:rsidRPr="00E239E3" w:rsidRDefault="00E239E3" w:rsidP="00E239E3">
            <w:pPr>
              <w:tabs>
                <w:tab w:val="right" w:pos="912"/>
              </w:tabs>
              <w:suppressAutoHyphens/>
              <w:spacing w:line="240" w:lineRule="exact"/>
              <w:rPr>
                <w:sz w:val="20"/>
                <w:szCs w:val="20"/>
              </w:rPr>
            </w:pPr>
            <w:r w:rsidRPr="00E239E3">
              <w:rPr>
                <w:sz w:val="20"/>
                <w:szCs w:val="20"/>
              </w:rPr>
              <w:tab/>
              <w:t>0.0%</w:t>
            </w:r>
          </w:p>
        </w:tc>
      </w:tr>
      <w:tr w:rsidR="00E239E3" w:rsidRPr="00E239E3" w14:paraId="35027AB7" w14:textId="77777777" w:rsidTr="004F5282">
        <w:tc>
          <w:tcPr>
            <w:tcW w:w="5598" w:type="dxa"/>
          </w:tcPr>
          <w:p w14:paraId="5BE39511" w14:textId="77777777" w:rsidR="00E239E3" w:rsidRPr="00E239E3" w:rsidRDefault="00E239E3" w:rsidP="00E239E3">
            <w:pPr>
              <w:suppressAutoHyphens/>
              <w:spacing w:line="240" w:lineRule="exact"/>
              <w:rPr>
                <w:sz w:val="20"/>
                <w:szCs w:val="20"/>
              </w:rPr>
            </w:pPr>
            <w:r w:rsidRPr="00E239E3">
              <w:rPr>
                <w:sz w:val="20"/>
                <w:szCs w:val="20"/>
              </w:rPr>
              <w:t>Expected life of option</w:t>
            </w:r>
          </w:p>
        </w:tc>
        <w:tc>
          <w:tcPr>
            <w:tcW w:w="1470" w:type="dxa"/>
          </w:tcPr>
          <w:p w14:paraId="44DAA31D" w14:textId="77777777" w:rsidR="00E239E3" w:rsidRPr="00E239E3" w:rsidRDefault="00E239E3" w:rsidP="00E239E3">
            <w:pPr>
              <w:tabs>
                <w:tab w:val="right" w:pos="882"/>
              </w:tabs>
              <w:suppressAutoHyphens/>
              <w:spacing w:line="240" w:lineRule="exact"/>
              <w:rPr>
                <w:sz w:val="20"/>
                <w:szCs w:val="20"/>
              </w:rPr>
            </w:pPr>
          </w:p>
        </w:tc>
        <w:tc>
          <w:tcPr>
            <w:tcW w:w="1470" w:type="dxa"/>
          </w:tcPr>
          <w:p w14:paraId="12B065A1" w14:textId="77777777" w:rsidR="00E239E3" w:rsidRPr="00E239E3" w:rsidRDefault="00E239E3" w:rsidP="00E239E3">
            <w:pPr>
              <w:tabs>
                <w:tab w:val="right" w:pos="942"/>
              </w:tabs>
              <w:suppressAutoHyphens/>
              <w:spacing w:line="240" w:lineRule="exact"/>
              <w:rPr>
                <w:sz w:val="20"/>
                <w:szCs w:val="20"/>
              </w:rPr>
            </w:pPr>
            <w:r w:rsidRPr="00E239E3">
              <w:rPr>
                <w:sz w:val="20"/>
                <w:szCs w:val="20"/>
              </w:rPr>
              <w:tab/>
              <w:t xml:space="preserve">7.0 </w:t>
            </w:r>
            <w:proofErr w:type="spellStart"/>
            <w:r w:rsidRPr="00E239E3">
              <w:rPr>
                <w:sz w:val="20"/>
                <w:szCs w:val="20"/>
              </w:rPr>
              <w:t>yrs</w:t>
            </w:r>
            <w:proofErr w:type="spellEnd"/>
          </w:p>
        </w:tc>
        <w:tc>
          <w:tcPr>
            <w:tcW w:w="1470" w:type="dxa"/>
          </w:tcPr>
          <w:p w14:paraId="1437A004" w14:textId="77777777" w:rsidR="00E239E3" w:rsidRPr="00E239E3" w:rsidRDefault="00E239E3" w:rsidP="00E239E3">
            <w:pPr>
              <w:tabs>
                <w:tab w:val="right" w:pos="912"/>
              </w:tabs>
              <w:suppressAutoHyphens/>
              <w:spacing w:line="240" w:lineRule="exact"/>
              <w:rPr>
                <w:sz w:val="20"/>
                <w:szCs w:val="20"/>
              </w:rPr>
            </w:pPr>
            <w:r w:rsidRPr="00E239E3">
              <w:rPr>
                <w:sz w:val="20"/>
                <w:szCs w:val="20"/>
              </w:rPr>
              <w:tab/>
              <w:t xml:space="preserve">7.0 </w:t>
            </w:r>
            <w:proofErr w:type="spellStart"/>
            <w:r w:rsidRPr="00E239E3">
              <w:rPr>
                <w:sz w:val="20"/>
                <w:szCs w:val="20"/>
              </w:rPr>
              <w:t>yrs</w:t>
            </w:r>
            <w:proofErr w:type="spellEnd"/>
          </w:p>
        </w:tc>
      </w:tr>
      <w:tr w:rsidR="00E239E3" w:rsidRPr="00E239E3" w14:paraId="39DDAC20" w14:textId="77777777" w:rsidTr="004F5282">
        <w:tc>
          <w:tcPr>
            <w:tcW w:w="5598" w:type="dxa"/>
          </w:tcPr>
          <w:p w14:paraId="3B2AA056" w14:textId="77777777" w:rsidR="00E239E3" w:rsidRPr="00E239E3" w:rsidRDefault="00E239E3" w:rsidP="00E239E3">
            <w:pPr>
              <w:suppressAutoHyphens/>
              <w:spacing w:line="240" w:lineRule="exact"/>
              <w:rPr>
                <w:sz w:val="20"/>
                <w:szCs w:val="20"/>
              </w:rPr>
            </w:pPr>
            <w:r w:rsidRPr="00E239E3">
              <w:rPr>
                <w:sz w:val="20"/>
                <w:szCs w:val="20"/>
              </w:rPr>
              <w:t>Expected volatility</w:t>
            </w:r>
          </w:p>
        </w:tc>
        <w:tc>
          <w:tcPr>
            <w:tcW w:w="1470" w:type="dxa"/>
          </w:tcPr>
          <w:p w14:paraId="6D55E59F" w14:textId="77777777" w:rsidR="00E239E3" w:rsidRPr="00E239E3" w:rsidRDefault="00E239E3" w:rsidP="00E239E3">
            <w:pPr>
              <w:tabs>
                <w:tab w:val="right" w:pos="882"/>
              </w:tabs>
              <w:suppressAutoHyphens/>
              <w:spacing w:line="240" w:lineRule="exact"/>
              <w:rPr>
                <w:sz w:val="20"/>
                <w:szCs w:val="20"/>
              </w:rPr>
            </w:pPr>
          </w:p>
        </w:tc>
        <w:tc>
          <w:tcPr>
            <w:tcW w:w="1470" w:type="dxa"/>
          </w:tcPr>
          <w:p w14:paraId="1356F190" w14:textId="77777777" w:rsidR="00E239E3" w:rsidRPr="00E239E3" w:rsidRDefault="00E239E3" w:rsidP="00E239E3">
            <w:pPr>
              <w:tabs>
                <w:tab w:val="right" w:pos="942"/>
              </w:tabs>
              <w:suppressAutoHyphens/>
              <w:spacing w:line="240" w:lineRule="exact"/>
              <w:rPr>
                <w:sz w:val="20"/>
                <w:szCs w:val="20"/>
              </w:rPr>
            </w:pPr>
            <w:r w:rsidRPr="00E239E3">
              <w:rPr>
                <w:sz w:val="20"/>
                <w:szCs w:val="20"/>
              </w:rPr>
              <w:tab/>
              <w:t>84.80%</w:t>
            </w:r>
          </w:p>
        </w:tc>
        <w:tc>
          <w:tcPr>
            <w:tcW w:w="1470" w:type="dxa"/>
          </w:tcPr>
          <w:p w14:paraId="097DCAE7" w14:textId="77777777" w:rsidR="00E239E3" w:rsidRPr="00E239E3" w:rsidRDefault="00E239E3" w:rsidP="00E239E3">
            <w:pPr>
              <w:tabs>
                <w:tab w:val="right" w:pos="912"/>
              </w:tabs>
              <w:suppressAutoHyphens/>
              <w:spacing w:line="240" w:lineRule="exact"/>
              <w:rPr>
                <w:sz w:val="20"/>
                <w:szCs w:val="20"/>
              </w:rPr>
            </w:pPr>
            <w:r w:rsidRPr="00E239E3">
              <w:rPr>
                <w:sz w:val="20"/>
                <w:szCs w:val="20"/>
              </w:rPr>
              <w:tab/>
              <w:t>38.16%</w:t>
            </w:r>
          </w:p>
        </w:tc>
      </w:tr>
    </w:tbl>
    <w:p w14:paraId="082127E9" w14:textId="77777777" w:rsidR="00E239E3" w:rsidRPr="00E239E3" w:rsidRDefault="00E239E3" w:rsidP="00E239E3">
      <w:pPr>
        <w:suppressAutoHyphens/>
        <w:spacing w:line="240" w:lineRule="exact"/>
        <w:rPr>
          <w:sz w:val="20"/>
          <w:szCs w:val="20"/>
        </w:rPr>
      </w:pPr>
    </w:p>
    <w:p w14:paraId="7B04D8C7" w14:textId="77777777" w:rsidR="00E239E3" w:rsidRPr="00E239E3" w:rsidRDefault="00E239E3" w:rsidP="00E239E3">
      <w:pPr>
        <w:suppressAutoHyphens/>
        <w:spacing w:line="240" w:lineRule="exact"/>
        <w:rPr>
          <w:sz w:val="20"/>
          <w:szCs w:val="20"/>
        </w:rPr>
      </w:pPr>
      <w:r w:rsidRPr="00E239E3">
        <w:rPr>
          <w:sz w:val="20"/>
          <w:szCs w:val="20"/>
        </w:rPr>
        <w:t>A summary of stock option activity under the 2020 Plan as of December 31, 2021, and changes during the year then ended is presented below.</w:t>
      </w:r>
    </w:p>
    <w:tbl>
      <w:tblPr>
        <w:tblW w:w="0" w:type="auto"/>
        <w:tblLook w:val="01E0" w:firstRow="1" w:lastRow="1" w:firstColumn="1" w:lastColumn="1" w:noHBand="0" w:noVBand="0"/>
      </w:tblPr>
      <w:tblGrid>
        <w:gridCol w:w="3560"/>
        <w:gridCol w:w="1455"/>
        <w:gridCol w:w="1450"/>
        <w:gridCol w:w="1456"/>
        <w:gridCol w:w="1439"/>
      </w:tblGrid>
      <w:tr w:rsidR="00E239E3" w:rsidRPr="00E239E3" w14:paraId="3A20102E" w14:textId="77777777" w:rsidTr="004F5282">
        <w:tc>
          <w:tcPr>
            <w:tcW w:w="4068" w:type="dxa"/>
          </w:tcPr>
          <w:p w14:paraId="03FD40E9" w14:textId="77777777" w:rsidR="00E239E3" w:rsidRPr="00E239E3" w:rsidRDefault="00E239E3" w:rsidP="00E239E3">
            <w:pPr>
              <w:suppressAutoHyphens/>
              <w:spacing w:line="240" w:lineRule="exact"/>
              <w:rPr>
                <w:sz w:val="20"/>
                <w:szCs w:val="20"/>
              </w:rPr>
            </w:pPr>
          </w:p>
        </w:tc>
        <w:tc>
          <w:tcPr>
            <w:tcW w:w="1485" w:type="dxa"/>
            <w:tcBorders>
              <w:bottom w:val="single" w:sz="4" w:space="0" w:color="auto"/>
            </w:tcBorders>
          </w:tcPr>
          <w:p w14:paraId="25AFCC70" w14:textId="77777777" w:rsidR="00E239E3" w:rsidRPr="00E239E3" w:rsidRDefault="00E239E3" w:rsidP="00E239E3">
            <w:pPr>
              <w:suppressAutoHyphens/>
              <w:spacing w:line="240" w:lineRule="exact"/>
              <w:jc w:val="center"/>
              <w:rPr>
                <w:sz w:val="20"/>
                <w:szCs w:val="20"/>
              </w:rPr>
            </w:pPr>
          </w:p>
          <w:p w14:paraId="6442BB74" w14:textId="77777777" w:rsidR="00E239E3" w:rsidRPr="00E239E3" w:rsidRDefault="00E239E3" w:rsidP="00E239E3">
            <w:pPr>
              <w:suppressAutoHyphens/>
              <w:spacing w:line="240" w:lineRule="exact"/>
              <w:jc w:val="center"/>
              <w:rPr>
                <w:sz w:val="20"/>
                <w:szCs w:val="20"/>
              </w:rPr>
            </w:pPr>
          </w:p>
          <w:p w14:paraId="6F1E3804" w14:textId="77777777" w:rsidR="00E239E3" w:rsidRPr="00E239E3" w:rsidRDefault="00E239E3" w:rsidP="00E239E3">
            <w:pPr>
              <w:suppressAutoHyphens/>
              <w:spacing w:line="240" w:lineRule="exact"/>
              <w:jc w:val="center"/>
              <w:rPr>
                <w:sz w:val="20"/>
                <w:szCs w:val="20"/>
              </w:rPr>
            </w:pPr>
          </w:p>
          <w:p w14:paraId="7557DA5A" w14:textId="77777777" w:rsidR="00E239E3" w:rsidRPr="00E239E3" w:rsidRDefault="00E239E3" w:rsidP="00E239E3">
            <w:pPr>
              <w:suppressAutoHyphens/>
              <w:spacing w:line="240" w:lineRule="exact"/>
              <w:jc w:val="center"/>
              <w:rPr>
                <w:sz w:val="20"/>
                <w:szCs w:val="20"/>
              </w:rPr>
            </w:pPr>
            <w:r w:rsidRPr="00E239E3">
              <w:rPr>
                <w:sz w:val="20"/>
                <w:szCs w:val="20"/>
              </w:rPr>
              <w:t>Number</w:t>
            </w:r>
          </w:p>
          <w:p w14:paraId="466093EC" w14:textId="77777777" w:rsidR="00E239E3" w:rsidRPr="00E239E3" w:rsidRDefault="00E239E3" w:rsidP="00E239E3">
            <w:pPr>
              <w:suppressAutoHyphens/>
              <w:spacing w:line="240" w:lineRule="exact"/>
              <w:jc w:val="center"/>
              <w:rPr>
                <w:sz w:val="20"/>
                <w:szCs w:val="20"/>
              </w:rPr>
            </w:pPr>
            <w:r w:rsidRPr="00E239E3">
              <w:rPr>
                <w:sz w:val="20"/>
                <w:szCs w:val="20"/>
              </w:rPr>
              <w:t>of Shares</w:t>
            </w:r>
          </w:p>
        </w:tc>
        <w:tc>
          <w:tcPr>
            <w:tcW w:w="1485" w:type="dxa"/>
            <w:tcBorders>
              <w:bottom w:val="single" w:sz="4" w:space="0" w:color="auto"/>
            </w:tcBorders>
          </w:tcPr>
          <w:p w14:paraId="0217ADDD" w14:textId="77777777" w:rsidR="00E239E3" w:rsidRPr="00E239E3" w:rsidRDefault="00E239E3" w:rsidP="00E239E3">
            <w:pPr>
              <w:suppressAutoHyphens/>
              <w:spacing w:line="240" w:lineRule="exact"/>
              <w:jc w:val="center"/>
              <w:rPr>
                <w:sz w:val="20"/>
                <w:szCs w:val="20"/>
              </w:rPr>
            </w:pPr>
          </w:p>
          <w:p w14:paraId="6175A4B1" w14:textId="77777777" w:rsidR="00E239E3" w:rsidRPr="00E239E3" w:rsidRDefault="00E239E3" w:rsidP="00E239E3">
            <w:pPr>
              <w:suppressAutoHyphens/>
              <w:spacing w:line="240" w:lineRule="exact"/>
              <w:jc w:val="center"/>
              <w:rPr>
                <w:sz w:val="20"/>
                <w:szCs w:val="20"/>
              </w:rPr>
            </w:pPr>
            <w:r w:rsidRPr="00E239E3">
              <w:rPr>
                <w:sz w:val="20"/>
                <w:szCs w:val="20"/>
              </w:rPr>
              <w:t>Weighted-</w:t>
            </w:r>
          </w:p>
          <w:p w14:paraId="793BF6FC" w14:textId="77777777" w:rsidR="00E239E3" w:rsidRPr="00E239E3" w:rsidRDefault="00E239E3" w:rsidP="00E239E3">
            <w:pPr>
              <w:suppressAutoHyphens/>
              <w:spacing w:line="240" w:lineRule="exact"/>
              <w:jc w:val="center"/>
              <w:rPr>
                <w:sz w:val="20"/>
                <w:szCs w:val="20"/>
              </w:rPr>
            </w:pPr>
            <w:r w:rsidRPr="00E239E3">
              <w:rPr>
                <w:sz w:val="20"/>
                <w:szCs w:val="20"/>
              </w:rPr>
              <w:t>Average</w:t>
            </w:r>
          </w:p>
          <w:p w14:paraId="0C7F2CD8" w14:textId="77777777" w:rsidR="00E239E3" w:rsidRPr="00E239E3" w:rsidRDefault="00E239E3" w:rsidP="00E239E3">
            <w:pPr>
              <w:suppressAutoHyphens/>
              <w:spacing w:line="240" w:lineRule="exact"/>
              <w:jc w:val="center"/>
              <w:rPr>
                <w:sz w:val="20"/>
                <w:szCs w:val="20"/>
              </w:rPr>
            </w:pPr>
            <w:r w:rsidRPr="00E239E3">
              <w:rPr>
                <w:sz w:val="20"/>
                <w:szCs w:val="20"/>
              </w:rPr>
              <w:t>Exercise</w:t>
            </w:r>
          </w:p>
          <w:p w14:paraId="05E8015C" w14:textId="77777777" w:rsidR="00E239E3" w:rsidRPr="00E239E3" w:rsidRDefault="00E239E3" w:rsidP="00E239E3">
            <w:pPr>
              <w:suppressAutoHyphens/>
              <w:spacing w:line="240" w:lineRule="exact"/>
              <w:jc w:val="center"/>
              <w:rPr>
                <w:sz w:val="20"/>
                <w:szCs w:val="20"/>
              </w:rPr>
            </w:pPr>
            <w:r w:rsidRPr="00E239E3">
              <w:rPr>
                <w:sz w:val="20"/>
                <w:szCs w:val="20"/>
              </w:rPr>
              <w:t>Price</w:t>
            </w:r>
          </w:p>
        </w:tc>
        <w:tc>
          <w:tcPr>
            <w:tcW w:w="1485" w:type="dxa"/>
            <w:tcBorders>
              <w:bottom w:val="single" w:sz="4" w:space="0" w:color="auto"/>
            </w:tcBorders>
          </w:tcPr>
          <w:p w14:paraId="3088E450" w14:textId="77777777" w:rsidR="00E239E3" w:rsidRPr="00E239E3" w:rsidRDefault="00E239E3" w:rsidP="00E239E3">
            <w:pPr>
              <w:suppressAutoHyphens/>
              <w:spacing w:line="240" w:lineRule="exact"/>
              <w:jc w:val="center"/>
              <w:rPr>
                <w:sz w:val="20"/>
                <w:szCs w:val="20"/>
              </w:rPr>
            </w:pPr>
            <w:r w:rsidRPr="00E239E3">
              <w:rPr>
                <w:sz w:val="20"/>
                <w:szCs w:val="20"/>
              </w:rPr>
              <w:t>Weighted-</w:t>
            </w:r>
          </w:p>
          <w:p w14:paraId="0EABAC41" w14:textId="77777777" w:rsidR="00E239E3" w:rsidRPr="00E239E3" w:rsidRDefault="00E239E3" w:rsidP="00E239E3">
            <w:pPr>
              <w:suppressAutoHyphens/>
              <w:spacing w:line="240" w:lineRule="exact"/>
              <w:jc w:val="center"/>
              <w:rPr>
                <w:sz w:val="20"/>
                <w:szCs w:val="20"/>
              </w:rPr>
            </w:pPr>
            <w:r w:rsidRPr="00E239E3">
              <w:rPr>
                <w:sz w:val="20"/>
                <w:szCs w:val="20"/>
              </w:rPr>
              <w:t>Average</w:t>
            </w:r>
          </w:p>
          <w:p w14:paraId="6AFBEF42" w14:textId="77777777" w:rsidR="00E239E3" w:rsidRPr="00E239E3" w:rsidRDefault="00E239E3" w:rsidP="00E239E3">
            <w:pPr>
              <w:suppressAutoHyphens/>
              <w:spacing w:line="240" w:lineRule="exact"/>
              <w:jc w:val="center"/>
              <w:rPr>
                <w:sz w:val="20"/>
                <w:szCs w:val="20"/>
              </w:rPr>
            </w:pPr>
            <w:r w:rsidRPr="00E239E3">
              <w:rPr>
                <w:sz w:val="20"/>
                <w:szCs w:val="20"/>
              </w:rPr>
              <w:t>Remaining</w:t>
            </w:r>
          </w:p>
          <w:p w14:paraId="5E16B946" w14:textId="77777777" w:rsidR="00E239E3" w:rsidRPr="00E239E3" w:rsidRDefault="00E239E3" w:rsidP="00E239E3">
            <w:pPr>
              <w:suppressAutoHyphens/>
              <w:spacing w:line="240" w:lineRule="exact"/>
              <w:jc w:val="center"/>
              <w:rPr>
                <w:sz w:val="20"/>
                <w:szCs w:val="20"/>
              </w:rPr>
            </w:pPr>
            <w:r w:rsidRPr="00E239E3">
              <w:rPr>
                <w:sz w:val="20"/>
                <w:szCs w:val="20"/>
              </w:rPr>
              <w:t>Contractual</w:t>
            </w:r>
          </w:p>
          <w:p w14:paraId="28CEADD7" w14:textId="77777777" w:rsidR="00E239E3" w:rsidRPr="00E239E3" w:rsidRDefault="00E239E3" w:rsidP="00E239E3">
            <w:pPr>
              <w:suppressAutoHyphens/>
              <w:spacing w:line="240" w:lineRule="exact"/>
              <w:jc w:val="center"/>
              <w:rPr>
                <w:sz w:val="20"/>
                <w:szCs w:val="20"/>
              </w:rPr>
            </w:pPr>
            <w:r w:rsidRPr="00E239E3">
              <w:rPr>
                <w:sz w:val="20"/>
                <w:szCs w:val="20"/>
              </w:rPr>
              <w:t>Term (</w:t>
            </w:r>
            <w:proofErr w:type="spellStart"/>
            <w:r w:rsidRPr="00E239E3">
              <w:rPr>
                <w:sz w:val="20"/>
                <w:szCs w:val="20"/>
              </w:rPr>
              <w:t>yrs</w:t>
            </w:r>
            <w:proofErr w:type="spellEnd"/>
            <w:r w:rsidRPr="00E239E3">
              <w:rPr>
                <w:sz w:val="20"/>
                <w:szCs w:val="20"/>
              </w:rPr>
              <w:t>)</w:t>
            </w:r>
          </w:p>
        </w:tc>
        <w:tc>
          <w:tcPr>
            <w:tcW w:w="1485" w:type="dxa"/>
            <w:tcBorders>
              <w:bottom w:val="single" w:sz="4" w:space="0" w:color="auto"/>
            </w:tcBorders>
          </w:tcPr>
          <w:p w14:paraId="1BEFCACE" w14:textId="77777777" w:rsidR="00E239E3" w:rsidRPr="00E239E3" w:rsidRDefault="00E239E3" w:rsidP="00E239E3">
            <w:pPr>
              <w:suppressAutoHyphens/>
              <w:spacing w:line="240" w:lineRule="exact"/>
              <w:jc w:val="center"/>
              <w:rPr>
                <w:sz w:val="20"/>
                <w:szCs w:val="20"/>
              </w:rPr>
            </w:pPr>
          </w:p>
          <w:p w14:paraId="5943EF11" w14:textId="77777777" w:rsidR="00E239E3" w:rsidRPr="00E239E3" w:rsidRDefault="00E239E3" w:rsidP="00E239E3">
            <w:pPr>
              <w:suppressAutoHyphens/>
              <w:spacing w:line="240" w:lineRule="exact"/>
              <w:jc w:val="center"/>
              <w:rPr>
                <w:sz w:val="20"/>
                <w:szCs w:val="20"/>
              </w:rPr>
            </w:pPr>
          </w:p>
          <w:p w14:paraId="1E373BCA" w14:textId="77777777" w:rsidR="00E239E3" w:rsidRPr="00E239E3" w:rsidRDefault="00E239E3" w:rsidP="00E239E3">
            <w:pPr>
              <w:suppressAutoHyphens/>
              <w:spacing w:line="240" w:lineRule="exact"/>
              <w:jc w:val="center"/>
              <w:rPr>
                <w:sz w:val="20"/>
                <w:szCs w:val="20"/>
              </w:rPr>
            </w:pPr>
            <w:r w:rsidRPr="00E239E3">
              <w:rPr>
                <w:sz w:val="20"/>
                <w:szCs w:val="20"/>
              </w:rPr>
              <w:t>Aggregate</w:t>
            </w:r>
          </w:p>
          <w:p w14:paraId="47FD7B57" w14:textId="77777777" w:rsidR="00E239E3" w:rsidRPr="00E239E3" w:rsidRDefault="00E239E3" w:rsidP="00E239E3">
            <w:pPr>
              <w:suppressAutoHyphens/>
              <w:spacing w:line="240" w:lineRule="exact"/>
              <w:jc w:val="center"/>
              <w:rPr>
                <w:sz w:val="20"/>
                <w:szCs w:val="20"/>
              </w:rPr>
            </w:pPr>
            <w:r w:rsidRPr="00E239E3">
              <w:rPr>
                <w:sz w:val="20"/>
                <w:szCs w:val="20"/>
              </w:rPr>
              <w:t>Intrinsic</w:t>
            </w:r>
          </w:p>
          <w:p w14:paraId="627192F8" w14:textId="77777777" w:rsidR="00E239E3" w:rsidRPr="00E239E3" w:rsidRDefault="00E239E3" w:rsidP="00E239E3">
            <w:pPr>
              <w:suppressAutoHyphens/>
              <w:spacing w:line="240" w:lineRule="exact"/>
              <w:jc w:val="center"/>
              <w:rPr>
                <w:sz w:val="20"/>
                <w:szCs w:val="20"/>
              </w:rPr>
            </w:pPr>
            <w:r w:rsidRPr="00E239E3">
              <w:rPr>
                <w:sz w:val="20"/>
                <w:szCs w:val="20"/>
              </w:rPr>
              <w:t>Value</w:t>
            </w:r>
          </w:p>
        </w:tc>
      </w:tr>
      <w:tr w:rsidR="00E239E3" w:rsidRPr="00E239E3" w14:paraId="052C696D" w14:textId="77777777" w:rsidTr="004F5282">
        <w:tc>
          <w:tcPr>
            <w:tcW w:w="4068" w:type="dxa"/>
          </w:tcPr>
          <w:p w14:paraId="7B19979D" w14:textId="77777777" w:rsidR="00E239E3" w:rsidRPr="00E239E3" w:rsidRDefault="00E239E3" w:rsidP="00E239E3">
            <w:pPr>
              <w:suppressAutoHyphens/>
              <w:spacing w:line="240" w:lineRule="exact"/>
              <w:rPr>
                <w:sz w:val="20"/>
                <w:szCs w:val="20"/>
              </w:rPr>
            </w:pPr>
            <w:r w:rsidRPr="00E239E3">
              <w:rPr>
                <w:sz w:val="20"/>
                <w:szCs w:val="20"/>
              </w:rPr>
              <w:t>Outstanding at December 31, 2020</w:t>
            </w:r>
          </w:p>
        </w:tc>
        <w:tc>
          <w:tcPr>
            <w:tcW w:w="1485" w:type="dxa"/>
            <w:tcBorders>
              <w:top w:val="single" w:sz="4" w:space="0" w:color="auto"/>
            </w:tcBorders>
          </w:tcPr>
          <w:p w14:paraId="1FDA5940" w14:textId="77777777" w:rsidR="00E239E3" w:rsidRPr="00E239E3" w:rsidRDefault="00E239E3" w:rsidP="00E239E3">
            <w:pPr>
              <w:tabs>
                <w:tab w:val="decimal" w:pos="1062"/>
              </w:tabs>
              <w:suppressAutoHyphens/>
              <w:spacing w:line="240" w:lineRule="exact"/>
              <w:rPr>
                <w:sz w:val="20"/>
                <w:szCs w:val="20"/>
              </w:rPr>
            </w:pPr>
            <w:r w:rsidRPr="00E239E3">
              <w:rPr>
                <w:sz w:val="20"/>
                <w:szCs w:val="20"/>
              </w:rPr>
              <w:t>602,000</w:t>
            </w:r>
          </w:p>
        </w:tc>
        <w:tc>
          <w:tcPr>
            <w:tcW w:w="1485" w:type="dxa"/>
            <w:tcBorders>
              <w:top w:val="single" w:sz="4" w:space="0" w:color="auto"/>
            </w:tcBorders>
          </w:tcPr>
          <w:p w14:paraId="169E9F6E" w14:textId="77777777" w:rsidR="00E239E3" w:rsidRPr="00E239E3" w:rsidRDefault="00E239E3" w:rsidP="00E239E3">
            <w:pPr>
              <w:tabs>
                <w:tab w:val="right" w:pos="1050"/>
              </w:tabs>
              <w:suppressAutoHyphens/>
              <w:spacing w:line="240" w:lineRule="exact"/>
              <w:rPr>
                <w:sz w:val="20"/>
                <w:szCs w:val="20"/>
              </w:rPr>
            </w:pPr>
            <w:r w:rsidRPr="00E239E3">
              <w:rPr>
                <w:sz w:val="20"/>
                <w:szCs w:val="20"/>
              </w:rPr>
              <w:t>$</w:t>
            </w:r>
            <w:r w:rsidRPr="00E239E3">
              <w:rPr>
                <w:sz w:val="20"/>
                <w:szCs w:val="20"/>
              </w:rPr>
              <w:tab/>
              <w:t>2.79</w:t>
            </w:r>
          </w:p>
        </w:tc>
        <w:tc>
          <w:tcPr>
            <w:tcW w:w="1485" w:type="dxa"/>
            <w:tcBorders>
              <w:top w:val="single" w:sz="4" w:space="0" w:color="auto"/>
            </w:tcBorders>
          </w:tcPr>
          <w:p w14:paraId="5E56F4C2" w14:textId="77777777" w:rsidR="00E239E3" w:rsidRPr="00E239E3" w:rsidRDefault="00E239E3" w:rsidP="00E239E3">
            <w:pPr>
              <w:suppressAutoHyphens/>
              <w:spacing w:line="240" w:lineRule="exact"/>
              <w:rPr>
                <w:sz w:val="20"/>
                <w:szCs w:val="20"/>
              </w:rPr>
            </w:pPr>
          </w:p>
        </w:tc>
        <w:tc>
          <w:tcPr>
            <w:tcW w:w="1485" w:type="dxa"/>
            <w:tcBorders>
              <w:top w:val="single" w:sz="4" w:space="0" w:color="auto"/>
            </w:tcBorders>
          </w:tcPr>
          <w:p w14:paraId="48F8A05A" w14:textId="77777777" w:rsidR="00E239E3" w:rsidRPr="00E239E3" w:rsidRDefault="00E239E3" w:rsidP="00E239E3">
            <w:pPr>
              <w:tabs>
                <w:tab w:val="right" w:pos="1107"/>
              </w:tabs>
              <w:suppressAutoHyphens/>
              <w:spacing w:line="240" w:lineRule="exact"/>
              <w:rPr>
                <w:sz w:val="20"/>
                <w:szCs w:val="20"/>
              </w:rPr>
            </w:pPr>
          </w:p>
        </w:tc>
      </w:tr>
      <w:tr w:rsidR="00E239E3" w:rsidRPr="00E239E3" w14:paraId="59BDFA7C" w14:textId="77777777" w:rsidTr="004F5282">
        <w:tc>
          <w:tcPr>
            <w:tcW w:w="4068" w:type="dxa"/>
          </w:tcPr>
          <w:p w14:paraId="13D52E14" w14:textId="77777777" w:rsidR="00E239E3" w:rsidRPr="00E239E3" w:rsidRDefault="00E239E3" w:rsidP="00E239E3">
            <w:pPr>
              <w:suppressAutoHyphens/>
              <w:spacing w:line="240" w:lineRule="exact"/>
              <w:rPr>
                <w:sz w:val="20"/>
                <w:szCs w:val="20"/>
              </w:rPr>
            </w:pPr>
            <w:r w:rsidRPr="00E239E3">
              <w:rPr>
                <w:sz w:val="20"/>
                <w:szCs w:val="20"/>
              </w:rPr>
              <w:t>Granted</w:t>
            </w:r>
          </w:p>
        </w:tc>
        <w:tc>
          <w:tcPr>
            <w:tcW w:w="1485" w:type="dxa"/>
          </w:tcPr>
          <w:p w14:paraId="74556092" w14:textId="77777777" w:rsidR="00E239E3" w:rsidRPr="00E239E3" w:rsidRDefault="00E239E3" w:rsidP="00E239E3">
            <w:pPr>
              <w:tabs>
                <w:tab w:val="decimal" w:pos="1062"/>
              </w:tabs>
              <w:suppressAutoHyphens/>
              <w:spacing w:line="240" w:lineRule="exact"/>
              <w:rPr>
                <w:sz w:val="20"/>
                <w:szCs w:val="20"/>
              </w:rPr>
            </w:pPr>
            <w:r w:rsidRPr="00E239E3">
              <w:rPr>
                <w:sz w:val="20"/>
                <w:szCs w:val="20"/>
              </w:rPr>
              <w:t>360,300</w:t>
            </w:r>
          </w:p>
        </w:tc>
        <w:tc>
          <w:tcPr>
            <w:tcW w:w="1485" w:type="dxa"/>
          </w:tcPr>
          <w:p w14:paraId="0A66C0CC" w14:textId="77777777" w:rsidR="00E239E3" w:rsidRPr="00E239E3" w:rsidRDefault="00E239E3" w:rsidP="00E239E3">
            <w:pPr>
              <w:suppressAutoHyphens/>
              <w:spacing w:line="240" w:lineRule="exact"/>
              <w:rPr>
                <w:sz w:val="20"/>
                <w:szCs w:val="20"/>
              </w:rPr>
            </w:pPr>
            <w:r w:rsidRPr="00E239E3">
              <w:rPr>
                <w:sz w:val="20"/>
                <w:szCs w:val="20"/>
              </w:rPr>
              <w:tab/>
              <w:t>3.82</w:t>
            </w:r>
          </w:p>
        </w:tc>
        <w:tc>
          <w:tcPr>
            <w:tcW w:w="1485" w:type="dxa"/>
          </w:tcPr>
          <w:p w14:paraId="22FEFA0C" w14:textId="77777777" w:rsidR="00E239E3" w:rsidRPr="00E239E3" w:rsidRDefault="00E239E3" w:rsidP="00E239E3">
            <w:pPr>
              <w:suppressAutoHyphens/>
              <w:spacing w:line="240" w:lineRule="exact"/>
              <w:rPr>
                <w:sz w:val="20"/>
                <w:szCs w:val="20"/>
              </w:rPr>
            </w:pPr>
          </w:p>
        </w:tc>
        <w:tc>
          <w:tcPr>
            <w:tcW w:w="1485" w:type="dxa"/>
          </w:tcPr>
          <w:p w14:paraId="2ACB7115" w14:textId="77777777" w:rsidR="00E239E3" w:rsidRPr="00E239E3" w:rsidRDefault="00E239E3" w:rsidP="00E239E3">
            <w:pPr>
              <w:tabs>
                <w:tab w:val="right" w:pos="1107"/>
              </w:tabs>
              <w:suppressAutoHyphens/>
              <w:spacing w:line="240" w:lineRule="exact"/>
              <w:rPr>
                <w:sz w:val="20"/>
                <w:szCs w:val="20"/>
              </w:rPr>
            </w:pPr>
          </w:p>
        </w:tc>
      </w:tr>
      <w:tr w:rsidR="00E239E3" w:rsidRPr="00E239E3" w14:paraId="10679AE6" w14:textId="77777777" w:rsidTr="004F5282">
        <w:tc>
          <w:tcPr>
            <w:tcW w:w="4068" w:type="dxa"/>
          </w:tcPr>
          <w:p w14:paraId="683F484D" w14:textId="77777777" w:rsidR="00E239E3" w:rsidRPr="00E239E3" w:rsidRDefault="00E239E3" w:rsidP="00E239E3">
            <w:pPr>
              <w:suppressAutoHyphens/>
              <w:spacing w:line="240" w:lineRule="exact"/>
              <w:rPr>
                <w:sz w:val="20"/>
                <w:szCs w:val="20"/>
              </w:rPr>
            </w:pPr>
            <w:r w:rsidRPr="00E239E3">
              <w:rPr>
                <w:sz w:val="20"/>
                <w:szCs w:val="20"/>
              </w:rPr>
              <w:t>Exercised</w:t>
            </w:r>
          </w:p>
        </w:tc>
        <w:tc>
          <w:tcPr>
            <w:tcW w:w="1485" w:type="dxa"/>
          </w:tcPr>
          <w:p w14:paraId="5EC5A955" w14:textId="77777777" w:rsidR="00E239E3" w:rsidRPr="00E239E3" w:rsidRDefault="00E239E3" w:rsidP="00E239E3">
            <w:pPr>
              <w:tabs>
                <w:tab w:val="decimal" w:pos="1062"/>
              </w:tabs>
              <w:suppressAutoHyphens/>
              <w:spacing w:line="240" w:lineRule="exact"/>
              <w:rPr>
                <w:sz w:val="20"/>
                <w:szCs w:val="20"/>
              </w:rPr>
            </w:pPr>
            <w:r w:rsidRPr="00E239E3">
              <w:rPr>
                <w:sz w:val="20"/>
                <w:szCs w:val="20"/>
              </w:rPr>
              <w:t>-</w:t>
            </w:r>
          </w:p>
        </w:tc>
        <w:tc>
          <w:tcPr>
            <w:tcW w:w="1485" w:type="dxa"/>
          </w:tcPr>
          <w:p w14:paraId="5FFE0947" w14:textId="77777777" w:rsidR="00E239E3" w:rsidRPr="00E239E3" w:rsidRDefault="00E239E3" w:rsidP="00E239E3">
            <w:pPr>
              <w:tabs>
                <w:tab w:val="decimal" w:pos="1050"/>
              </w:tabs>
              <w:suppressAutoHyphens/>
              <w:spacing w:line="240" w:lineRule="exact"/>
              <w:rPr>
                <w:sz w:val="20"/>
                <w:szCs w:val="20"/>
              </w:rPr>
            </w:pPr>
            <w:r w:rsidRPr="00E239E3">
              <w:rPr>
                <w:sz w:val="20"/>
                <w:szCs w:val="20"/>
              </w:rPr>
              <w:t>-</w:t>
            </w:r>
          </w:p>
        </w:tc>
        <w:tc>
          <w:tcPr>
            <w:tcW w:w="1485" w:type="dxa"/>
          </w:tcPr>
          <w:p w14:paraId="2FB6DC1C" w14:textId="77777777" w:rsidR="00E239E3" w:rsidRPr="00E239E3" w:rsidRDefault="00E239E3" w:rsidP="00E239E3">
            <w:pPr>
              <w:suppressAutoHyphens/>
              <w:spacing w:line="240" w:lineRule="exact"/>
              <w:rPr>
                <w:sz w:val="20"/>
                <w:szCs w:val="20"/>
              </w:rPr>
            </w:pPr>
          </w:p>
        </w:tc>
        <w:tc>
          <w:tcPr>
            <w:tcW w:w="1485" w:type="dxa"/>
          </w:tcPr>
          <w:p w14:paraId="1526E68E" w14:textId="77777777" w:rsidR="00E239E3" w:rsidRPr="00E239E3" w:rsidRDefault="00E239E3" w:rsidP="00E239E3">
            <w:pPr>
              <w:tabs>
                <w:tab w:val="right" w:pos="1107"/>
              </w:tabs>
              <w:suppressAutoHyphens/>
              <w:spacing w:line="240" w:lineRule="exact"/>
              <w:rPr>
                <w:sz w:val="20"/>
                <w:szCs w:val="20"/>
              </w:rPr>
            </w:pPr>
          </w:p>
        </w:tc>
      </w:tr>
      <w:tr w:rsidR="00E239E3" w:rsidRPr="00E239E3" w14:paraId="4B335FC6" w14:textId="77777777" w:rsidTr="004F5282">
        <w:tc>
          <w:tcPr>
            <w:tcW w:w="4068" w:type="dxa"/>
          </w:tcPr>
          <w:p w14:paraId="71AE1DB4" w14:textId="77777777" w:rsidR="00E239E3" w:rsidRPr="00E239E3" w:rsidRDefault="00E239E3" w:rsidP="00E239E3">
            <w:pPr>
              <w:suppressAutoHyphens/>
              <w:spacing w:line="240" w:lineRule="exact"/>
              <w:rPr>
                <w:sz w:val="20"/>
                <w:szCs w:val="20"/>
              </w:rPr>
            </w:pPr>
            <w:r w:rsidRPr="00E239E3">
              <w:rPr>
                <w:sz w:val="20"/>
                <w:szCs w:val="20"/>
              </w:rPr>
              <w:t>Forfeited or expired</w:t>
            </w:r>
          </w:p>
        </w:tc>
        <w:tc>
          <w:tcPr>
            <w:tcW w:w="1485" w:type="dxa"/>
            <w:tcBorders>
              <w:bottom w:val="single" w:sz="4" w:space="0" w:color="auto"/>
            </w:tcBorders>
          </w:tcPr>
          <w:p w14:paraId="3FB66C6A" w14:textId="77777777" w:rsidR="00E239E3" w:rsidRPr="00E239E3" w:rsidRDefault="00E239E3" w:rsidP="00E239E3">
            <w:pPr>
              <w:tabs>
                <w:tab w:val="decimal" w:pos="1062"/>
              </w:tabs>
              <w:suppressAutoHyphens/>
              <w:spacing w:line="240" w:lineRule="exact"/>
              <w:rPr>
                <w:sz w:val="20"/>
                <w:szCs w:val="20"/>
              </w:rPr>
            </w:pPr>
            <w:r w:rsidRPr="00E239E3">
              <w:rPr>
                <w:sz w:val="20"/>
                <w:szCs w:val="20"/>
              </w:rPr>
              <w:t>-</w:t>
            </w:r>
          </w:p>
        </w:tc>
        <w:tc>
          <w:tcPr>
            <w:tcW w:w="1485" w:type="dxa"/>
            <w:tcBorders>
              <w:bottom w:val="single" w:sz="4" w:space="0" w:color="auto"/>
            </w:tcBorders>
          </w:tcPr>
          <w:p w14:paraId="5469F93F" w14:textId="77777777" w:rsidR="00E239E3" w:rsidRPr="00E239E3" w:rsidRDefault="00E239E3" w:rsidP="00E239E3">
            <w:pPr>
              <w:tabs>
                <w:tab w:val="right" w:pos="1063"/>
              </w:tabs>
              <w:suppressAutoHyphens/>
              <w:spacing w:line="240" w:lineRule="exact"/>
              <w:ind w:right="-55"/>
              <w:rPr>
                <w:sz w:val="20"/>
                <w:szCs w:val="20"/>
              </w:rPr>
            </w:pPr>
            <w:r w:rsidRPr="00E239E3">
              <w:rPr>
                <w:sz w:val="20"/>
                <w:szCs w:val="20"/>
              </w:rPr>
              <w:tab/>
              <w:t>-</w:t>
            </w:r>
          </w:p>
        </w:tc>
        <w:tc>
          <w:tcPr>
            <w:tcW w:w="1485" w:type="dxa"/>
            <w:tcBorders>
              <w:bottom w:val="single" w:sz="4" w:space="0" w:color="auto"/>
            </w:tcBorders>
          </w:tcPr>
          <w:p w14:paraId="008BBE75" w14:textId="77777777" w:rsidR="00E239E3" w:rsidRPr="00E239E3" w:rsidRDefault="00E239E3" w:rsidP="00E239E3">
            <w:pPr>
              <w:suppressAutoHyphens/>
              <w:spacing w:line="240" w:lineRule="exact"/>
              <w:rPr>
                <w:sz w:val="20"/>
                <w:szCs w:val="20"/>
              </w:rPr>
            </w:pPr>
          </w:p>
        </w:tc>
        <w:tc>
          <w:tcPr>
            <w:tcW w:w="1485" w:type="dxa"/>
            <w:tcBorders>
              <w:bottom w:val="single" w:sz="4" w:space="0" w:color="auto"/>
            </w:tcBorders>
          </w:tcPr>
          <w:p w14:paraId="0C163672" w14:textId="77777777" w:rsidR="00E239E3" w:rsidRPr="00E239E3" w:rsidRDefault="00E239E3" w:rsidP="00E239E3">
            <w:pPr>
              <w:tabs>
                <w:tab w:val="right" w:pos="1107"/>
              </w:tabs>
              <w:suppressAutoHyphens/>
              <w:spacing w:line="240" w:lineRule="exact"/>
              <w:rPr>
                <w:sz w:val="20"/>
                <w:szCs w:val="20"/>
              </w:rPr>
            </w:pPr>
          </w:p>
        </w:tc>
      </w:tr>
      <w:tr w:rsidR="00E239E3" w:rsidRPr="00E239E3" w14:paraId="2BD38FAA" w14:textId="77777777" w:rsidTr="004F5282">
        <w:tc>
          <w:tcPr>
            <w:tcW w:w="4068" w:type="dxa"/>
          </w:tcPr>
          <w:p w14:paraId="0CEE024A" w14:textId="77777777" w:rsidR="00E239E3" w:rsidRPr="00E239E3" w:rsidRDefault="00E239E3" w:rsidP="00E239E3">
            <w:pPr>
              <w:suppressAutoHyphens/>
              <w:spacing w:line="240" w:lineRule="exact"/>
              <w:rPr>
                <w:sz w:val="20"/>
                <w:szCs w:val="20"/>
              </w:rPr>
            </w:pPr>
            <w:r w:rsidRPr="00E239E3">
              <w:rPr>
                <w:sz w:val="20"/>
                <w:szCs w:val="20"/>
              </w:rPr>
              <w:t>Outstanding at December 31, 2021</w:t>
            </w:r>
          </w:p>
        </w:tc>
        <w:tc>
          <w:tcPr>
            <w:tcW w:w="1485" w:type="dxa"/>
            <w:tcBorders>
              <w:top w:val="single" w:sz="4" w:space="0" w:color="auto"/>
              <w:bottom w:val="double" w:sz="4" w:space="0" w:color="auto"/>
            </w:tcBorders>
          </w:tcPr>
          <w:p w14:paraId="21DA9A77" w14:textId="77777777" w:rsidR="00E239E3" w:rsidRPr="00E239E3" w:rsidRDefault="00E239E3" w:rsidP="00E239E3">
            <w:pPr>
              <w:tabs>
                <w:tab w:val="decimal" w:pos="1062"/>
              </w:tabs>
              <w:suppressAutoHyphens/>
              <w:spacing w:line="240" w:lineRule="exact"/>
              <w:rPr>
                <w:sz w:val="20"/>
                <w:szCs w:val="20"/>
              </w:rPr>
            </w:pPr>
            <w:r w:rsidRPr="00E239E3">
              <w:rPr>
                <w:sz w:val="20"/>
                <w:szCs w:val="20"/>
              </w:rPr>
              <w:t>962,300</w:t>
            </w:r>
          </w:p>
        </w:tc>
        <w:tc>
          <w:tcPr>
            <w:tcW w:w="1485" w:type="dxa"/>
            <w:tcBorders>
              <w:top w:val="single" w:sz="4" w:space="0" w:color="auto"/>
              <w:bottom w:val="double" w:sz="4" w:space="0" w:color="auto"/>
            </w:tcBorders>
          </w:tcPr>
          <w:p w14:paraId="5A6488F1" w14:textId="77777777" w:rsidR="00E239E3" w:rsidRPr="00E239E3" w:rsidRDefault="00E239E3" w:rsidP="00E239E3">
            <w:pPr>
              <w:suppressAutoHyphens/>
              <w:spacing w:line="240" w:lineRule="exact"/>
              <w:rPr>
                <w:sz w:val="20"/>
                <w:szCs w:val="20"/>
              </w:rPr>
            </w:pPr>
            <w:r w:rsidRPr="00E239E3">
              <w:rPr>
                <w:sz w:val="20"/>
                <w:szCs w:val="20"/>
              </w:rPr>
              <w:t>$</w:t>
            </w:r>
            <w:r w:rsidRPr="00E239E3">
              <w:rPr>
                <w:sz w:val="20"/>
                <w:szCs w:val="20"/>
              </w:rPr>
              <w:tab/>
              <w:t>3.18</w:t>
            </w:r>
          </w:p>
        </w:tc>
        <w:tc>
          <w:tcPr>
            <w:tcW w:w="1485" w:type="dxa"/>
            <w:tcBorders>
              <w:top w:val="single" w:sz="4" w:space="0" w:color="auto"/>
              <w:bottom w:val="double" w:sz="4" w:space="0" w:color="auto"/>
            </w:tcBorders>
          </w:tcPr>
          <w:p w14:paraId="5DE66ADA" w14:textId="77777777" w:rsidR="00E239E3" w:rsidRPr="00E239E3" w:rsidRDefault="00E239E3" w:rsidP="00E239E3">
            <w:pPr>
              <w:tabs>
                <w:tab w:val="right" w:pos="1102"/>
              </w:tabs>
              <w:suppressAutoHyphens/>
              <w:spacing w:line="240" w:lineRule="exact"/>
              <w:rPr>
                <w:sz w:val="20"/>
                <w:szCs w:val="20"/>
              </w:rPr>
            </w:pPr>
            <w:r w:rsidRPr="00E239E3">
              <w:rPr>
                <w:sz w:val="20"/>
                <w:szCs w:val="20"/>
              </w:rPr>
              <w:tab/>
              <w:t>9.31</w:t>
            </w:r>
          </w:p>
        </w:tc>
        <w:tc>
          <w:tcPr>
            <w:tcW w:w="1485" w:type="dxa"/>
            <w:tcBorders>
              <w:top w:val="single" w:sz="4" w:space="0" w:color="auto"/>
              <w:bottom w:val="double" w:sz="4" w:space="0" w:color="auto"/>
            </w:tcBorders>
          </w:tcPr>
          <w:p w14:paraId="6B9E1D36" w14:textId="77777777" w:rsidR="00E239E3" w:rsidRPr="00E239E3" w:rsidRDefault="00E239E3" w:rsidP="00E239E3">
            <w:pPr>
              <w:tabs>
                <w:tab w:val="right" w:pos="1107"/>
              </w:tabs>
              <w:suppressAutoHyphens/>
              <w:spacing w:line="240" w:lineRule="exact"/>
              <w:rPr>
                <w:sz w:val="20"/>
                <w:szCs w:val="20"/>
              </w:rPr>
            </w:pPr>
            <w:r w:rsidRPr="00E239E3">
              <w:rPr>
                <w:sz w:val="20"/>
                <w:szCs w:val="20"/>
              </w:rPr>
              <w:t>$</w:t>
            </w:r>
            <w:r w:rsidRPr="00E239E3">
              <w:rPr>
                <w:sz w:val="20"/>
                <w:szCs w:val="20"/>
              </w:rPr>
              <w:tab/>
              <w:t>499,660</w:t>
            </w:r>
          </w:p>
        </w:tc>
      </w:tr>
      <w:tr w:rsidR="00E239E3" w:rsidRPr="00E239E3" w14:paraId="375E097E" w14:textId="77777777" w:rsidTr="004F5282">
        <w:tc>
          <w:tcPr>
            <w:tcW w:w="4068" w:type="dxa"/>
          </w:tcPr>
          <w:p w14:paraId="6E3B27B9" w14:textId="77777777" w:rsidR="00E239E3" w:rsidRPr="00E239E3" w:rsidRDefault="00E239E3" w:rsidP="00E239E3">
            <w:pPr>
              <w:suppressAutoHyphens/>
              <w:spacing w:line="240" w:lineRule="exact"/>
              <w:rPr>
                <w:sz w:val="20"/>
                <w:szCs w:val="20"/>
              </w:rPr>
            </w:pPr>
            <w:r w:rsidRPr="00E239E3">
              <w:rPr>
                <w:sz w:val="20"/>
                <w:szCs w:val="20"/>
              </w:rPr>
              <w:t>Exercisable at December 31, 2021</w:t>
            </w:r>
          </w:p>
        </w:tc>
        <w:tc>
          <w:tcPr>
            <w:tcW w:w="1485" w:type="dxa"/>
            <w:tcBorders>
              <w:top w:val="double" w:sz="4" w:space="0" w:color="auto"/>
              <w:bottom w:val="double" w:sz="4" w:space="0" w:color="auto"/>
            </w:tcBorders>
          </w:tcPr>
          <w:p w14:paraId="6E6FE289" w14:textId="77777777" w:rsidR="00E239E3" w:rsidRPr="00E239E3" w:rsidRDefault="00E239E3" w:rsidP="00E239E3">
            <w:pPr>
              <w:tabs>
                <w:tab w:val="right" w:pos="1100"/>
              </w:tabs>
              <w:suppressAutoHyphens/>
              <w:spacing w:line="240" w:lineRule="exact"/>
              <w:rPr>
                <w:sz w:val="20"/>
                <w:szCs w:val="20"/>
              </w:rPr>
            </w:pPr>
            <w:r w:rsidRPr="00E239E3">
              <w:rPr>
                <w:sz w:val="20"/>
                <w:szCs w:val="20"/>
              </w:rPr>
              <w:tab/>
              <w:t>200,661</w:t>
            </w:r>
          </w:p>
        </w:tc>
        <w:tc>
          <w:tcPr>
            <w:tcW w:w="1485" w:type="dxa"/>
            <w:tcBorders>
              <w:top w:val="double" w:sz="4" w:space="0" w:color="auto"/>
              <w:bottom w:val="double" w:sz="4" w:space="0" w:color="auto"/>
            </w:tcBorders>
          </w:tcPr>
          <w:p w14:paraId="55528533" w14:textId="77777777" w:rsidR="00E239E3" w:rsidRPr="00E239E3" w:rsidRDefault="00E239E3" w:rsidP="00E239E3">
            <w:pPr>
              <w:tabs>
                <w:tab w:val="right" w:pos="1050"/>
              </w:tabs>
              <w:suppressAutoHyphens/>
              <w:spacing w:line="240" w:lineRule="exact"/>
              <w:rPr>
                <w:sz w:val="20"/>
                <w:szCs w:val="20"/>
              </w:rPr>
            </w:pPr>
            <w:r w:rsidRPr="00E239E3">
              <w:rPr>
                <w:sz w:val="20"/>
                <w:szCs w:val="20"/>
              </w:rPr>
              <w:t>$</w:t>
            </w:r>
            <w:r w:rsidRPr="00E239E3">
              <w:rPr>
                <w:sz w:val="20"/>
                <w:szCs w:val="20"/>
              </w:rPr>
              <w:tab/>
              <w:t>2.79</w:t>
            </w:r>
          </w:p>
        </w:tc>
        <w:tc>
          <w:tcPr>
            <w:tcW w:w="1485" w:type="dxa"/>
            <w:tcBorders>
              <w:top w:val="double" w:sz="4" w:space="0" w:color="auto"/>
              <w:bottom w:val="double" w:sz="4" w:space="0" w:color="auto"/>
            </w:tcBorders>
          </w:tcPr>
          <w:p w14:paraId="59CCD0DD" w14:textId="77777777" w:rsidR="00E239E3" w:rsidRPr="00E239E3" w:rsidRDefault="00E239E3" w:rsidP="00E239E3">
            <w:pPr>
              <w:tabs>
                <w:tab w:val="right" w:pos="1102"/>
              </w:tabs>
              <w:suppressAutoHyphens/>
              <w:spacing w:line="240" w:lineRule="exact"/>
              <w:rPr>
                <w:sz w:val="20"/>
                <w:szCs w:val="20"/>
              </w:rPr>
            </w:pPr>
            <w:r w:rsidRPr="00E239E3">
              <w:rPr>
                <w:sz w:val="20"/>
                <w:szCs w:val="20"/>
              </w:rPr>
              <w:tab/>
              <w:t>8.93</w:t>
            </w:r>
          </w:p>
        </w:tc>
        <w:tc>
          <w:tcPr>
            <w:tcW w:w="1485" w:type="dxa"/>
            <w:tcBorders>
              <w:top w:val="double" w:sz="4" w:space="0" w:color="auto"/>
              <w:bottom w:val="double" w:sz="4" w:space="0" w:color="auto"/>
            </w:tcBorders>
          </w:tcPr>
          <w:p w14:paraId="2175983C" w14:textId="77777777" w:rsidR="00E239E3" w:rsidRPr="00E239E3" w:rsidRDefault="00E239E3" w:rsidP="00E239E3">
            <w:pPr>
              <w:tabs>
                <w:tab w:val="right" w:pos="1107"/>
              </w:tabs>
              <w:suppressAutoHyphens/>
              <w:spacing w:line="240" w:lineRule="exact"/>
              <w:rPr>
                <w:sz w:val="20"/>
                <w:szCs w:val="20"/>
              </w:rPr>
            </w:pPr>
            <w:r w:rsidRPr="00E239E3">
              <w:rPr>
                <w:sz w:val="20"/>
                <w:szCs w:val="20"/>
              </w:rPr>
              <w:t>$</w:t>
            </w:r>
            <w:r w:rsidRPr="00E239E3">
              <w:rPr>
                <w:sz w:val="20"/>
                <w:szCs w:val="20"/>
              </w:rPr>
              <w:tab/>
              <w:t>166,549</w:t>
            </w:r>
          </w:p>
        </w:tc>
      </w:tr>
    </w:tbl>
    <w:p w14:paraId="2D9EFC7E" w14:textId="77777777" w:rsidR="00E239E3" w:rsidRPr="00E239E3" w:rsidRDefault="00E239E3" w:rsidP="00E239E3">
      <w:pPr>
        <w:rPr>
          <w:sz w:val="20"/>
          <w:szCs w:val="20"/>
        </w:rPr>
      </w:pPr>
    </w:p>
    <w:p w14:paraId="47493FD2" w14:textId="77777777" w:rsidR="00E239E3" w:rsidRPr="00E239E3" w:rsidRDefault="00E239E3" w:rsidP="00E239E3">
      <w:pPr>
        <w:rPr>
          <w:sz w:val="20"/>
          <w:szCs w:val="20"/>
        </w:rPr>
      </w:pPr>
      <w:r w:rsidRPr="00E239E3">
        <w:rPr>
          <w:sz w:val="20"/>
          <w:szCs w:val="20"/>
        </w:rPr>
        <w:t xml:space="preserve">The weighted-average grant date fair values of options granted during 2021 and 2020 were $2.87 and $1.12, respectively.  Total stock option compensation expense recognized in the consolidated statement of operations for the </w:t>
      </w:r>
      <w:bookmarkStart w:id="80" w:name="_Hlk62047281"/>
      <w:r w:rsidRPr="00E239E3">
        <w:rPr>
          <w:sz w:val="20"/>
          <w:szCs w:val="20"/>
        </w:rPr>
        <w:t xml:space="preserve">years ended December 31, 2021 and 2020 </w:t>
      </w:r>
      <w:bookmarkEnd w:id="80"/>
      <w:r w:rsidRPr="00E239E3">
        <w:rPr>
          <w:sz w:val="20"/>
          <w:szCs w:val="20"/>
        </w:rPr>
        <w:t>was $269,427 and $18,730, respectively</w:t>
      </w:r>
      <w:r w:rsidRPr="00E239E3">
        <w:rPr>
          <w:color w:val="000000"/>
          <w:sz w:val="20"/>
          <w:szCs w:val="20"/>
        </w:rPr>
        <w:t>. As of December 31, 2021, there is $1,420,144 of unrecognized compensation expense that will be recognized over a weighted-average period of 2.2 years.</w:t>
      </w:r>
    </w:p>
    <w:p w14:paraId="60223128" w14:textId="77777777" w:rsidR="00E239E3" w:rsidRPr="00E239E3" w:rsidRDefault="00E239E3" w:rsidP="00E239E3">
      <w:pPr>
        <w:rPr>
          <w:sz w:val="20"/>
          <w:szCs w:val="20"/>
        </w:rPr>
      </w:pPr>
    </w:p>
    <w:p w14:paraId="1222ECBD" w14:textId="77777777" w:rsidR="00665276" w:rsidRDefault="00665276">
      <w:pPr>
        <w:rPr>
          <w:i/>
          <w:color w:val="000000"/>
          <w:sz w:val="20"/>
          <w:szCs w:val="20"/>
        </w:rPr>
      </w:pPr>
      <w:r>
        <w:rPr>
          <w:i/>
          <w:color w:val="000000"/>
          <w:sz w:val="20"/>
          <w:szCs w:val="20"/>
        </w:rPr>
        <w:br w:type="page"/>
      </w:r>
    </w:p>
    <w:p w14:paraId="1AC4AB84" w14:textId="5AEB5B85" w:rsidR="00E239E3" w:rsidRPr="00E239E3" w:rsidRDefault="00E239E3" w:rsidP="00E239E3">
      <w:pPr>
        <w:rPr>
          <w:i/>
          <w:color w:val="000000"/>
          <w:sz w:val="20"/>
          <w:szCs w:val="20"/>
        </w:rPr>
      </w:pPr>
      <w:r w:rsidRPr="00E239E3">
        <w:rPr>
          <w:i/>
          <w:color w:val="000000"/>
          <w:sz w:val="20"/>
          <w:szCs w:val="20"/>
        </w:rPr>
        <w:lastRenderedPageBreak/>
        <w:t>Stock Purchase Warrants</w:t>
      </w:r>
    </w:p>
    <w:p w14:paraId="05F4B495" w14:textId="77777777" w:rsidR="00E239E3" w:rsidRPr="00E239E3" w:rsidRDefault="00E239E3" w:rsidP="00E239E3">
      <w:pPr>
        <w:rPr>
          <w:color w:val="000000"/>
          <w:sz w:val="20"/>
          <w:szCs w:val="20"/>
        </w:rPr>
      </w:pPr>
    </w:p>
    <w:p w14:paraId="17C07280" w14:textId="77777777" w:rsidR="00E239E3" w:rsidRPr="00E239E3" w:rsidRDefault="00E239E3" w:rsidP="00E239E3">
      <w:pPr>
        <w:rPr>
          <w:color w:val="000000"/>
          <w:sz w:val="20"/>
          <w:szCs w:val="20"/>
        </w:rPr>
      </w:pPr>
      <w:r w:rsidRPr="00E239E3">
        <w:rPr>
          <w:i/>
          <w:iCs/>
          <w:color w:val="000000"/>
          <w:sz w:val="20"/>
          <w:szCs w:val="20"/>
        </w:rPr>
        <w:t xml:space="preserve">Summary of Warrants Outstanding </w:t>
      </w:r>
      <w:r w:rsidRPr="00E239E3">
        <w:rPr>
          <w:color w:val="000000"/>
          <w:sz w:val="20"/>
          <w:szCs w:val="20"/>
        </w:rPr>
        <w:t>– The table below presents summary information about our warrants outstanding as of December 31, 2021. Additional information concerning the warrants follows the table.</w:t>
      </w:r>
    </w:p>
    <w:p w14:paraId="4CF55F15" w14:textId="77777777" w:rsidR="00E239E3" w:rsidRPr="00E239E3" w:rsidRDefault="00E239E3" w:rsidP="00E239E3">
      <w:pPr>
        <w:rPr>
          <w:color w:val="000000"/>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65"/>
        <w:gridCol w:w="1242"/>
        <w:gridCol w:w="1189"/>
        <w:gridCol w:w="1564"/>
      </w:tblGrid>
      <w:tr w:rsidR="00E239E3" w:rsidRPr="00E239E3" w14:paraId="082F8AFB" w14:textId="77777777" w:rsidTr="004F5282">
        <w:tc>
          <w:tcPr>
            <w:tcW w:w="5850" w:type="dxa"/>
            <w:tcBorders>
              <w:bottom w:val="single" w:sz="4" w:space="0" w:color="auto"/>
            </w:tcBorders>
          </w:tcPr>
          <w:p w14:paraId="7C4D8683" w14:textId="77777777" w:rsidR="00E239E3" w:rsidRPr="00E239E3" w:rsidRDefault="00E239E3" w:rsidP="00E239E3">
            <w:pPr>
              <w:rPr>
                <w:color w:val="000000"/>
                <w:sz w:val="20"/>
                <w:szCs w:val="20"/>
              </w:rPr>
            </w:pPr>
          </w:p>
          <w:p w14:paraId="452E4048" w14:textId="77777777" w:rsidR="00E239E3" w:rsidRPr="00E239E3" w:rsidRDefault="00E239E3" w:rsidP="00E239E3">
            <w:pPr>
              <w:rPr>
                <w:color w:val="000000"/>
                <w:sz w:val="20"/>
                <w:szCs w:val="20"/>
              </w:rPr>
            </w:pPr>
            <w:r w:rsidRPr="00E239E3">
              <w:rPr>
                <w:color w:val="000000"/>
                <w:sz w:val="20"/>
                <w:szCs w:val="20"/>
              </w:rPr>
              <w:t>Warrant Description</w:t>
            </w:r>
          </w:p>
        </w:tc>
        <w:tc>
          <w:tcPr>
            <w:tcW w:w="1260" w:type="dxa"/>
            <w:tcBorders>
              <w:bottom w:val="single" w:sz="4" w:space="0" w:color="auto"/>
            </w:tcBorders>
          </w:tcPr>
          <w:p w14:paraId="1A64EB31" w14:textId="77777777" w:rsidR="00E239E3" w:rsidRPr="00E239E3" w:rsidRDefault="00E239E3" w:rsidP="00E239E3">
            <w:pPr>
              <w:jc w:val="center"/>
              <w:rPr>
                <w:color w:val="000000"/>
                <w:sz w:val="20"/>
                <w:szCs w:val="20"/>
              </w:rPr>
            </w:pPr>
            <w:r w:rsidRPr="00E239E3">
              <w:rPr>
                <w:color w:val="000000"/>
                <w:sz w:val="20"/>
                <w:szCs w:val="20"/>
              </w:rPr>
              <w:t>Number</w:t>
            </w:r>
          </w:p>
          <w:p w14:paraId="2C9F72E5" w14:textId="77777777" w:rsidR="00E239E3" w:rsidRPr="00E239E3" w:rsidRDefault="00E239E3" w:rsidP="00E239E3">
            <w:pPr>
              <w:jc w:val="center"/>
              <w:rPr>
                <w:color w:val="000000"/>
                <w:sz w:val="20"/>
                <w:szCs w:val="20"/>
              </w:rPr>
            </w:pPr>
            <w:r w:rsidRPr="00E239E3">
              <w:rPr>
                <w:color w:val="000000"/>
                <w:sz w:val="20"/>
                <w:szCs w:val="20"/>
              </w:rPr>
              <w:t>of Shares</w:t>
            </w:r>
          </w:p>
        </w:tc>
        <w:tc>
          <w:tcPr>
            <w:tcW w:w="1191" w:type="dxa"/>
            <w:tcBorders>
              <w:bottom w:val="single" w:sz="4" w:space="0" w:color="auto"/>
            </w:tcBorders>
          </w:tcPr>
          <w:p w14:paraId="7C078897" w14:textId="77777777" w:rsidR="00E239E3" w:rsidRPr="00E239E3" w:rsidRDefault="00E239E3" w:rsidP="00E239E3">
            <w:pPr>
              <w:jc w:val="center"/>
              <w:rPr>
                <w:color w:val="000000"/>
                <w:sz w:val="20"/>
                <w:szCs w:val="20"/>
              </w:rPr>
            </w:pPr>
            <w:r w:rsidRPr="00E239E3">
              <w:rPr>
                <w:color w:val="000000"/>
                <w:sz w:val="20"/>
                <w:szCs w:val="20"/>
              </w:rPr>
              <w:t>Exercise</w:t>
            </w:r>
          </w:p>
          <w:p w14:paraId="480FFB0C" w14:textId="77777777" w:rsidR="00E239E3" w:rsidRPr="00E239E3" w:rsidRDefault="00E239E3" w:rsidP="00E239E3">
            <w:pPr>
              <w:jc w:val="center"/>
              <w:rPr>
                <w:color w:val="000000"/>
                <w:sz w:val="20"/>
                <w:szCs w:val="20"/>
              </w:rPr>
            </w:pPr>
            <w:r w:rsidRPr="00E239E3">
              <w:rPr>
                <w:color w:val="000000"/>
                <w:sz w:val="20"/>
                <w:szCs w:val="20"/>
              </w:rPr>
              <w:t>Price</w:t>
            </w:r>
          </w:p>
        </w:tc>
        <w:tc>
          <w:tcPr>
            <w:tcW w:w="1625" w:type="dxa"/>
            <w:tcBorders>
              <w:bottom w:val="single" w:sz="4" w:space="0" w:color="auto"/>
            </w:tcBorders>
          </w:tcPr>
          <w:p w14:paraId="281ECE4F" w14:textId="77777777" w:rsidR="00E239E3" w:rsidRPr="00E239E3" w:rsidRDefault="00E239E3" w:rsidP="00E239E3">
            <w:pPr>
              <w:jc w:val="center"/>
              <w:rPr>
                <w:color w:val="000000"/>
                <w:sz w:val="20"/>
                <w:szCs w:val="20"/>
              </w:rPr>
            </w:pPr>
          </w:p>
          <w:p w14:paraId="40DD6319" w14:textId="77777777" w:rsidR="00E239E3" w:rsidRPr="00E239E3" w:rsidRDefault="00E239E3" w:rsidP="00E239E3">
            <w:pPr>
              <w:jc w:val="center"/>
              <w:rPr>
                <w:color w:val="000000"/>
                <w:sz w:val="20"/>
                <w:szCs w:val="20"/>
              </w:rPr>
            </w:pPr>
            <w:r w:rsidRPr="00E239E3">
              <w:rPr>
                <w:color w:val="000000"/>
                <w:sz w:val="20"/>
                <w:szCs w:val="20"/>
              </w:rPr>
              <w:t>Expiration</w:t>
            </w:r>
          </w:p>
        </w:tc>
      </w:tr>
      <w:tr w:rsidR="00E239E3" w:rsidRPr="00E239E3" w14:paraId="7326027A" w14:textId="77777777" w:rsidTr="004F5282">
        <w:tc>
          <w:tcPr>
            <w:tcW w:w="5850" w:type="dxa"/>
          </w:tcPr>
          <w:p w14:paraId="22F36AF2" w14:textId="77777777" w:rsidR="00E239E3" w:rsidRPr="00E239E3" w:rsidRDefault="00E239E3" w:rsidP="00E239E3">
            <w:pPr>
              <w:rPr>
                <w:color w:val="000000"/>
                <w:sz w:val="20"/>
                <w:szCs w:val="20"/>
              </w:rPr>
            </w:pPr>
            <w:r w:rsidRPr="00E239E3">
              <w:rPr>
                <w:color w:val="000000"/>
                <w:sz w:val="20"/>
                <w:szCs w:val="20"/>
              </w:rPr>
              <w:t>2020 Warrants</w:t>
            </w:r>
          </w:p>
        </w:tc>
        <w:tc>
          <w:tcPr>
            <w:tcW w:w="1260" w:type="dxa"/>
          </w:tcPr>
          <w:p w14:paraId="6F5A7C62" w14:textId="77777777" w:rsidR="00E239E3" w:rsidRPr="00E239E3" w:rsidRDefault="00E239E3" w:rsidP="00E239E3">
            <w:pPr>
              <w:tabs>
                <w:tab w:val="decimal" w:pos="877"/>
              </w:tabs>
              <w:rPr>
                <w:color w:val="000000"/>
                <w:sz w:val="20"/>
                <w:szCs w:val="20"/>
              </w:rPr>
            </w:pPr>
            <w:r w:rsidRPr="00E239E3">
              <w:rPr>
                <w:color w:val="000000"/>
                <w:sz w:val="20"/>
                <w:szCs w:val="20"/>
              </w:rPr>
              <w:t>120,000</w:t>
            </w:r>
          </w:p>
        </w:tc>
        <w:tc>
          <w:tcPr>
            <w:tcW w:w="1191" w:type="dxa"/>
          </w:tcPr>
          <w:p w14:paraId="7D62BDD3" w14:textId="77777777" w:rsidR="00E239E3" w:rsidRPr="00E239E3" w:rsidRDefault="00E239E3" w:rsidP="00E239E3">
            <w:pPr>
              <w:tabs>
                <w:tab w:val="decimal" w:pos="607"/>
              </w:tabs>
              <w:rPr>
                <w:color w:val="000000"/>
                <w:sz w:val="20"/>
                <w:szCs w:val="20"/>
              </w:rPr>
            </w:pPr>
            <w:r w:rsidRPr="00E239E3">
              <w:rPr>
                <w:color w:val="000000"/>
                <w:sz w:val="20"/>
                <w:szCs w:val="20"/>
              </w:rPr>
              <w:t>5.00</w:t>
            </w:r>
          </w:p>
        </w:tc>
        <w:tc>
          <w:tcPr>
            <w:tcW w:w="1625" w:type="dxa"/>
          </w:tcPr>
          <w:p w14:paraId="50193C2A" w14:textId="77777777" w:rsidR="00E239E3" w:rsidRPr="00E239E3" w:rsidRDefault="00E239E3" w:rsidP="00E239E3">
            <w:pPr>
              <w:jc w:val="center"/>
              <w:rPr>
                <w:color w:val="000000"/>
                <w:sz w:val="20"/>
                <w:szCs w:val="20"/>
              </w:rPr>
            </w:pPr>
            <w:r w:rsidRPr="00E239E3">
              <w:rPr>
                <w:color w:val="000000"/>
                <w:sz w:val="20"/>
                <w:szCs w:val="20"/>
              </w:rPr>
              <w:t>Jun 2025</w:t>
            </w:r>
          </w:p>
        </w:tc>
      </w:tr>
      <w:tr w:rsidR="00E239E3" w:rsidRPr="00E239E3" w14:paraId="2FCDC7DA" w14:textId="77777777" w:rsidTr="004F5282">
        <w:tc>
          <w:tcPr>
            <w:tcW w:w="5850" w:type="dxa"/>
          </w:tcPr>
          <w:p w14:paraId="1439FFC1" w14:textId="77777777" w:rsidR="00E239E3" w:rsidRPr="00E239E3" w:rsidRDefault="00E239E3" w:rsidP="00E239E3">
            <w:pPr>
              <w:rPr>
                <w:color w:val="000000"/>
                <w:sz w:val="20"/>
                <w:szCs w:val="20"/>
              </w:rPr>
            </w:pPr>
            <w:r w:rsidRPr="00E239E3">
              <w:rPr>
                <w:color w:val="000000"/>
                <w:sz w:val="20"/>
                <w:szCs w:val="20"/>
              </w:rPr>
              <w:t>2020 Unit Warrants</w:t>
            </w:r>
          </w:p>
        </w:tc>
        <w:tc>
          <w:tcPr>
            <w:tcW w:w="1260" w:type="dxa"/>
          </w:tcPr>
          <w:p w14:paraId="1015454A" w14:textId="77777777" w:rsidR="00E239E3" w:rsidRPr="00E239E3" w:rsidRDefault="00E239E3" w:rsidP="00E239E3">
            <w:pPr>
              <w:tabs>
                <w:tab w:val="decimal" w:pos="877"/>
              </w:tabs>
              <w:rPr>
                <w:color w:val="000000"/>
                <w:sz w:val="20"/>
                <w:szCs w:val="20"/>
              </w:rPr>
            </w:pPr>
            <w:r w:rsidRPr="00E239E3">
              <w:rPr>
                <w:color w:val="000000"/>
                <w:sz w:val="20"/>
                <w:szCs w:val="20"/>
              </w:rPr>
              <w:t>2,396,631</w:t>
            </w:r>
          </w:p>
        </w:tc>
        <w:tc>
          <w:tcPr>
            <w:tcW w:w="1191" w:type="dxa"/>
          </w:tcPr>
          <w:p w14:paraId="1B0FE7E0" w14:textId="77777777" w:rsidR="00E239E3" w:rsidRPr="00E239E3" w:rsidRDefault="00E239E3" w:rsidP="00E239E3">
            <w:pPr>
              <w:tabs>
                <w:tab w:val="decimal" w:pos="607"/>
              </w:tabs>
              <w:rPr>
                <w:color w:val="000000"/>
                <w:sz w:val="20"/>
                <w:szCs w:val="20"/>
              </w:rPr>
            </w:pPr>
            <w:r w:rsidRPr="00E239E3">
              <w:rPr>
                <w:color w:val="000000"/>
                <w:sz w:val="20"/>
                <w:szCs w:val="20"/>
              </w:rPr>
              <w:t>5.00</w:t>
            </w:r>
          </w:p>
        </w:tc>
        <w:tc>
          <w:tcPr>
            <w:tcW w:w="1625" w:type="dxa"/>
          </w:tcPr>
          <w:p w14:paraId="4C3F347F" w14:textId="77777777" w:rsidR="00E239E3" w:rsidRPr="00E239E3" w:rsidRDefault="00E239E3" w:rsidP="00E239E3">
            <w:pPr>
              <w:jc w:val="center"/>
              <w:rPr>
                <w:color w:val="000000"/>
                <w:sz w:val="20"/>
                <w:szCs w:val="20"/>
              </w:rPr>
            </w:pPr>
            <w:r w:rsidRPr="00E239E3">
              <w:rPr>
                <w:color w:val="000000"/>
                <w:sz w:val="20"/>
                <w:szCs w:val="20"/>
              </w:rPr>
              <w:t>Sep 2025</w:t>
            </w:r>
          </w:p>
        </w:tc>
      </w:tr>
      <w:tr w:rsidR="00E239E3" w:rsidRPr="00E239E3" w14:paraId="58285E1C" w14:textId="77777777" w:rsidTr="004F5282">
        <w:tc>
          <w:tcPr>
            <w:tcW w:w="5850" w:type="dxa"/>
          </w:tcPr>
          <w:p w14:paraId="0478B643" w14:textId="77777777" w:rsidR="00E239E3" w:rsidRPr="00E239E3" w:rsidRDefault="00E239E3" w:rsidP="00E239E3">
            <w:pPr>
              <w:rPr>
                <w:color w:val="000000"/>
                <w:sz w:val="20"/>
                <w:szCs w:val="20"/>
              </w:rPr>
            </w:pPr>
            <w:r w:rsidRPr="00E239E3">
              <w:rPr>
                <w:color w:val="000000"/>
                <w:sz w:val="20"/>
                <w:szCs w:val="20"/>
              </w:rPr>
              <w:t>2020 Representative Warrants</w:t>
            </w:r>
          </w:p>
        </w:tc>
        <w:tc>
          <w:tcPr>
            <w:tcW w:w="1260" w:type="dxa"/>
          </w:tcPr>
          <w:p w14:paraId="25F4E76E" w14:textId="77777777" w:rsidR="00E239E3" w:rsidRPr="00E239E3" w:rsidRDefault="00E239E3" w:rsidP="00E239E3">
            <w:pPr>
              <w:tabs>
                <w:tab w:val="decimal" w:pos="877"/>
              </w:tabs>
              <w:rPr>
                <w:color w:val="000000"/>
                <w:sz w:val="20"/>
                <w:szCs w:val="20"/>
              </w:rPr>
            </w:pPr>
            <w:r w:rsidRPr="00E239E3">
              <w:rPr>
                <w:color w:val="000000"/>
                <w:sz w:val="20"/>
                <w:szCs w:val="20"/>
              </w:rPr>
              <w:t>128,000</w:t>
            </w:r>
          </w:p>
        </w:tc>
        <w:tc>
          <w:tcPr>
            <w:tcW w:w="1191" w:type="dxa"/>
          </w:tcPr>
          <w:p w14:paraId="3F5F3E8D" w14:textId="77777777" w:rsidR="00E239E3" w:rsidRPr="00E239E3" w:rsidRDefault="00E239E3" w:rsidP="00E239E3">
            <w:pPr>
              <w:tabs>
                <w:tab w:val="decimal" w:pos="607"/>
              </w:tabs>
              <w:rPr>
                <w:color w:val="000000"/>
                <w:sz w:val="20"/>
                <w:szCs w:val="20"/>
              </w:rPr>
            </w:pPr>
            <w:r w:rsidRPr="00E239E3">
              <w:rPr>
                <w:color w:val="000000"/>
                <w:sz w:val="20"/>
                <w:szCs w:val="20"/>
              </w:rPr>
              <w:t>5.50</w:t>
            </w:r>
          </w:p>
        </w:tc>
        <w:tc>
          <w:tcPr>
            <w:tcW w:w="1625" w:type="dxa"/>
          </w:tcPr>
          <w:p w14:paraId="43EF8E06" w14:textId="77777777" w:rsidR="00E239E3" w:rsidRPr="00E239E3" w:rsidRDefault="00E239E3" w:rsidP="00E239E3">
            <w:pPr>
              <w:jc w:val="center"/>
              <w:rPr>
                <w:color w:val="000000"/>
                <w:sz w:val="20"/>
                <w:szCs w:val="20"/>
              </w:rPr>
            </w:pPr>
            <w:r w:rsidRPr="00E239E3">
              <w:rPr>
                <w:color w:val="000000"/>
                <w:sz w:val="20"/>
                <w:szCs w:val="20"/>
              </w:rPr>
              <w:t>Mar 2024</w:t>
            </w:r>
          </w:p>
        </w:tc>
      </w:tr>
      <w:tr w:rsidR="00E239E3" w:rsidRPr="00E239E3" w14:paraId="61697D87" w14:textId="77777777" w:rsidTr="004F5282">
        <w:tc>
          <w:tcPr>
            <w:tcW w:w="5850" w:type="dxa"/>
          </w:tcPr>
          <w:p w14:paraId="1FAF4186" w14:textId="77777777" w:rsidR="00E239E3" w:rsidRPr="00E239E3" w:rsidRDefault="00E239E3" w:rsidP="00E239E3">
            <w:pPr>
              <w:rPr>
                <w:color w:val="000000"/>
                <w:sz w:val="20"/>
                <w:szCs w:val="20"/>
              </w:rPr>
            </w:pPr>
            <w:r w:rsidRPr="00E239E3">
              <w:rPr>
                <w:color w:val="000000"/>
                <w:sz w:val="20"/>
                <w:szCs w:val="20"/>
              </w:rPr>
              <w:t>2021 Representative Warrants</w:t>
            </w:r>
          </w:p>
        </w:tc>
        <w:tc>
          <w:tcPr>
            <w:tcW w:w="1260" w:type="dxa"/>
          </w:tcPr>
          <w:p w14:paraId="217173FE" w14:textId="77777777" w:rsidR="00E239E3" w:rsidRPr="00E239E3" w:rsidRDefault="00E239E3" w:rsidP="00E239E3">
            <w:pPr>
              <w:tabs>
                <w:tab w:val="decimal" w:pos="877"/>
              </w:tabs>
              <w:rPr>
                <w:color w:val="000000"/>
                <w:sz w:val="20"/>
                <w:szCs w:val="20"/>
              </w:rPr>
            </w:pPr>
            <w:r w:rsidRPr="00E239E3">
              <w:rPr>
                <w:color w:val="000000"/>
                <w:sz w:val="20"/>
                <w:szCs w:val="20"/>
              </w:rPr>
              <w:t>72,000</w:t>
            </w:r>
          </w:p>
        </w:tc>
        <w:tc>
          <w:tcPr>
            <w:tcW w:w="1191" w:type="dxa"/>
          </w:tcPr>
          <w:p w14:paraId="187BA799" w14:textId="77777777" w:rsidR="00E239E3" w:rsidRPr="00E239E3" w:rsidRDefault="00E239E3" w:rsidP="00E239E3">
            <w:pPr>
              <w:tabs>
                <w:tab w:val="decimal" w:pos="607"/>
              </w:tabs>
              <w:rPr>
                <w:color w:val="000000"/>
                <w:sz w:val="20"/>
                <w:szCs w:val="20"/>
              </w:rPr>
            </w:pPr>
            <w:r w:rsidRPr="00E239E3">
              <w:rPr>
                <w:color w:val="000000"/>
                <w:sz w:val="20"/>
                <w:szCs w:val="20"/>
              </w:rPr>
              <w:t>6.875</w:t>
            </w:r>
          </w:p>
        </w:tc>
        <w:tc>
          <w:tcPr>
            <w:tcW w:w="1625" w:type="dxa"/>
          </w:tcPr>
          <w:p w14:paraId="5AD967A1" w14:textId="77777777" w:rsidR="00E239E3" w:rsidRPr="00E239E3" w:rsidRDefault="00E239E3" w:rsidP="00E239E3">
            <w:pPr>
              <w:jc w:val="center"/>
              <w:rPr>
                <w:color w:val="000000"/>
                <w:sz w:val="20"/>
                <w:szCs w:val="20"/>
              </w:rPr>
            </w:pPr>
            <w:r w:rsidRPr="00E239E3">
              <w:rPr>
                <w:color w:val="000000"/>
                <w:sz w:val="20"/>
                <w:szCs w:val="20"/>
              </w:rPr>
              <w:t>Aug 2024</w:t>
            </w:r>
          </w:p>
        </w:tc>
      </w:tr>
      <w:tr w:rsidR="00E239E3" w:rsidRPr="00E239E3" w14:paraId="7E76F58D" w14:textId="77777777" w:rsidTr="004F5282">
        <w:tc>
          <w:tcPr>
            <w:tcW w:w="5850" w:type="dxa"/>
          </w:tcPr>
          <w:p w14:paraId="27018F6B" w14:textId="77777777" w:rsidR="00E239E3" w:rsidRPr="00E239E3" w:rsidRDefault="00E239E3" w:rsidP="00E239E3">
            <w:pPr>
              <w:rPr>
                <w:color w:val="000000"/>
                <w:sz w:val="20"/>
                <w:szCs w:val="20"/>
              </w:rPr>
            </w:pPr>
            <w:r w:rsidRPr="00E239E3">
              <w:rPr>
                <w:color w:val="000000"/>
                <w:sz w:val="20"/>
                <w:szCs w:val="20"/>
              </w:rPr>
              <w:t>2021 Warrants</w:t>
            </w:r>
          </w:p>
        </w:tc>
        <w:tc>
          <w:tcPr>
            <w:tcW w:w="1260" w:type="dxa"/>
            <w:tcBorders>
              <w:bottom w:val="single" w:sz="4" w:space="0" w:color="auto"/>
            </w:tcBorders>
          </w:tcPr>
          <w:p w14:paraId="01E7BA84" w14:textId="77777777" w:rsidR="00E239E3" w:rsidRPr="00E239E3" w:rsidRDefault="00E239E3" w:rsidP="00E239E3">
            <w:pPr>
              <w:tabs>
                <w:tab w:val="decimal" w:pos="877"/>
              </w:tabs>
              <w:rPr>
                <w:color w:val="000000"/>
                <w:sz w:val="20"/>
                <w:szCs w:val="20"/>
              </w:rPr>
            </w:pPr>
            <w:r w:rsidRPr="00E239E3">
              <w:rPr>
                <w:color w:val="000000"/>
                <w:sz w:val="20"/>
                <w:szCs w:val="20"/>
              </w:rPr>
              <w:t>100,000</w:t>
            </w:r>
          </w:p>
        </w:tc>
        <w:tc>
          <w:tcPr>
            <w:tcW w:w="1191" w:type="dxa"/>
          </w:tcPr>
          <w:p w14:paraId="31EB07BC" w14:textId="77777777" w:rsidR="00E239E3" w:rsidRPr="00E239E3" w:rsidRDefault="00E239E3" w:rsidP="00E239E3">
            <w:pPr>
              <w:tabs>
                <w:tab w:val="decimal" w:pos="607"/>
              </w:tabs>
              <w:rPr>
                <w:color w:val="000000"/>
                <w:sz w:val="20"/>
                <w:szCs w:val="20"/>
              </w:rPr>
            </w:pPr>
            <w:r w:rsidRPr="00E239E3">
              <w:rPr>
                <w:color w:val="000000"/>
                <w:sz w:val="20"/>
                <w:szCs w:val="20"/>
              </w:rPr>
              <w:t>13.00</w:t>
            </w:r>
          </w:p>
        </w:tc>
        <w:tc>
          <w:tcPr>
            <w:tcW w:w="1625" w:type="dxa"/>
          </w:tcPr>
          <w:p w14:paraId="20949077" w14:textId="77777777" w:rsidR="00E239E3" w:rsidRPr="00E239E3" w:rsidRDefault="00E239E3" w:rsidP="00E239E3">
            <w:pPr>
              <w:jc w:val="center"/>
              <w:rPr>
                <w:color w:val="000000"/>
                <w:sz w:val="20"/>
                <w:szCs w:val="20"/>
              </w:rPr>
            </w:pPr>
            <w:r w:rsidRPr="00E239E3">
              <w:rPr>
                <w:color w:val="000000"/>
                <w:sz w:val="20"/>
                <w:szCs w:val="20"/>
              </w:rPr>
              <w:t>Sep 2026</w:t>
            </w:r>
          </w:p>
        </w:tc>
      </w:tr>
      <w:tr w:rsidR="00E239E3" w:rsidRPr="00E239E3" w14:paraId="5DAA2F7E" w14:textId="77777777" w:rsidTr="004F5282">
        <w:tc>
          <w:tcPr>
            <w:tcW w:w="5850" w:type="dxa"/>
          </w:tcPr>
          <w:p w14:paraId="34B717A3" w14:textId="77777777" w:rsidR="00E239E3" w:rsidRPr="00E239E3" w:rsidRDefault="00E239E3" w:rsidP="00E239E3">
            <w:pPr>
              <w:rPr>
                <w:color w:val="000000"/>
                <w:sz w:val="20"/>
                <w:szCs w:val="20"/>
              </w:rPr>
            </w:pPr>
            <w:r w:rsidRPr="00E239E3">
              <w:rPr>
                <w:color w:val="000000"/>
                <w:sz w:val="20"/>
                <w:szCs w:val="20"/>
              </w:rPr>
              <w:t>Total Warrants Outstanding at December 31, 2021</w:t>
            </w:r>
          </w:p>
        </w:tc>
        <w:tc>
          <w:tcPr>
            <w:tcW w:w="1260" w:type="dxa"/>
            <w:tcBorders>
              <w:top w:val="single" w:sz="4" w:space="0" w:color="auto"/>
              <w:bottom w:val="double" w:sz="4" w:space="0" w:color="auto"/>
            </w:tcBorders>
          </w:tcPr>
          <w:p w14:paraId="6F1293F7" w14:textId="77777777" w:rsidR="00E239E3" w:rsidRPr="00E239E3" w:rsidRDefault="00E239E3" w:rsidP="00E239E3">
            <w:pPr>
              <w:tabs>
                <w:tab w:val="decimal" w:pos="877"/>
              </w:tabs>
              <w:rPr>
                <w:color w:val="000000"/>
                <w:sz w:val="20"/>
                <w:szCs w:val="20"/>
              </w:rPr>
            </w:pPr>
            <w:r w:rsidRPr="00E239E3">
              <w:rPr>
                <w:color w:val="000000"/>
                <w:sz w:val="20"/>
                <w:szCs w:val="20"/>
              </w:rPr>
              <w:t>2,816,631</w:t>
            </w:r>
          </w:p>
        </w:tc>
        <w:tc>
          <w:tcPr>
            <w:tcW w:w="1191" w:type="dxa"/>
          </w:tcPr>
          <w:p w14:paraId="36C35D12" w14:textId="77777777" w:rsidR="00E239E3" w:rsidRPr="00E239E3" w:rsidRDefault="00E239E3" w:rsidP="00E239E3">
            <w:pPr>
              <w:tabs>
                <w:tab w:val="decimal" w:pos="793"/>
              </w:tabs>
              <w:rPr>
                <w:color w:val="000000"/>
                <w:sz w:val="20"/>
                <w:szCs w:val="20"/>
              </w:rPr>
            </w:pPr>
          </w:p>
        </w:tc>
        <w:tc>
          <w:tcPr>
            <w:tcW w:w="1625" w:type="dxa"/>
          </w:tcPr>
          <w:p w14:paraId="7FD65C91" w14:textId="77777777" w:rsidR="00E239E3" w:rsidRPr="00E239E3" w:rsidRDefault="00E239E3" w:rsidP="00E239E3">
            <w:pPr>
              <w:rPr>
                <w:color w:val="000000"/>
                <w:sz w:val="20"/>
                <w:szCs w:val="20"/>
              </w:rPr>
            </w:pPr>
          </w:p>
        </w:tc>
      </w:tr>
      <w:tr w:rsidR="00E239E3" w:rsidRPr="00E239E3" w14:paraId="2991CC28" w14:textId="77777777" w:rsidTr="004F5282">
        <w:tc>
          <w:tcPr>
            <w:tcW w:w="5850" w:type="dxa"/>
          </w:tcPr>
          <w:p w14:paraId="64ECE8B0" w14:textId="77777777" w:rsidR="00E239E3" w:rsidRPr="00E239E3" w:rsidRDefault="00E239E3" w:rsidP="00E239E3">
            <w:pPr>
              <w:rPr>
                <w:color w:val="000000"/>
                <w:sz w:val="20"/>
                <w:szCs w:val="20"/>
              </w:rPr>
            </w:pPr>
          </w:p>
        </w:tc>
        <w:tc>
          <w:tcPr>
            <w:tcW w:w="1260" w:type="dxa"/>
            <w:tcBorders>
              <w:top w:val="double" w:sz="4" w:space="0" w:color="auto"/>
            </w:tcBorders>
          </w:tcPr>
          <w:p w14:paraId="6FA781B3" w14:textId="77777777" w:rsidR="00E239E3" w:rsidRPr="00E239E3" w:rsidRDefault="00E239E3" w:rsidP="00E239E3">
            <w:pPr>
              <w:rPr>
                <w:color w:val="000000"/>
                <w:sz w:val="20"/>
                <w:szCs w:val="20"/>
              </w:rPr>
            </w:pPr>
          </w:p>
        </w:tc>
        <w:tc>
          <w:tcPr>
            <w:tcW w:w="1191" w:type="dxa"/>
          </w:tcPr>
          <w:p w14:paraId="0827A119" w14:textId="77777777" w:rsidR="00E239E3" w:rsidRPr="00E239E3" w:rsidRDefault="00E239E3" w:rsidP="00E239E3">
            <w:pPr>
              <w:rPr>
                <w:color w:val="000000"/>
                <w:sz w:val="20"/>
                <w:szCs w:val="20"/>
              </w:rPr>
            </w:pPr>
          </w:p>
        </w:tc>
        <w:tc>
          <w:tcPr>
            <w:tcW w:w="1625" w:type="dxa"/>
          </w:tcPr>
          <w:p w14:paraId="735BF34D" w14:textId="77777777" w:rsidR="00E239E3" w:rsidRPr="00E239E3" w:rsidRDefault="00E239E3" w:rsidP="00E239E3">
            <w:pPr>
              <w:rPr>
                <w:color w:val="000000"/>
                <w:sz w:val="20"/>
                <w:szCs w:val="20"/>
              </w:rPr>
            </w:pPr>
          </w:p>
        </w:tc>
      </w:tr>
      <w:tr w:rsidR="00E239E3" w:rsidRPr="00E239E3" w14:paraId="15CA24F0" w14:textId="77777777" w:rsidTr="004F5282">
        <w:tc>
          <w:tcPr>
            <w:tcW w:w="5850" w:type="dxa"/>
          </w:tcPr>
          <w:p w14:paraId="5951E5AF" w14:textId="77777777" w:rsidR="00E239E3" w:rsidRPr="00E239E3" w:rsidRDefault="00E239E3" w:rsidP="00E239E3">
            <w:pPr>
              <w:rPr>
                <w:color w:val="000000"/>
                <w:sz w:val="20"/>
                <w:szCs w:val="20"/>
              </w:rPr>
            </w:pPr>
            <w:r w:rsidRPr="00E239E3">
              <w:rPr>
                <w:color w:val="000000"/>
                <w:sz w:val="20"/>
                <w:szCs w:val="20"/>
              </w:rPr>
              <w:t>Weighted-Average Exercise Price</w:t>
            </w:r>
          </w:p>
        </w:tc>
        <w:tc>
          <w:tcPr>
            <w:tcW w:w="1260" w:type="dxa"/>
          </w:tcPr>
          <w:p w14:paraId="35E54B88" w14:textId="77777777" w:rsidR="00E239E3" w:rsidRPr="00E239E3" w:rsidRDefault="00E239E3" w:rsidP="00E239E3">
            <w:pPr>
              <w:tabs>
                <w:tab w:val="left" w:pos="157"/>
                <w:tab w:val="decimal" w:pos="607"/>
              </w:tabs>
              <w:rPr>
                <w:color w:val="000000"/>
                <w:sz w:val="20"/>
                <w:szCs w:val="20"/>
              </w:rPr>
            </w:pPr>
            <w:r w:rsidRPr="00E239E3">
              <w:rPr>
                <w:color w:val="000000"/>
                <w:sz w:val="20"/>
                <w:szCs w:val="20"/>
              </w:rPr>
              <w:tab/>
              <w:t>$</w:t>
            </w:r>
            <w:r w:rsidRPr="00E239E3">
              <w:rPr>
                <w:color w:val="000000"/>
                <w:sz w:val="20"/>
                <w:szCs w:val="20"/>
              </w:rPr>
              <w:tab/>
              <w:t>5.35</w:t>
            </w:r>
          </w:p>
        </w:tc>
        <w:tc>
          <w:tcPr>
            <w:tcW w:w="1191" w:type="dxa"/>
          </w:tcPr>
          <w:p w14:paraId="388F7BE5" w14:textId="77777777" w:rsidR="00E239E3" w:rsidRPr="00E239E3" w:rsidRDefault="00E239E3" w:rsidP="00E239E3">
            <w:pPr>
              <w:rPr>
                <w:color w:val="000000"/>
                <w:sz w:val="20"/>
                <w:szCs w:val="20"/>
              </w:rPr>
            </w:pPr>
          </w:p>
        </w:tc>
        <w:tc>
          <w:tcPr>
            <w:tcW w:w="1625" w:type="dxa"/>
          </w:tcPr>
          <w:p w14:paraId="7390D1B6" w14:textId="77777777" w:rsidR="00E239E3" w:rsidRPr="00E239E3" w:rsidRDefault="00E239E3" w:rsidP="00E239E3">
            <w:pPr>
              <w:rPr>
                <w:color w:val="000000"/>
                <w:sz w:val="20"/>
                <w:szCs w:val="20"/>
              </w:rPr>
            </w:pPr>
          </w:p>
        </w:tc>
      </w:tr>
      <w:tr w:rsidR="00E239E3" w:rsidRPr="00E239E3" w14:paraId="74E85940" w14:textId="77777777" w:rsidTr="004F5282">
        <w:tc>
          <w:tcPr>
            <w:tcW w:w="5850" w:type="dxa"/>
          </w:tcPr>
          <w:p w14:paraId="06F7BB5F" w14:textId="77777777" w:rsidR="00E239E3" w:rsidRPr="00E239E3" w:rsidRDefault="00E239E3" w:rsidP="00E239E3">
            <w:pPr>
              <w:rPr>
                <w:color w:val="000000"/>
                <w:sz w:val="20"/>
                <w:szCs w:val="20"/>
              </w:rPr>
            </w:pPr>
            <w:r w:rsidRPr="00E239E3">
              <w:rPr>
                <w:color w:val="000000"/>
                <w:sz w:val="20"/>
                <w:szCs w:val="20"/>
              </w:rPr>
              <w:t>Weighted-Average Remaining Life</w:t>
            </w:r>
          </w:p>
        </w:tc>
        <w:tc>
          <w:tcPr>
            <w:tcW w:w="1260" w:type="dxa"/>
          </w:tcPr>
          <w:p w14:paraId="68DBD71E" w14:textId="77777777" w:rsidR="00E239E3" w:rsidRPr="00E239E3" w:rsidRDefault="00E239E3" w:rsidP="00E239E3">
            <w:pPr>
              <w:tabs>
                <w:tab w:val="right" w:pos="877"/>
              </w:tabs>
              <w:rPr>
                <w:color w:val="000000"/>
                <w:sz w:val="20"/>
                <w:szCs w:val="20"/>
              </w:rPr>
            </w:pPr>
            <w:r w:rsidRPr="00E239E3">
              <w:rPr>
                <w:color w:val="000000"/>
                <w:sz w:val="20"/>
                <w:szCs w:val="20"/>
              </w:rPr>
              <w:tab/>
              <w:t xml:space="preserve">3.7 </w:t>
            </w:r>
            <w:proofErr w:type="spellStart"/>
            <w:r w:rsidRPr="00E239E3">
              <w:rPr>
                <w:color w:val="000000"/>
                <w:sz w:val="20"/>
                <w:szCs w:val="20"/>
              </w:rPr>
              <w:t>yrs</w:t>
            </w:r>
            <w:proofErr w:type="spellEnd"/>
          </w:p>
        </w:tc>
        <w:tc>
          <w:tcPr>
            <w:tcW w:w="1191" w:type="dxa"/>
          </w:tcPr>
          <w:p w14:paraId="54D88F29" w14:textId="77777777" w:rsidR="00E239E3" w:rsidRPr="00E239E3" w:rsidRDefault="00E239E3" w:rsidP="00E239E3">
            <w:pPr>
              <w:rPr>
                <w:color w:val="000000"/>
                <w:sz w:val="20"/>
                <w:szCs w:val="20"/>
              </w:rPr>
            </w:pPr>
          </w:p>
        </w:tc>
        <w:tc>
          <w:tcPr>
            <w:tcW w:w="1625" w:type="dxa"/>
          </w:tcPr>
          <w:p w14:paraId="12F8FC00" w14:textId="77777777" w:rsidR="00E239E3" w:rsidRPr="00E239E3" w:rsidRDefault="00E239E3" w:rsidP="00E239E3">
            <w:pPr>
              <w:rPr>
                <w:color w:val="000000"/>
                <w:sz w:val="20"/>
                <w:szCs w:val="20"/>
              </w:rPr>
            </w:pPr>
          </w:p>
        </w:tc>
      </w:tr>
    </w:tbl>
    <w:p w14:paraId="10B4D082" w14:textId="77777777" w:rsidR="00E239E3" w:rsidRPr="00E239E3" w:rsidRDefault="00E239E3" w:rsidP="00E239E3">
      <w:pPr>
        <w:rPr>
          <w:color w:val="000000"/>
          <w:sz w:val="20"/>
          <w:szCs w:val="20"/>
        </w:rPr>
      </w:pPr>
    </w:p>
    <w:p w14:paraId="03AFC034" w14:textId="77777777" w:rsidR="00E239E3" w:rsidRPr="00E239E3" w:rsidRDefault="00E239E3" w:rsidP="00E239E3">
      <w:pPr>
        <w:rPr>
          <w:color w:val="000000"/>
          <w:sz w:val="20"/>
          <w:szCs w:val="20"/>
        </w:rPr>
      </w:pPr>
      <w:bookmarkStart w:id="81" w:name="_Hlk93332608"/>
      <w:r w:rsidRPr="00E239E3">
        <w:rPr>
          <w:i/>
          <w:iCs/>
          <w:color w:val="000000"/>
          <w:sz w:val="20"/>
          <w:szCs w:val="20"/>
        </w:rPr>
        <w:t>2020 Warrants</w:t>
      </w:r>
      <w:r w:rsidRPr="00E239E3">
        <w:rPr>
          <w:color w:val="000000"/>
          <w:sz w:val="20"/>
          <w:szCs w:val="20"/>
        </w:rPr>
        <w:t xml:space="preserve"> – In June 2020, in connection with the issuance of convertible debentures, we issued warrants </w:t>
      </w:r>
      <w:bookmarkStart w:id="82" w:name="_Hlk53599984"/>
      <w:r w:rsidRPr="00E239E3">
        <w:rPr>
          <w:color w:val="000000"/>
          <w:sz w:val="20"/>
          <w:szCs w:val="20"/>
        </w:rPr>
        <w:t xml:space="preserve">to purchase 120,000 shares of common stock, </w:t>
      </w:r>
      <w:bookmarkStart w:id="83" w:name="_Hlk93333283"/>
      <w:r w:rsidRPr="00E239E3">
        <w:rPr>
          <w:color w:val="000000"/>
          <w:sz w:val="20"/>
          <w:szCs w:val="20"/>
        </w:rPr>
        <w:t>with a five-year term and an exercise price of $10.00</w:t>
      </w:r>
      <w:bookmarkEnd w:id="82"/>
      <w:bookmarkEnd w:id="83"/>
      <w:r w:rsidRPr="00E239E3">
        <w:rPr>
          <w:color w:val="000000"/>
          <w:sz w:val="20"/>
          <w:szCs w:val="20"/>
        </w:rPr>
        <w:t>.  As a result of the 2020 Public Offering, in September 2020 the exercise price was reduced to $5.00.</w:t>
      </w:r>
    </w:p>
    <w:bookmarkEnd w:id="81"/>
    <w:p w14:paraId="086D4E7B" w14:textId="77777777" w:rsidR="00E239E3" w:rsidRPr="00E239E3" w:rsidRDefault="00E239E3" w:rsidP="00E239E3">
      <w:pPr>
        <w:rPr>
          <w:color w:val="000000"/>
          <w:sz w:val="20"/>
          <w:szCs w:val="20"/>
        </w:rPr>
      </w:pPr>
    </w:p>
    <w:p w14:paraId="64687203" w14:textId="77777777" w:rsidR="00E239E3" w:rsidRPr="00E239E3" w:rsidRDefault="00E239E3" w:rsidP="00E239E3">
      <w:pPr>
        <w:rPr>
          <w:color w:val="000000"/>
          <w:sz w:val="20"/>
          <w:szCs w:val="20"/>
        </w:rPr>
      </w:pPr>
      <w:r w:rsidRPr="00E239E3">
        <w:rPr>
          <w:i/>
          <w:iCs/>
          <w:color w:val="000000"/>
          <w:sz w:val="20"/>
          <w:szCs w:val="20"/>
        </w:rPr>
        <w:t>2020 Unit Warrants</w:t>
      </w:r>
      <w:r w:rsidRPr="00E239E3">
        <w:rPr>
          <w:color w:val="000000"/>
          <w:sz w:val="20"/>
          <w:szCs w:val="20"/>
        </w:rPr>
        <w:t xml:space="preserve"> – In September 2020, in connection with the 2020 Public Offering, we issued 303,668 warrants upon the conversion of convertible debentures, 300,001 warrants upon the conversion of amounts owed to current and former executive officers and directors, and 2,560,000 warrants to other investors in the 2020 Public Offering, with each of the warrants having a five-year term and an exercise price of $5.00.  During 2021, 740,034 of these warrants were exercised for cash and 27,004 were exercised using the cashless exercise feature of the warrant.</w:t>
      </w:r>
    </w:p>
    <w:p w14:paraId="15EAD92D" w14:textId="77777777" w:rsidR="00E239E3" w:rsidRPr="00E239E3" w:rsidRDefault="00E239E3" w:rsidP="00E239E3">
      <w:pPr>
        <w:rPr>
          <w:color w:val="000000"/>
          <w:sz w:val="20"/>
          <w:szCs w:val="20"/>
        </w:rPr>
      </w:pPr>
    </w:p>
    <w:p w14:paraId="6D9A3F07" w14:textId="77777777" w:rsidR="00E239E3" w:rsidRPr="00E239E3" w:rsidRDefault="00E239E3" w:rsidP="00E239E3">
      <w:pPr>
        <w:rPr>
          <w:color w:val="000000"/>
          <w:sz w:val="20"/>
          <w:szCs w:val="20"/>
        </w:rPr>
      </w:pPr>
      <w:r w:rsidRPr="00E239E3">
        <w:rPr>
          <w:i/>
          <w:iCs/>
          <w:color w:val="000000"/>
          <w:sz w:val="20"/>
          <w:szCs w:val="20"/>
        </w:rPr>
        <w:t>2020 Representative Warrants</w:t>
      </w:r>
      <w:r w:rsidRPr="00E239E3">
        <w:rPr>
          <w:color w:val="000000"/>
          <w:sz w:val="20"/>
          <w:szCs w:val="20"/>
        </w:rPr>
        <w:t xml:space="preserve"> – In September 2020, we issued 128,000 warrants to the underwriter of the 2020 Public Offering, with a 42-month term and an exercise price of $5.50.</w:t>
      </w:r>
    </w:p>
    <w:p w14:paraId="5170EBC6" w14:textId="77777777" w:rsidR="00E239E3" w:rsidRPr="00E239E3" w:rsidRDefault="00E239E3" w:rsidP="00E239E3">
      <w:pPr>
        <w:rPr>
          <w:color w:val="000000"/>
          <w:sz w:val="20"/>
          <w:szCs w:val="20"/>
        </w:rPr>
      </w:pPr>
    </w:p>
    <w:p w14:paraId="7411EB0F" w14:textId="77777777" w:rsidR="00E239E3" w:rsidRPr="00E239E3" w:rsidRDefault="00E239E3" w:rsidP="00E239E3">
      <w:pPr>
        <w:rPr>
          <w:color w:val="000000"/>
          <w:sz w:val="20"/>
          <w:szCs w:val="20"/>
        </w:rPr>
      </w:pPr>
      <w:bookmarkStart w:id="84" w:name="_Hlk93333708"/>
      <w:r w:rsidRPr="00E239E3">
        <w:rPr>
          <w:i/>
          <w:iCs/>
          <w:color w:val="000000"/>
          <w:sz w:val="20"/>
          <w:szCs w:val="20"/>
        </w:rPr>
        <w:t>2021 Representative Warrants</w:t>
      </w:r>
      <w:r w:rsidRPr="00E239E3">
        <w:rPr>
          <w:color w:val="000000"/>
          <w:sz w:val="20"/>
          <w:szCs w:val="20"/>
        </w:rPr>
        <w:t xml:space="preserve"> – In February 2021, we issued 72,000 warrants to the underwriter of the 2021 Public Offering, with a 42-month term and an exercise price of $6.875.</w:t>
      </w:r>
    </w:p>
    <w:bookmarkEnd w:id="84"/>
    <w:p w14:paraId="6E73A05F" w14:textId="77777777" w:rsidR="00E239E3" w:rsidRPr="00E239E3" w:rsidRDefault="00E239E3" w:rsidP="00E239E3">
      <w:pPr>
        <w:rPr>
          <w:color w:val="000000"/>
          <w:sz w:val="20"/>
          <w:szCs w:val="20"/>
        </w:rPr>
      </w:pPr>
    </w:p>
    <w:p w14:paraId="64DC5B83" w14:textId="77777777" w:rsidR="00E239E3" w:rsidRPr="00E239E3" w:rsidRDefault="00E239E3" w:rsidP="00E239E3">
      <w:pPr>
        <w:rPr>
          <w:color w:val="000000"/>
          <w:sz w:val="20"/>
          <w:szCs w:val="20"/>
        </w:rPr>
      </w:pPr>
      <w:r w:rsidRPr="00E239E3">
        <w:rPr>
          <w:i/>
          <w:iCs/>
          <w:color w:val="000000"/>
          <w:sz w:val="20"/>
          <w:szCs w:val="20"/>
        </w:rPr>
        <w:t>2021 Warrants</w:t>
      </w:r>
      <w:r w:rsidRPr="00E239E3">
        <w:rPr>
          <w:color w:val="000000"/>
          <w:sz w:val="20"/>
          <w:szCs w:val="20"/>
        </w:rPr>
        <w:t xml:space="preserve"> – In September 2021, in connection with a technology licensing agreement, we issued 100,000 warrants, with a five-year term and an exercise price of $13.00.</w:t>
      </w:r>
    </w:p>
    <w:p w14:paraId="74AFAC4B" w14:textId="77777777" w:rsidR="00E239E3" w:rsidRPr="00E239E3" w:rsidRDefault="00E239E3" w:rsidP="00E239E3">
      <w:pPr>
        <w:rPr>
          <w:color w:val="000000"/>
          <w:sz w:val="20"/>
          <w:szCs w:val="20"/>
        </w:rPr>
      </w:pPr>
    </w:p>
    <w:p w14:paraId="1271B52E" w14:textId="77777777" w:rsidR="00E239E3" w:rsidRPr="00E239E3" w:rsidRDefault="00E239E3" w:rsidP="00E239E3">
      <w:pPr>
        <w:rPr>
          <w:i/>
          <w:color w:val="000000"/>
          <w:sz w:val="20"/>
          <w:szCs w:val="20"/>
        </w:rPr>
      </w:pPr>
      <w:r w:rsidRPr="00E239E3">
        <w:rPr>
          <w:i/>
          <w:color w:val="000000"/>
          <w:sz w:val="20"/>
          <w:szCs w:val="20"/>
        </w:rPr>
        <w:t>Additional Stock-Based Compensation Expense</w:t>
      </w:r>
    </w:p>
    <w:p w14:paraId="2F4069F9" w14:textId="77777777" w:rsidR="00E239E3" w:rsidRPr="00E239E3" w:rsidRDefault="00E239E3" w:rsidP="00E239E3">
      <w:pPr>
        <w:rPr>
          <w:sz w:val="20"/>
          <w:szCs w:val="20"/>
        </w:rPr>
      </w:pPr>
    </w:p>
    <w:p w14:paraId="552E3B24" w14:textId="77777777" w:rsidR="00E239E3" w:rsidRPr="00E239E3" w:rsidRDefault="00E239E3" w:rsidP="00E239E3">
      <w:pPr>
        <w:rPr>
          <w:sz w:val="20"/>
          <w:szCs w:val="20"/>
        </w:rPr>
      </w:pPr>
      <w:r w:rsidRPr="00E239E3">
        <w:rPr>
          <w:sz w:val="20"/>
          <w:szCs w:val="20"/>
        </w:rPr>
        <w:t xml:space="preserve">In addition to stock-based compensation expense related to the 2020 Plan (see </w:t>
      </w:r>
      <w:r w:rsidRPr="00E239E3">
        <w:rPr>
          <w:i/>
          <w:iCs/>
          <w:sz w:val="20"/>
          <w:szCs w:val="20"/>
        </w:rPr>
        <w:t>Stock Options</w:t>
      </w:r>
      <w:r w:rsidRPr="00E239E3">
        <w:rPr>
          <w:sz w:val="20"/>
          <w:szCs w:val="20"/>
        </w:rPr>
        <w:t xml:space="preserve"> above), during the </w:t>
      </w:r>
      <w:r w:rsidRPr="00E239E3">
        <w:rPr>
          <w:rFonts w:ascii="CG Times (WN)" w:hAnsi="CG Times (WN)"/>
          <w:sz w:val="20"/>
          <w:szCs w:val="20"/>
        </w:rPr>
        <w:t>years ended December 31, 2021 and 2020</w:t>
      </w:r>
      <w:r w:rsidRPr="00E239E3">
        <w:rPr>
          <w:sz w:val="20"/>
          <w:szCs w:val="20"/>
        </w:rPr>
        <w:t>, we recognized $100,560 and $45,733, respectively, of expense related to the issuance of our common stock pursuant to consulting and investment banking agreements.  As of December 31, 2021, there is $19,947 recorded as a prepaid expense for these arrangements, which will be recognized as expense during 2022 over the term of the related agreement.</w:t>
      </w:r>
    </w:p>
    <w:p w14:paraId="699FAB11" w14:textId="77777777" w:rsidR="00E239E3" w:rsidRPr="00E239E3" w:rsidRDefault="00E239E3" w:rsidP="00E239E3">
      <w:pPr>
        <w:rPr>
          <w:sz w:val="20"/>
          <w:szCs w:val="20"/>
        </w:rPr>
      </w:pPr>
    </w:p>
    <w:p w14:paraId="2D72A6F5" w14:textId="77777777" w:rsidR="00E239E3" w:rsidRPr="00E239E3" w:rsidRDefault="00E239E3" w:rsidP="00E239E3">
      <w:pPr>
        <w:suppressAutoHyphens/>
        <w:spacing w:line="240" w:lineRule="exact"/>
        <w:rPr>
          <w:b/>
          <w:sz w:val="20"/>
          <w:szCs w:val="20"/>
        </w:rPr>
      </w:pPr>
      <w:r w:rsidRPr="00E239E3">
        <w:rPr>
          <w:b/>
          <w:sz w:val="20"/>
          <w:szCs w:val="20"/>
        </w:rPr>
        <w:t>8.</w:t>
      </w:r>
      <w:r w:rsidRPr="00E239E3">
        <w:rPr>
          <w:b/>
          <w:sz w:val="20"/>
          <w:szCs w:val="20"/>
        </w:rPr>
        <w:tab/>
        <w:t>Retirement Plan</w:t>
      </w:r>
    </w:p>
    <w:p w14:paraId="227BE18B" w14:textId="77777777" w:rsidR="00E239E3" w:rsidRPr="00E239E3" w:rsidRDefault="00E239E3" w:rsidP="00E239E3">
      <w:pPr>
        <w:suppressAutoHyphens/>
        <w:spacing w:line="240" w:lineRule="exact"/>
        <w:rPr>
          <w:sz w:val="20"/>
          <w:szCs w:val="20"/>
        </w:rPr>
      </w:pPr>
    </w:p>
    <w:p w14:paraId="0588517D" w14:textId="77777777" w:rsidR="00E239E3" w:rsidRPr="00E239E3" w:rsidRDefault="00E239E3" w:rsidP="00E239E3">
      <w:pPr>
        <w:rPr>
          <w:sz w:val="20"/>
          <w:szCs w:val="20"/>
        </w:rPr>
      </w:pPr>
      <w:r w:rsidRPr="00E239E3">
        <w:rPr>
          <w:sz w:val="20"/>
          <w:szCs w:val="20"/>
        </w:rPr>
        <w:t>We participate in a multi-employer defined contribution retirement plan (the “401k Plan”) administered by a third-party service provider, and the Company contributes to the 401k Plan on behalf of its employees based upon a matching formula. During the years ended December 31, 2021 and 2020 our contributions to the 401k Plan were $36,980 and $27,511, respectively.</w:t>
      </w:r>
    </w:p>
    <w:p w14:paraId="59AAE088" w14:textId="77777777" w:rsidR="00E239E3" w:rsidRPr="00E239E3" w:rsidRDefault="00E239E3" w:rsidP="00E239E3">
      <w:pPr>
        <w:rPr>
          <w:sz w:val="20"/>
          <w:szCs w:val="20"/>
        </w:rPr>
      </w:pPr>
    </w:p>
    <w:p w14:paraId="0B749D1F" w14:textId="77777777" w:rsidR="00E239E3" w:rsidRPr="00E239E3" w:rsidRDefault="00E239E3" w:rsidP="00E239E3">
      <w:pPr>
        <w:rPr>
          <w:b/>
          <w:sz w:val="20"/>
          <w:szCs w:val="20"/>
        </w:rPr>
      </w:pPr>
      <w:r w:rsidRPr="00E239E3">
        <w:rPr>
          <w:b/>
          <w:sz w:val="20"/>
          <w:szCs w:val="20"/>
        </w:rPr>
        <w:t>9.</w:t>
      </w:r>
      <w:r w:rsidRPr="00E239E3">
        <w:rPr>
          <w:b/>
          <w:sz w:val="20"/>
          <w:szCs w:val="20"/>
        </w:rPr>
        <w:tab/>
        <w:t>Income Taxes</w:t>
      </w:r>
    </w:p>
    <w:p w14:paraId="13BC6E54" w14:textId="77777777" w:rsidR="00E239E3" w:rsidRPr="00E239E3" w:rsidRDefault="00E239E3" w:rsidP="00E239E3">
      <w:pPr>
        <w:rPr>
          <w:b/>
          <w:sz w:val="20"/>
          <w:szCs w:val="20"/>
        </w:rPr>
      </w:pPr>
    </w:p>
    <w:p w14:paraId="3EE14B9B" w14:textId="77777777" w:rsidR="00E239E3" w:rsidRPr="00E239E3" w:rsidRDefault="00E239E3" w:rsidP="00E239E3">
      <w:pPr>
        <w:ind w:right="-144"/>
        <w:rPr>
          <w:sz w:val="20"/>
          <w:szCs w:val="20"/>
        </w:rPr>
      </w:pPr>
      <w:r w:rsidRPr="00E239E3">
        <w:rPr>
          <w:sz w:val="20"/>
          <w:szCs w:val="20"/>
        </w:rPr>
        <w:t xml:space="preserve">At December 31, 2021, we have a consolidated federal net operating loss (“NOL”) carryforward of approximately $75.2 million available to offset against future taxable income of which approximately $48.9 million expires in varying amounts in 2022 through 2037. Additionally, we have approximately $1.6 million in research and </w:t>
      </w:r>
      <w:r w:rsidRPr="00E239E3">
        <w:rPr>
          <w:sz w:val="20"/>
          <w:szCs w:val="20"/>
        </w:rPr>
        <w:lastRenderedPageBreak/>
        <w:t>development (“R&amp;D”) tax credits that expire in 2022 through 2041 unless utilized earlier. No income taxes have been paid to date. Section 382 of the Internal Revenue Code contains provisions that may limit our utilization of our NOL and R&amp;D tax credit carryforwards in any given year as a result of significant changes in ownership interests that have occurred in past periods or may occur in future periods.</w:t>
      </w:r>
    </w:p>
    <w:p w14:paraId="641E50E6" w14:textId="77777777" w:rsidR="00E239E3" w:rsidRPr="00E239E3" w:rsidRDefault="00E239E3" w:rsidP="00E239E3">
      <w:pPr>
        <w:rPr>
          <w:sz w:val="20"/>
          <w:szCs w:val="20"/>
        </w:rPr>
      </w:pPr>
    </w:p>
    <w:p w14:paraId="7A126E5A" w14:textId="77777777" w:rsidR="00E239E3" w:rsidRPr="00E239E3" w:rsidRDefault="00E239E3" w:rsidP="00E239E3">
      <w:pPr>
        <w:rPr>
          <w:sz w:val="20"/>
          <w:szCs w:val="20"/>
        </w:rPr>
      </w:pPr>
      <w:r w:rsidRPr="00E239E3">
        <w:rPr>
          <w:sz w:val="20"/>
          <w:szCs w:val="20"/>
        </w:rPr>
        <w:t>Deferred income taxes reflect the net effect of temporary differences between the carrying amounts of assets and liabilities for financial reporting purposes and the amounts used for income tax purposes. Significant components of our deferred tax assets and liabilities included the following at December 31, 2021 and 2020:</w:t>
      </w:r>
    </w:p>
    <w:tbl>
      <w:tblPr>
        <w:tblW w:w="10008" w:type="dxa"/>
        <w:tblLook w:val="01E0" w:firstRow="1" w:lastRow="1" w:firstColumn="1" w:lastColumn="1" w:noHBand="0" w:noVBand="0"/>
      </w:tblPr>
      <w:tblGrid>
        <w:gridCol w:w="558"/>
        <w:gridCol w:w="6030"/>
        <w:gridCol w:w="1710"/>
        <w:gridCol w:w="1710"/>
      </w:tblGrid>
      <w:tr w:rsidR="00E239E3" w:rsidRPr="00E239E3" w14:paraId="27F3D287" w14:textId="77777777" w:rsidTr="004F5282">
        <w:tc>
          <w:tcPr>
            <w:tcW w:w="558" w:type="dxa"/>
          </w:tcPr>
          <w:p w14:paraId="30207AFE" w14:textId="77777777" w:rsidR="00E239E3" w:rsidRPr="00E239E3" w:rsidRDefault="00E239E3" w:rsidP="00E239E3">
            <w:pPr>
              <w:rPr>
                <w:sz w:val="20"/>
                <w:szCs w:val="20"/>
              </w:rPr>
            </w:pPr>
          </w:p>
        </w:tc>
        <w:tc>
          <w:tcPr>
            <w:tcW w:w="6030" w:type="dxa"/>
          </w:tcPr>
          <w:p w14:paraId="691B2555" w14:textId="77777777" w:rsidR="00E239E3" w:rsidRPr="00E239E3" w:rsidRDefault="00E239E3" w:rsidP="00E239E3">
            <w:pPr>
              <w:rPr>
                <w:sz w:val="20"/>
                <w:szCs w:val="20"/>
              </w:rPr>
            </w:pPr>
          </w:p>
        </w:tc>
        <w:tc>
          <w:tcPr>
            <w:tcW w:w="1710" w:type="dxa"/>
            <w:tcBorders>
              <w:bottom w:val="single" w:sz="4" w:space="0" w:color="auto"/>
            </w:tcBorders>
          </w:tcPr>
          <w:p w14:paraId="51741D85" w14:textId="77777777" w:rsidR="00E239E3" w:rsidRPr="00E239E3" w:rsidRDefault="00E239E3" w:rsidP="00E239E3">
            <w:pPr>
              <w:jc w:val="center"/>
              <w:rPr>
                <w:sz w:val="20"/>
                <w:szCs w:val="20"/>
              </w:rPr>
            </w:pPr>
            <w:r w:rsidRPr="00E239E3">
              <w:rPr>
                <w:sz w:val="20"/>
                <w:szCs w:val="20"/>
              </w:rPr>
              <w:t>2021</w:t>
            </w:r>
          </w:p>
        </w:tc>
        <w:tc>
          <w:tcPr>
            <w:tcW w:w="1710" w:type="dxa"/>
            <w:tcBorders>
              <w:bottom w:val="single" w:sz="4" w:space="0" w:color="auto"/>
            </w:tcBorders>
          </w:tcPr>
          <w:p w14:paraId="6E9D69E1" w14:textId="77777777" w:rsidR="00E239E3" w:rsidRPr="00E239E3" w:rsidRDefault="00E239E3" w:rsidP="00E239E3">
            <w:pPr>
              <w:jc w:val="center"/>
              <w:rPr>
                <w:sz w:val="20"/>
                <w:szCs w:val="20"/>
              </w:rPr>
            </w:pPr>
            <w:r w:rsidRPr="00E239E3">
              <w:rPr>
                <w:sz w:val="20"/>
                <w:szCs w:val="20"/>
              </w:rPr>
              <w:t>2020</w:t>
            </w:r>
          </w:p>
        </w:tc>
      </w:tr>
      <w:tr w:rsidR="00E239E3" w:rsidRPr="00E239E3" w14:paraId="719BB63C" w14:textId="77777777" w:rsidTr="004F5282">
        <w:tc>
          <w:tcPr>
            <w:tcW w:w="6588" w:type="dxa"/>
            <w:gridSpan w:val="2"/>
          </w:tcPr>
          <w:p w14:paraId="4FE04D33" w14:textId="77777777" w:rsidR="00E239E3" w:rsidRPr="00E239E3" w:rsidRDefault="00E239E3" w:rsidP="00E239E3">
            <w:pPr>
              <w:rPr>
                <w:sz w:val="20"/>
                <w:szCs w:val="20"/>
              </w:rPr>
            </w:pPr>
            <w:r w:rsidRPr="00E239E3">
              <w:rPr>
                <w:sz w:val="20"/>
                <w:szCs w:val="20"/>
              </w:rPr>
              <w:t>Deferred tax assets:</w:t>
            </w:r>
          </w:p>
        </w:tc>
        <w:tc>
          <w:tcPr>
            <w:tcW w:w="1710" w:type="dxa"/>
            <w:tcBorders>
              <w:top w:val="single" w:sz="4" w:space="0" w:color="auto"/>
            </w:tcBorders>
          </w:tcPr>
          <w:p w14:paraId="6AFE744B" w14:textId="77777777" w:rsidR="00E239E3" w:rsidRPr="00E239E3" w:rsidRDefault="00E239E3" w:rsidP="00E239E3">
            <w:pPr>
              <w:rPr>
                <w:sz w:val="20"/>
                <w:szCs w:val="20"/>
              </w:rPr>
            </w:pPr>
          </w:p>
        </w:tc>
        <w:tc>
          <w:tcPr>
            <w:tcW w:w="1710" w:type="dxa"/>
            <w:tcBorders>
              <w:top w:val="single" w:sz="4" w:space="0" w:color="auto"/>
            </w:tcBorders>
          </w:tcPr>
          <w:p w14:paraId="3EC0481F" w14:textId="77777777" w:rsidR="00E239E3" w:rsidRPr="00E239E3" w:rsidRDefault="00E239E3" w:rsidP="00E239E3">
            <w:pPr>
              <w:rPr>
                <w:sz w:val="20"/>
                <w:szCs w:val="20"/>
              </w:rPr>
            </w:pPr>
          </w:p>
        </w:tc>
      </w:tr>
      <w:tr w:rsidR="00E239E3" w:rsidRPr="00E239E3" w14:paraId="15CFF512" w14:textId="77777777" w:rsidTr="004F5282">
        <w:tc>
          <w:tcPr>
            <w:tcW w:w="558" w:type="dxa"/>
          </w:tcPr>
          <w:p w14:paraId="7DAB07FD" w14:textId="77777777" w:rsidR="00E239E3" w:rsidRPr="00E239E3" w:rsidRDefault="00E239E3" w:rsidP="00E239E3">
            <w:pPr>
              <w:rPr>
                <w:sz w:val="20"/>
                <w:szCs w:val="20"/>
              </w:rPr>
            </w:pPr>
          </w:p>
        </w:tc>
        <w:tc>
          <w:tcPr>
            <w:tcW w:w="6030" w:type="dxa"/>
          </w:tcPr>
          <w:p w14:paraId="255E8034" w14:textId="77777777" w:rsidR="00E239E3" w:rsidRPr="00E239E3" w:rsidRDefault="00E239E3" w:rsidP="00E239E3">
            <w:pPr>
              <w:rPr>
                <w:sz w:val="20"/>
                <w:szCs w:val="20"/>
              </w:rPr>
            </w:pPr>
            <w:r w:rsidRPr="00E239E3">
              <w:rPr>
                <w:sz w:val="20"/>
                <w:szCs w:val="20"/>
              </w:rPr>
              <w:t>Net operating loss carryforward</w:t>
            </w:r>
          </w:p>
        </w:tc>
        <w:tc>
          <w:tcPr>
            <w:tcW w:w="1710" w:type="dxa"/>
          </w:tcPr>
          <w:p w14:paraId="35691825" w14:textId="77777777" w:rsidR="00E239E3" w:rsidRPr="00E239E3" w:rsidRDefault="00E239E3" w:rsidP="00E239E3">
            <w:pPr>
              <w:tabs>
                <w:tab w:val="left" w:pos="162"/>
                <w:tab w:val="decimal" w:pos="1227"/>
              </w:tabs>
              <w:rPr>
                <w:sz w:val="20"/>
                <w:szCs w:val="20"/>
              </w:rPr>
            </w:pPr>
            <w:r w:rsidRPr="00E239E3">
              <w:rPr>
                <w:sz w:val="20"/>
                <w:szCs w:val="20"/>
              </w:rPr>
              <w:t>$</w:t>
            </w:r>
            <w:r w:rsidRPr="00E239E3">
              <w:rPr>
                <w:sz w:val="20"/>
                <w:szCs w:val="20"/>
              </w:rPr>
              <w:tab/>
            </w:r>
            <w:r w:rsidRPr="00E239E3">
              <w:rPr>
                <w:sz w:val="20"/>
                <w:szCs w:val="20"/>
              </w:rPr>
              <w:tab/>
              <w:t>18,449,694</w:t>
            </w:r>
          </w:p>
        </w:tc>
        <w:tc>
          <w:tcPr>
            <w:tcW w:w="1710" w:type="dxa"/>
          </w:tcPr>
          <w:p w14:paraId="1BD00156" w14:textId="77777777" w:rsidR="00E239E3" w:rsidRPr="00E239E3" w:rsidRDefault="00E239E3" w:rsidP="00E239E3">
            <w:pPr>
              <w:tabs>
                <w:tab w:val="left" w:pos="207"/>
                <w:tab w:val="decimal" w:pos="1287"/>
              </w:tabs>
              <w:rPr>
                <w:sz w:val="20"/>
                <w:szCs w:val="20"/>
              </w:rPr>
            </w:pPr>
            <w:r w:rsidRPr="00E239E3">
              <w:rPr>
                <w:sz w:val="20"/>
                <w:szCs w:val="20"/>
              </w:rPr>
              <w:t>$</w:t>
            </w:r>
            <w:r w:rsidRPr="00E239E3">
              <w:rPr>
                <w:sz w:val="20"/>
                <w:szCs w:val="20"/>
              </w:rPr>
              <w:tab/>
            </w:r>
            <w:r w:rsidRPr="00E239E3">
              <w:rPr>
                <w:sz w:val="20"/>
                <w:szCs w:val="20"/>
              </w:rPr>
              <w:tab/>
              <w:t>14,737,240</w:t>
            </w:r>
          </w:p>
        </w:tc>
      </w:tr>
      <w:tr w:rsidR="00E239E3" w:rsidRPr="00E239E3" w14:paraId="3C1C6ABD" w14:textId="77777777" w:rsidTr="004F5282">
        <w:tc>
          <w:tcPr>
            <w:tcW w:w="558" w:type="dxa"/>
          </w:tcPr>
          <w:p w14:paraId="65F96930" w14:textId="77777777" w:rsidR="00E239E3" w:rsidRPr="00E239E3" w:rsidRDefault="00E239E3" w:rsidP="00E239E3">
            <w:pPr>
              <w:rPr>
                <w:sz w:val="20"/>
                <w:szCs w:val="20"/>
              </w:rPr>
            </w:pPr>
          </w:p>
        </w:tc>
        <w:tc>
          <w:tcPr>
            <w:tcW w:w="6030" w:type="dxa"/>
          </w:tcPr>
          <w:p w14:paraId="2C453260" w14:textId="77777777" w:rsidR="00E239E3" w:rsidRPr="00E239E3" w:rsidRDefault="00E239E3" w:rsidP="00E239E3">
            <w:pPr>
              <w:rPr>
                <w:sz w:val="20"/>
                <w:szCs w:val="20"/>
              </w:rPr>
            </w:pPr>
            <w:r w:rsidRPr="00E239E3">
              <w:rPr>
                <w:sz w:val="20"/>
                <w:szCs w:val="20"/>
              </w:rPr>
              <w:t>Research and development tax credit carryforward</w:t>
            </w:r>
          </w:p>
        </w:tc>
        <w:tc>
          <w:tcPr>
            <w:tcW w:w="1710" w:type="dxa"/>
          </w:tcPr>
          <w:p w14:paraId="75AA61D7" w14:textId="77777777" w:rsidR="00E239E3" w:rsidRPr="00E239E3" w:rsidRDefault="00E239E3" w:rsidP="00E239E3">
            <w:pPr>
              <w:tabs>
                <w:tab w:val="decimal" w:pos="1227"/>
              </w:tabs>
              <w:rPr>
                <w:sz w:val="20"/>
                <w:szCs w:val="20"/>
              </w:rPr>
            </w:pPr>
            <w:r w:rsidRPr="00E239E3">
              <w:rPr>
                <w:sz w:val="20"/>
                <w:szCs w:val="20"/>
              </w:rPr>
              <w:t>1,566,293</w:t>
            </w:r>
          </w:p>
        </w:tc>
        <w:tc>
          <w:tcPr>
            <w:tcW w:w="1710" w:type="dxa"/>
          </w:tcPr>
          <w:p w14:paraId="2478748F" w14:textId="77777777" w:rsidR="00E239E3" w:rsidRPr="00E239E3" w:rsidRDefault="00E239E3" w:rsidP="00E239E3">
            <w:pPr>
              <w:tabs>
                <w:tab w:val="decimal" w:pos="1287"/>
              </w:tabs>
              <w:rPr>
                <w:sz w:val="20"/>
                <w:szCs w:val="20"/>
              </w:rPr>
            </w:pPr>
            <w:r w:rsidRPr="00E239E3">
              <w:rPr>
                <w:sz w:val="20"/>
                <w:szCs w:val="20"/>
              </w:rPr>
              <w:t>1,189,110</w:t>
            </w:r>
          </w:p>
        </w:tc>
      </w:tr>
      <w:tr w:rsidR="00E239E3" w:rsidRPr="00E239E3" w14:paraId="7A886E52" w14:textId="77777777" w:rsidTr="004F5282">
        <w:tc>
          <w:tcPr>
            <w:tcW w:w="558" w:type="dxa"/>
          </w:tcPr>
          <w:p w14:paraId="2937B7DE" w14:textId="77777777" w:rsidR="00E239E3" w:rsidRPr="00E239E3" w:rsidRDefault="00E239E3" w:rsidP="00E239E3">
            <w:pPr>
              <w:rPr>
                <w:sz w:val="20"/>
                <w:szCs w:val="20"/>
              </w:rPr>
            </w:pPr>
          </w:p>
        </w:tc>
        <w:tc>
          <w:tcPr>
            <w:tcW w:w="6030" w:type="dxa"/>
          </w:tcPr>
          <w:p w14:paraId="59958601" w14:textId="77777777" w:rsidR="00E239E3" w:rsidRPr="00E239E3" w:rsidRDefault="00E239E3" w:rsidP="00E239E3">
            <w:pPr>
              <w:rPr>
                <w:sz w:val="20"/>
                <w:szCs w:val="20"/>
              </w:rPr>
            </w:pPr>
            <w:r w:rsidRPr="00E239E3">
              <w:rPr>
                <w:sz w:val="20"/>
                <w:szCs w:val="20"/>
              </w:rPr>
              <w:t>Stock-based compensation expense</w:t>
            </w:r>
          </w:p>
        </w:tc>
        <w:tc>
          <w:tcPr>
            <w:tcW w:w="1710" w:type="dxa"/>
          </w:tcPr>
          <w:p w14:paraId="5842C3B5" w14:textId="77777777" w:rsidR="00E239E3" w:rsidRPr="00E239E3" w:rsidRDefault="00E239E3" w:rsidP="00E239E3">
            <w:pPr>
              <w:tabs>
                <w:tab w:val="decimal" w:pos="1227"/>
              </w:tabs>
              <w:rPr>
                <w:sz w:val="20"/>
                <w:szCs w:val="20"/>
              </w:rPr>
            </w:pPr>
            <w:r w:rsidRPr="00E239E3">
              <w:rPr>
                <w:sz w:val="20"/>
                <w:szCs w:val="20"/>
              </w:rPr>
              <w:t>129,475</w:t>
            </w:r>
          </w:p>
        </w:tc>
        <w:tc>
          <w:tcPr>
            <w:tcW w:w="1710" w:type="dxa"/>
          </w:tcPr>
          <w:p w14:paraId="145ACD73" w14:textId="77777777" w:rsidR="00E239E3" w:rsidRPr="00E239E3" w:rsidRDefault="00E239E3" w:rsidP="00E239E3">
            <w:pPr>
              <w:tabs>
                <w:tab w:val="decimal" w:pos="1287"/>
              </w:tabs>
              <w:rPr>
                <w:sz w:val="20"/>
                <w:szCs w:val="20"/>
              </w:rPr>
            </w:pPr>
            <w:r w:rsidRPr="00E239E3">
              <w:rPr>
                <w:sz w:val="20"/>
                <w:szCs w:val="20"/>
              </w:rPr>
              <w:t>4,870</w:t>
            </w:r>
          </w:p>
        </w:tc>
      </w:tr>
      <w:tr w:rsidR="00E239E3" w:rsidRPr="00E239E3" w14:paraId="4309B0CE" w14:textId="77777777" w:rsidTr="004F5282">
        <w:tc>
          <w:tcPr>
            <w:tcW w:w="558" w:type="dxa"/>
          </w:tcPr>
          <w:p w14:paraId="5EFD2CCF" w14:textId="77777777" w:rsidR="00E239E3" w:rsidRPr="00E239E3" w:rsidRDefault="00E239E3" w:rsidP="00E239E3">
            <w:pPr>
              <w:rPr>
                <w:sz w:val="20"/>
                <w:szCs w:val="20"/>
              </w:rPr>
            </w:pPr>
          </w:p>
        </w:tc>
        <w:tc>
          <w:tcPr>
            <w:tcW w:w="6030" w:type="dxa"/>
          </w:tcPr>
          <w:p w14:paraId="31ACE621" w14:textId="77777777" w:rsidR="00E239E3" w:rsidRPr="00E239E3" w:rsidRDefault="00E239E3" w:rsidP="00E239E3">
            <w:pPr>
              <w:rPr>
                <w:sz w:val="20"/>
                <w:szCs w:val="20"/>
              </w:rPr>
            </w:pPr>
            <w:r w:rsidRPr="00E239E3">
              <w:rPr>
                <w:sz w:val="20"/>
                <w:szCs w:val="20"/>
              </w:rPr>
              <w:t>Accrued salaries</w:t>
            </w:r>
          </w:p>
        </w:tc>
        <w:tc>
          <w:tcPr>
            <w:tcW w:w="1710" w:type="dxa"/>
          </w:tcPr>
          <w:p w14:paraId="51054D2A" w14:textId="77777777" w:rsidR="00E239E3" w:rsidRPr="00E239E3" w:rsidRDefault="00E239E3" w:rsidP="00E239E3">
            <w:pPr>
              <w:tabs>
                <w:tab w:val="decimal" w:pos="1227"/>
              </w:tabs>
              <w:rPr>
                <w:sz w:val="20"/>
                <w:szCs w:val="20"/>
              </w:rPr>
            </w:pPr>
            <w:r w:rsidRPr="00E239E3">
              <w:rPr>
                <w:sz w:val="20"/>
                <w:szCs w:val="20"/>
              </w:rPr>
              <w:t>69,940</w:t>
            </w:r>
          </w:p>
        </w:tc>
        <w:tc>
          <w:tcPr>
            <w:tcW w:w="1710" w:type="dxa"/>
          </w:tcPr>
          <w:p w14:paraId="536E218B" w14:textId="77777777" w:rsidR="00E239E3" w:rsidRPr="00E239E3" w:rsidRDefault="00E239E3" w:rsidP="00E239E3">
            <w:pPr>
              <w:tabs>
                <w:tab w:val="decimal" w:pos="1287"/>
              </w:tabs>
              <w:rPr>
                <w:sz w:val="20"/>
                <w:szCs w:val="20"/>
              </w:rPr>
            </w:pPr>
            <w:r w:rsidRPr="00E239E3">
              <w:rPr>
                <w:sz w:val="20"/>
                <w:szCs w:val="20"/>
              </w:rPr>
              <w:t>72,721</w:t>
            </w:r>
          </w:p>
        </w:tc>
      </w:tr>
      <w:tr w:rsidR="00E239E3" w:rsidRPr="00E239E3" w14:paraId="76BFCFCA" w14:textId="77777777" w:rsidTr="004F5282">
        <w:tc>
          <w:tcPr>
            <w:tcW w:w="558" w:type="dxa"/>
          </w:tcPr>
          <w:p w14:paraId="65D0AA79" w14:textId="77777777" w:rsidR="00E239E3" w:rsidRPr="00E239E3" w:rsidRDefault="00E239E3" w:rsidP="00E239E3">
            <w:pPr>
              <w:rPr>
                <w:sz w:val="20"/>
                <w:szCs w:val="20"/>
              </w:rPr>
            </w:pPr>
          </w:p>
        </w:tc>
        <w:tc>
          <w:tcPr>
            <w:tcW w:w="6030" w:type="dxa"/>
          </w:tcPr>
          <w:p w14:paraId="1128C36B" w14:textId="77777777" w:rsidR="00E239E3" w:rsidRPr="00E239E3" w:rsidRDefault="00E239E3" w:rsidP="00E239E3">
            <w:pPr>
              <w:rPr>
                <w:sz w:val="20"/>
                <w:szCs w:val="20"/>
              </w:rPr>
            </w:pPr>
            <w:r w:rsidRPr="00E239E3">
              <w:rPr>
                <w:sz w:val="20"/>
                <w:szCs w:val="20"/>
              </w:rPr>
              <w:t>Total deferred tax assets</w:t>
            </w:r>
          </w:p>
        </w:tc>
        <w:tc>
          <w:tcPr>
            <w:tcW w:w="1710" w:type="dxa"/>
            <w:tcBorders>
              <w:top w:val="single" w:sz="4" w:space="0" w:color="auto"/>
            </w:tcBorders>
          </w:tcPr>
          <w:p w14:paraId="63DDA314" w14:textId="77777777" w:rsidR="00E239E3" w:rsidRPr="00E239E3" w:rsidRDefault="00E239E3" w:rsidP="00E239E3">
            <w:pPr>
              <w:tabs>
                <w:tab w:val="decimal" w:pos="1227"/>
              </w:tabs>
              <w:rPr>
                <w:sz w:val="20"/>
                <w:szCs w:val="20"/>
              </w:rPr>
            </w:pPr>
            <w:r w:rsidRPr="00E239E3">
              <w:rPr>
                <w:sz w:val="20"/>
                <w:szCs w:val="20"/>
              </w:rPr>
              <w:t>20,215,402</w:t>
            </w:r>
          </w:p>
        </w:tc>
        <w:tc>
          <w:tcPr>
            <w:tcW w:w="1710" w:type="dxa"/>
            <w:tcBorders>
              <w:top w:val="single" w:sz="4" w:space="0" w:color="auto"/>
            </w:tcBorders>
          </w:tcPr>
          <w:p w14:paraId="48C633D8" w14:textId="77777777" w:rsidR="00E239E3" w:rsidRPr="00E239E3" w:rsidRDefault="00E239E3" w:rsidP="00E239E3">
            <w:pPr>
              <w:tabs>
                <w:tab w:val="decimal" w:pos="1287"/>
              </w:tabs>
              <w:rPr>
                <w:sz w:val="20"/>
                <w:szCs w:val="20"/>
              </w:rPr>
            </w:pPr>
            <w:r w:rsidRPr="00E239E3">
              <w:rPr>
                <w:sz w:val="20"/>
                <w:szCs w:val="20"/>
              </w:rPr>
              <w:t>16,003,941</w:t>
            </w:r>
          </w:p>
        </w:tc>
      </w:tr>
      <w:tr w:rsidR="00E239E3" w:rsidRPr="00E239E3" w14:paraId="40FE3028" w14:textId="77777777" w:rsidTr="004F5282">
        <w:tc>
          <w:tcPr>
            <w:tcW w:w="6588" w:type="dxa"/>
            <w:gridSpan w:val="2"/>
          </w:tcPr>
          <w:p w14:paraId="37936EEC" w14:textId="77777777" w:rsidR="00E239E3" w:rsidRPr="00E239E3" w:rsidRDefault="00E239E3" w:rsidP="00E239E3">
            <w:pPr>
              <w:rPr>
                <w:sz w:val="20"/>
                <w:szCs w:val="20"/>
              </w:rPr>
            </w:pPr>
            <w:r w:rsidRPr="00E239E3">
              <w:rPr>
                <w:sz w:val="20"/>
                <w:szCs w:val="20"/>
              </w:rPr>
              <w:t>Deferred tax liabilities</w:t>
            </w:r>
          </w:p>
        </w:tc>
        <w:tc>
          <w:tcPr>
            <w:tcW w:w="1710" w:type="dxa"/>
          </w:tcPr>
          <w:p w14:paraId="2E131500" w14:textId="77777777" w:rsidR="00E239E3" w:rsidRPr="00E239E3" w:rsidRDefault="00E239E3" w:rsidP="00E239E3">
            <w:pPr>
              <w:tabs>
                <w:tab w:val="decimal" w:pos="1227"/>
              </w:tabs>
              <w:rPr>
                <w:sz w:val="20"/>
                <w:szCs w:val="20"/>
              </w:rPr>
            </w:pPr>
          </w:p>
        </w:tc>
        <w:tc>
          <w:tcPr>
            <w:tcW w:w="1710" w:type="dxa"/>
          </w:tcPr>
          <w:p w14:paraId="2D195C7F" w14:textId="77777777" w:rsidR="00E239E3" w:rsidRPr="00E239E3" w:rsidRDefault="00E239E3" w:rsidP="00E239E3">
            <w:pPr>
              <w:tabs>
                <w:tab w:val="decimal" w:pos="1287"/>
              </w:tabs>
              <w:rPr>
                <w:sz w:val="20"/>
                <w:szCs w:val="20"/>
              </w:rPr>
            </w:pPr>
          </w:p>
        </w:tc>
      </w:tr>
      <w:tr w:rsidR="00E239E3" w:rsidRPr="00E239E3" w14:paraId="23442294" w14:textId="77777777" w:rsidTr="004F5282">
        <w:tc>
          <w:tcPr>
            <w:tcW w:w="558" w:type="dxa"/>
          </w:tcPr>
          <w:p w14:paraId="728A34F6" w14:textId="77777777" w:rsidR="00E239E3" w:rsidRPr="00E239E3" w:rsidRDefault="00E239E3" w:rsidP="00E239E3">
            <w:pPr>
              <w:rPr>
                <w:sz w:val="20"/>
                <w:szCs w:val="20"/>
              </w:rPr>
            </w:pPr>
          </w:p>
        </w:tc>
        <w:tc>
          <w:tcPr>
            <w:tcW w:w="6030" w:type="dxa"/>
          </w:tcPr>
          <w:p w14:paraId="3B1EB7AE" w14:textId="77777777" w:rsidR="00E239E3" w:rsidRPr="00E239E3" w:rsidRDefault="00E239E3" w:rsidP="00E239E3">
            <w:pPr>
              <w:rPr>
                <w:sz w:val="20"/>
                <w:szCs w:val="20"/>
              </w:rPr>
            </w:pPr>
            <w:r w:rsidRPr="00E239E3">
              <w:rPr>
                <w:sz w:val="20"/>
                <w:szCs w:val="20"/>
              </w:rPr>
              <w:t>Depreciation</w:t>
            </w:r>
          </w:p>
        </w:tc>
        <w:tc>
          <w:tcPr>
            <w:tcW w:w="1710" w:type="dxa"/>
          </w:tcPr>
          <w:p w14:paraId="247960DC" w14:textId="77777777" w:rsidR="00E239E3" w:rsidRPr="00E239E3" w:rsidRDefault="00E239E3" w:rsidP="00E239E3">
            <w:pPr>
              <w:tabs>
                <w:tab w:val="decimal" w:pos="1227"/>
              </w:tabs>
              <w:rPr>
                <w:sz w:val="20"/>
                <w:szCs w:val="20"/>
              </w:rPr>
            </w:pPr>
            <w:r w:rsidRPr="00E239E3">
              <w:rPr>
                <w:sz w:val="20"/>
                <w:szCs w:val="20"/>
              </w:rPr>
              <w:t>30,945</w:t>
            </w:r>
          </w:p>
        </w:tc>
        <w:tc>
          <w:tcPr>
            <w:tcW w:w="1710" w:type="dxa"/>
          </w:tcPr>
          <w:p w14:paraId="5F8598CF" w14:textId="77777777" w:rsidR="00E239E3" w:rsidRPr="00E239E3" w:rsidRDefault="00E239E3" w:rsidP="00E239E3">
            <w:pPr>
              <w:tabs>
                <w:tab w:val="decimal" w:pos="1287"/>
              </w:tabs>
              <w:rPr>
                <w:sz w:val="20"/>
                <w:szCs w:val="20"/>
              </w:rPr>
            </w:pPr>
            <w:r w:rsidRPr="00E239E3">
              <w:rPr>
                <w:sz w:val="20"/>
                <w:szCs w:val="20"/>
              </w:rPr>
              <w:t>28,274</w:t>
            </w:r>
          </w:p>
        </w:tc>
      </w:tr>
      <w:tr w:rsidR="00E239E3" w:rsidRPr="00E239E3" w14:paraId="2331B2B0" w14:textId="77777777" w:rsidTr="004F5282">
        <w:tc>
          <w:tcPr>
            <w:tcW w:w="6588" w:type="dxa"/>
            <w:gridSpan w:val="2"/>
          </w:tcPr>
          <w:p w14:paraId="07EF5864" w14:textId="77777777" w:rsidR="00E239E3" w:rsidRPr="00E239E3" w:rsidRDefault="00E239E3" w:rsidP="00E239E3">
            <w:pPr>
              <w:rPr>
                <w:sz w:val="20"/>
                <w:szCs w:val="20"/>
              </w:rPr>
            </w:pPr>
            <w:r w:rsidRPr="00E239E3">
              <w:rPr>
                <w:sz w:val="20"/>
                <w:szCs w:val="20"/>
              </w:rPr>
              <w:t>Net deferred tax assets</w:t>
            </w:r>
          </w:p>
        </w:tc>
        <w:tc>
          <w:tcPr>
            <w:tcW w:w="1710" w:type="dxa"/>
            <w:tcBorders>
              <w:top w:val="single" w:sz="4" w:space="0" w:color="auto"/>
            </w:tcBorders>
          </w:tcPr>
          <w:p w14:paraId="041EB8E4" w14:textId="77777777" w:rsidR="00E239E3" w:rsidRPr="00E239E3" w:rsidRDefault="00E239E3" w:rsidP="00E239E3">
            <w:pPr>
              <w:tabs>
                <w:tab w:val="decimal" w:pos="1227"/>
              </w:tabs>
              <w:rPr>
                <w:sz w:val="20"/>
                <w:szCs w:val="20"/>
              </w:rPr>
            </w:pPr>
            <w:r w:rsidRPr="00E239E3">
              <w:rPr>
                <w:sz w:val="20"/>
                <w:szCs w:val="20"/>
              </w:rPr>
              <w:t>20,184,457</w:t>
            </w:r>
          </w:p>
        </w:tc>
        <w:tc>
          <w:tcPr>
            <w:tcW w:w="1710" w:type="dxa"/>
            <w:tcBorders>
              <w:top w:val="single" w:sz="4" w:space="0" w:color="auto"/>
            </w:tcBorders>
          </w:tcPr>
          <w:p w14:paraId="29A7BE06" w14:textId="77777777" w:rsidR="00E239E3" w:rsidRPr="00E239E3" w:rsidRDefault="00E239E3" w:rsidP="00E239E3">
            <w:pPr>
              <w:tabs>
                <w:tab w:val="decimal" w:pos="1287"/>
              </w:tabs>
              <w:rPr>
                <w:sz w:val="20"/>
                <w:szCs w:val="20"/>
              </w:rPr>
            </w:pPr>
            <w:r w:rsidRPr="00E239E3">
              <w:rPr>
                <w:sz w:val="20"/>
                <w:szCs w:val="20"/>
              </w:rPr>
              <w:t>15,975,667</w:t>
            </w:r>
          </w:p>
        </w:tc>
      </w:tr>
      <w:tr w:rsidR="00E239E3" w:rsidRPr="00E239E3" w14:paraId="6FA9EEBA" w14:textId="77777777" w:rsidTr="004F5282">
        <w:tc>
          <w:tcPr>
            <w:tcW w:w="6588" w:type="dxa"/>
            <w:gridSpan w:val="2"/>
          </w:tcPr>
          <w:p w14:paraId="44A0E0DB" w14:textId="77777777" w:rsidR="00E239E3" w:rsidRPr="00E239E3" w:rsidRDefault="00E239E3" w:rsidP="00E239E3">
            <w:pPr>
              <w:rPr>
                <w:sz w:val="20"/>
                <w:szCs w:val="20"/>
              </w:rPr>
            </w:pPr>
            <w:r w:rsidRPr="00E239E3">
              <w:rPr>
                <w:sz w:val="20"/>
                <w:szCs w:val="20"/>
              </w:rPr>
              <w:t>Valuation allowance</w:t>
            </w:r>
          </w:p>
        </w:tc>
        <w:tc>
          <w:tcPr>
            <w:tcW w:w="1710" w:type="dxa"/>
            <w:tcBorders>
              <w:bottom w:val="single" w:sz="4" w:space="0" w:color="auto"/>
            </w:tcBorders>
          </w:tcPr>
          <w:p w14:paraId="6ADF0002" w14:textId="77777777" w:rsidR="00E239E3" w:rsidRPr="00E239E3" w:rsidRDefault="00E239E3" w:rsidP="00E239E3">
            <w:pPr>
              <w:tabs>
                <w:tab w:val="decimal" w:pos="1227"/>
              </w:tabs>
              <w:rPr>
                <w:sz w:val="20"/>
                <w:szCs w:val="20"/>
              </w:rPr>
            </w:pPr>
            <w:r w:rsidRPr="00E239E3">
              <w:rPr>
                <w:sz w:val="20"/>
                <w:szCs w:val="20"/>
              </w:rPr>
              <w:t>(20,184,457)</w:t>
            </w:r>
          </w:p>
        </w:tc>
        <w:tc>
          <w:tcPr>
            <w:tcW w:w="1710" w:type="dxa"/>
            <w:tcBorders>
              <w:bottom w:val="single" w:sz="4" w:space="0" w:color="auto"/>
            </w:tcBorders>
          </w:tcPr>
          <w:p w14:paraId="08102D63" w14:textId="77777777" w:rsidR="00E239E3" w:rsidRPr="00E239E3" w:rsidRDefault="00E239E3" w:rsidP="00E239E3">
            <w:pPr>
              <w:tabs>
                <w:tab w:val="decimal" w:pos="1287"/>
              </w:tabs>
              <w:rPr>
                <w:sz w:val="20"/>
                <w:szCs w:val="20"/>
              </w:rPr>
            </w:pPr>
            <w:r w:rsidRPr="00E239E3">
              <w:rPr>
                <w:sz w:val="20"/>
                <w:szCs w:val="20"/>
              </w:rPr>
              <w:t>(15,975,667)</w:t>
            </w:r>
          </w:p>
        </w:tc>
      </w:tr>
      <w:tr w:rsidR="00E239E3" w:rsidRPr="00E239E3" w14:paraId="5E58703F" w14:textId="77777777" w:rsidTr="004F5282">
        <w:tc>
          <w:tcPr>
            <w:tcW w:w="6588" w:type="dxa"/>
            <w:gridSpan w:val="2"/>
          </w:tcPr>
          <w:p w14:paraId="65384583" w14:textId="77777777" w:rsidR="00E239E3" w:rsidRPr="00E239E3" w:rsidRDefault="00E239E3" w:rsidP="00E239E3">
            <w:pPr>
              <w:rPr>
                <w:sz w:val="20"/>
                <w:szCs w:val="20"/>
              </w:rPr>
            </w:pPr>
            <w:r w:rsidRPr="00E239E3">
              <w:rPr>
                <w:sz w:val="20"/>
                <w:szCs w:val="20"/>
              </w:rPr>
              <w:t>Net deferred tax asset after reduction for valuation allowance</w:t>
            </w:r>
          </w:p>
        </w:tc>
        <w:tc>
          <w:tcPr>
            <w:tcW w:w="1710" w:type="dxa"/>
            <w:tcBorders>
              <w:top w:val="single" w:sz="4" w:space="0" w:color="auto"/>
              <w:bottom w:val="double" w:sz="4" w:space="0" w:color="auto"/>
            </w:tcBorders>
          </w:tcPr>
          <w:p w14:paraId="3ACF9AD1" w14:textId="77777777" w:rsidR="00E239E3" w:rsidRPr="00E239E3" w:rsidRDefault="00E239E3" w:rsidP="00E239E3">
            <w:pPr>
              <w:tabs>
                <w:tab w:val="left" w:pos="162"/>
                <w:tab w:val="decimal" w:pos="1227"/>
              </w:tabs>
              <w:rPr>
                <w:sz w:val="20"/>
                <w:szCs w:val="20"/>
              </w:rPr>
            </w:pPr>
            <w:r w:rsidRPr="00E239E3">
              <w:rPr>
                <w:sz w:val="20"/>
                <w:szCs w:val="20"/>
              </w:rPr>
              <w:t>$</w:t>
            </w:r>
            <w:r w:rsidRPr="00E239E3">
              <w:rPr>
                <w:sz w:val="20"/>
                <w:szCs w:val="20"/>
              </w:rPr>
              <w:tab/>
            </w:r>
            <w:r w:rsidRPr="00E239E3">
              <w:rPr>
                <w:sz w:val="20"/>
                <w:szCs w:val="20"/>
              </w:rPr>
              <w:tab/>
              <w:t>-0-</w:t>
            </w:r>
          </w:p>
        </w:tc>
        <w:tc>
          <w:tcPr>
            <w:tcW w:w="1710" w:type="dxa"/>
            <w:tcBorders>
              <w:top w:val="single" w:sz="4" w:space="0" w:color="auto"/>
              <w:bottom w:val="double" w:sz="4" w:space="0" w:color="auto"/>
            </w:tcBorders>
          </w:tcPr>
          <w:p w14:paraId="497310CD" w14:textId="77777777" w:rsidR="00E239E3" w:rsidRPr="00E239E3" w:rsidRDefault="00E239E3" w:rsidP="00E239E3">
            <w:pPr>
              <w:tabs>
                <w:tab w:val="left" w:pos="192"/>
                <w:tab w:val="decimal" w:pos="1287"/>
              </w:tabs>
              <w:rPr>
                <w:sz w:val="20"/>
                <w:szCs w:val="20"/>
              </w:rPr>
            </w:pPr>
            <w:r w:rsidRPr="00E239E3">
              <w:rPr>
                <w:sz w:val="20"/>
                <w:szCs w:val="20"/>
              </w:rPr>
              <w:t>$</w:t>
            </w:r>
            <w:r w:rsidRPr="00E239E3">
              <w:rPr>
                <w:sz w:val="20"/>
                <w:szCs w:val="20"/>
              </w:rPr>
              <w:tab/>
            </w:r>
            <w:r w:rsidRPr="00E239E3">
              <w:rPr>
                <w:sz w:val="20"/>
                <w:szCs w:val="20"/>
              </w:rPr>
              <w:tab/>
              <w:t>-0-</w:t>
            </w:r>
          </w:p>
        </w:tc>
      </w:tr>
    </w:tbl>
    <w:p w14:paraId="01D710AF" w14:textId="77777777" w:rsidR="00E239E3" w:rsidRPr="00E239E3" w:rsidRDefault="00E239E3" w:rsidP="00E239E3">
      <w:pPr>
        <w:rPr>
          <w:sz w:val="20"/>
          <w:szCs w:val="20"/>
        </w:rPr>
      </w:pPr>
    </w:p>
    <w:p w14:paraId="32A7BD5A" w14:textId="77777777" w:rsidR="00E239E3" w:rsidRPr="00E239E3" w:rsidRDefault="00E239E3" w:rsidP="00E239E3">
      <w:pPr>
        <w:rPr>
          <w:sz w:val="20"/>
          <w:szCs w:val="20"/>
        </w:rPr>
      </w:pPr>
      <w:r w:rsidRPr="00E239E3">
        <w:rPr>
          <w:sz w:val="20"/>
          <w:szCs w:val="20"/>
        </w:rPr>
        <w:t>We have established a full valuation allowance equal to the amount of our net deferred tax assets due to uncertainties with respect to our ability to generate sufficient taxable income to realize these assets in the future. A reconciliation of the income tax benefit on losses at the U.S. federal statutory rate to the reported income tax expense is as follows:</w:t>
      </w:r>
    </w:p>
    <w:tbl>
      <w:tblPr>
        <w:tblW w:w="9990" w:type="dxa"/>
        <w:tblInd w:w="18" w:type="dxa"/>
        <w:tblLayout w:type="fixed"/>
        <w:tblLook w:val="01E0" w:firstRow="1" w:lastRow="1" w:firstColumn="1" w:lastColumn="1" w:noHBand="0" w:noVBand="0"/>
      </w:tblPr>
      <w:tblGrid>
        <w:gridCol w:w="4950"/>
        <w:gridCol w:w="1680"/>
        <w:gridCol w:w="1680"/>
        <w:gridCol w:w="1680"/>
      </w:tblGrid>
      <w:tr w:rsidR="00E239E3" w:rsidRPr="00E239E3" w14:paraId="53719FC9" w14:textId="77777777" w:rsidTr="004F5282">
        <w:tc>
          <w:tcPr>
            <w:tcW w:w="4950" w:type="dxa"/>
          </w:tcPr>
          <w:p w14:paraId="6817ECE1" w14:textId="77777777" w:rsidR="00E239E3" w:rsidRPr="00E239E3" w:rsidRDefault="00E239E3" w:rsidP="00E239E3">
            <w:pPr>
              <w:rPr>
                <w:sz w:val="20"/>
                <w:szCs w:val="20"/>
              </w:rPr>
            </w:pPr>
          </w:p>
        </w:tc>
        <w:tc>
          <w:tcPr>
            <w:tcW w:w="1680" w:type="dxa"/>
          </w:tcPr>
          <w:p w14:paraId="78E753A5" w14:textId="77777777" w:rsidR="00E239E3" w:rsidRPr="00E239E3" w:rsidRDefault="00E239E3" w:rsidP="00E239E3">
            <w:pPr>
              <w:rPr>
                <w:sz w:val="20"/>
                <w:szCs w:val="20"/>
              </w:rPr>
            </w:pPr>
          </w:p>
        </w:tc>
        <w:tc>
          <w:tcPr>
            <w:tcW w:w="1680" w:type="dxa"/>
            <w:tcBorders>
              <w:bottom w:val="single" w:sz="4" w:space="0" w:color="auto"/>
            </w:tcBorders>
          </w:tcPr>
          <w:p w14:paraId="5D80CDF6" w14:textId="77777777" w:rsidR="00E239E3" w:rsidRPr="00E239E3" w:rsidRDefault="00E239E3" w:rsidP="00E239E3">
            <w:pPr>
              <w:jc w:val="center"/>
              <w:rPr>
                <w:sz w:val="20"/>
                <w:szCs w:val="20"/>
              </w:rPr>
            </w:pPr>
            <w:r w:rsidRPr="00E239E3">
              <w:rPr>
                <w:sz w:val="20"/>
                <w:szCs w:val="20"/>
              </w:rPr>
              <w:t>2021</w:t>
            </w:r>
          </w:p>
        </w:tc>
        <w:tc>
          <w:tcPr>
            <w:tcW w:w="1680" w:type="dxa"/>
            <w:tcBorders>
              <w:bottom w:val="single" w:sz="4" w:space="0" w:color="auto"/>
            </w:tcBorders>
          </w:tcPr>
          <w:p w14:paraId="316A3B4C" w14:textId="77777777" w:rsidR="00E239E3" w:rsidRPr="00E239E3" w:rsidRDefault="00E239E3" w:rsidP="00E239E3">
            <w:pPr>
              <w:jc w:val="center"/>
              <w:rPr>
                <w:sz w:val="20"/>
                <w:szCs w:val="20"/>
              </w:rPr>
            </w:pPr>
            <w:r w:rsidRPr="00E239E3">
              <w:rPr>
                <w:sz w:val="20"/>
                <w:szCs w:val="20"/>
              </w:rPr>
              <w:t>2020</w:t>
            </w:r>
          </w:p>
        </w:tc>
      </w:tr>
      <w:tr w:rsidR="00E239E3" w:rsidRPr="00E239E3" w14:paraId="35E4E448" w14:textId="77777777" w:rsidTr="004F5282">
        <w:tc>
          <w:tcPr>
            <w:tcW w:w="4950" w:type="dxa"/>
          </w:tcPr>
          <w:p w14:paraId="490BBF4E" w14:textId="77777777" w:rsidR="00E239E3" w:rsidRPr="00E239E3" w:rsidRDefault="00E239E3" w:rsidP="00E239E3">
            <w:pPr>
              <w:rPr>
                <w:sz w:val="20"/>
                <w:szCs w:val="20"/>
              </w:rPr>
            </w:pPr>
            <w:r w:rsidRPr="00E239E3">
              <w:rPr>
                <w:sz w:val="20"/>
                <w:szCs w:val="20"/>
              </w:rPr>
              <w:t>U.S. federal statutory rate applied to pretax loss</w:t>
            </w:r>
          </w:p>
        </w:tc>
        <w:tc>
          <w:tcPr>
            <w:tcW w:w="1680" w:type="dxa"/>
          </w:tcPr>
          <w:p w14:paraId="62B6F2A5" w14:textId="77777777" w:rsidR="00E239E3" w:rsidRPr="00E239E3" w:rsidRDefault="00E239E3" w:rsidP="00E239E3">
            <w:pPr>
              <w:tabs>
                <w:tab w:val="left" w:pos="252"/>
                <w:tab w:val="decimal" w:pos="1242"/>
              </w:tabs>
              <w:rPr>
                <w:sz w:val="20"/>
                <w:szCs w:val="20"/>
              </w:rPr>
            </w:pPr>
          </w:p>
        </w:tc>
        <w:tc>
          <w:tcPr>
            <w:tcW w:w="1680" w:type="dxa"/>
            <w:tcBorders>
              <w:top w:val="single" w:sz="4" w:space="0" w:color="auto"/>
            </w:tcBorders>
          </w:tcPr>
          <w:p w14:paraId="1F877F95" w14:textId="77777777" w:rsidR="00E239E3" w:rsidRPr="00E239E3" w:rsidRDefault="00E239E3" w:rsidP="00E239E3">
            <w:pPr>
              <w:tabs>
                <w:tab w:val="left" w:pos="207"/>
                <w:tab w:val="decimal" w:pos="1362"/>
              </w:tabs>
              <w:rPr>
                <w:sz w:val="20"/>
                <w:szCs w:val="20"/>
              </w:rPr>
            </w:pPr>
            <w:r w:rsidRPr="00E239E3">
              <w:rPr>
                <w:sz w:val="20"/>
                <w:szCs w:val="20"/>
              </w:rPr>
              <w:t>$</w:t>
            </w:r>
            <w:r w:rsidRPr="00E239E3">
              <w:rPr>
                <w:sz w:val="20"/>
                <w:szCs w:val="20"/>
              </w:rPr>
              <w:tab/>
            </w:r>
            <w:r w:rsidRPr="00E239E3">
              <w:rPr>
                <w:sz w:val="20"/>
                <w:szCs w:val="20"/>
              </w:rPr>
              <w:tab/>
              <w:t>(3,899,767)</w:t>
            </w:r>
          </w:p>
        </w:tc>
        <w:tc>
          <w:tcPr>
            <w:tcW w:w="1680" w:type="dxa"/>
            <w:tcBorders>
              <w:top w:val="single" w:sz="4" w:space="0" w:color="auto"/>
            </w:tcBorders>
          </w:tcPr>
          <w:p w14:paraId="2C36303A" w14:textId="77777777" w:rsidR="00E239E3" w:rsidRPr="00E239E3" w:rsidRDefault="00E239E3" w:rsidP="00E239E3">
            <w:pPr>
              <w:tabs>
                <w:tab w:val="left" w:pos="132"/>
                <w:tab w:val="decimal" w:pos="1302"/>
              </w:tabs>
              <w:rPr>
                <w:sz w:val="20"/>
                <w:szCs w:val="20"/>
              </w:rPr>
            </w:pPr>
            <w:r w:rsidRPr="00E239E3">
              <w:rPr>
                <w:sz w:val="20"/>
                <w:szCs w:val="20"/>
              </w:rPr>
              <w:t>$</w:t>
            </w:r>
            <w:r w:rsidRPr="00E239E3">
              <w:rPr>
                <w:sz w:val="20"/>
                <w:szCs w:val="20"/>
              </w:rPr>
              <w:tab/>
            </w:r>
            <w:r w:rsidRPr="00E239E3">
              <w:rPr>
                <w:sz w:val="20"/>
                <w:szCs w:val="20"/>
              </w:rPr>
              <w:tab/>
              <w:t>(621,194)</w:t>
            </w:r>
          </w:p>
        </w:tc>
      </w:tr>
      <w:tr w:rsidR="00E239E3" w:rsidRPr="00E239E3" w14:paraId="35566CF8" w14:textId="77777777" w:rsidTr="004F5282">
        <w:tc>
          <w:tcPr>
            <w:tcW w:w="4950" w:type="dxa"/>
          </w:tcPr>
          <w:p w14:paraId="29167560" w14:textId="77777777" w:rsidR="00E239E3" w:rsidRPr="00E239E3" w:rsidRDefault="00E239E3" w:rsidP="00E239E3">
            <w:pPr>
              <w:tabs>
                <w:tab w:val="left" w:pos="132"/>
                <w:tab w:val="left" w:pos="252"/>
                <w:tab w:val="decimal" w:pos="1242"/>
                <w:tab w:val="decimal" w:pos="1302"/>
                <w:tab w:val="decimal" w:pos="1362"/>
              </w:tabs>
              <w:rPr>
                <w:sz w:val="20"/>
                <w:szCs w:val="20"/>
              </w:rPr>
            </w:pPr>
            <w:r w:rsidRPr="00E239E3">
              <w:rPr>
                <w:sz w:val="20"/>
                <w:szCs w:val="20"/>
              </w:rPr>
              <w:t>Permanent differences</w:t>
            </w:r>
          </w:p>
        </w:tc>
        <w:tc>
          <w:tcPr>
            <w:tcW w:w="1680" w:type="dxa"/>
          </w:tcPr>
          <w:p w14:paraId="5DA1A7D5" w14:textId="77777777" w:rsidR="00E239E3" w:rsidRPr="00E239E3" w:rsidRDefault="00E239E3" w:rsidP="00E239E3">
            <w:pPr>
              <w:tabs>
                <w:tab w:val="left" w:pos="252"/>
                <w:tab w:val="decimal" w:pos="1242"/>
              </w:tabs>
              <w:rPr>
                <w:sz w:val="20"/>
                <w:szCs w:val="20"/>
              </w:rPr>
            </w:pPr>
          </w:p>
        </w:tc>
        <w:tc>
          <w:tcPr>
            <w:tcW w:w="1680" w:type="dxa"/>
          </w:tcPr>
          <w:p w14:paraId="1DB08CEB" w14:textId="77777777" w:rsidR="00E239E3" w:rsidRPr="00E239E3" w:rsidRDefault="00E239E3" w:rsidP="00E239E3">
            <w:pPr>
              <w:tabs>
                <w:tab w:val="decimal" w:pos="1362"/>
              </w:tabs>
              <w:rPr>
                <w:sz w:val="20"/>
                <w:szCs w:val="20"/>
              </w:rPr>
            </w:pPr>
            <w:r w:rsidRPr="00E239E3">
              <w:rPr>
                <w:sz w:val="20"/>
                <w:szCs w:val="20"/>
              </w:rPr>
              <w:t>-</w:t>
            </w:r>
          </w:p>
        </w:tc>
        <w:tc>
          <w:tcPr>
            <w:tcW w:w="1680" w:type="dxa"/>
          </w:tcPr>
          <w:p w14:paraId="191AD47D" w14:textId="77777777" w:rsidR="00E239E3" w:rsidRPr="00E239E3" w:rsidRDefault="00E239E3" w:rsidP="00E239E3">
            <w:pPr>
              <w:tabs>
                <w:tab w:val="left" w:pos="132"/>
                <w:tab w:val="decimal" w:pos="1302"/>
              </w:tabs>
              <w:rPr>
                <w:sz w:val="20"/>
                <w:szCs w:val="20"/>
              </w:rPr>
            </w:pPr>
            <w:r w:rsidRPr="00E239E3">
              <w:rPr>
                <w:sz w:val="20"/>
                <w:szCs w:val="20"/>
              </w:rPr>
              <w:tab/>
            </w:r>
            <w:r w:rsidRPr="00E239E3">
              <w:rPr>
                <w:sz w:val="20"/>
                <w:szCs w:val="20"/>
              </w:rPr>
              <w:tab/>
              <w:t>65</w:t>
            </w:r>
          </w:p>
        </w:tc>
      </w:tr>
      <w:tr w:rsidR="00E239E3" w:rsidRPr="00E239E3" w14:paraId="1C7E5F8D" w14:textId="77777777" w:rsidTr="004F5282">
        <w:tc>
          <w:tcPr>
            <w:tcW w:w="4950" w:type="dxa"/>
          </w:tcPr>
          <w:p w14:paraId="4F9F2A5A" w14:textId="77777777" w:rsidR="00E239E3" w:rsidRPr="00E239E3" w:rsidRDefault="00E239E3" w:rsidP="00E239E3">
            <w:pPr>
              <w:rPr>
                <w:sz w:val="20"/>
                <w:szCs w:val="20"/>
              </w:rPr>
            </w:pPr>
            <w:r w:rsidRPr="00E239E3">
              <w:rPr>
                <w:sz w:val="20"/>
                <w:szCs w:val="20"/>
              </w:rPr>
              <w:t>Research and development credits</w:t>
            </w:r>
          </w:p>
        </w:tc>
        <w:tc>
          <w:tcPr>
            <w:tcW w:w="1680" w:type="dxa"/>
          </w:tcPr>
          <w:p w14:paraId="2828AABE" w14:textId="77777777" w:rsidR="00E239E3" w:rsidRPr="00E239E3" w:rsidRDefault="00E239E3" w:rsidP="00E239E3">
            <w:pPr>
              <w:tabs>
                <w:tab w:val="left" w:pos="252"/>
                <w:tab w:val="decimal" w:pos="1242"/>
              </w:tabs>
              <w:rPr>
                <w:sz w:val="20"/>
                <w:szCs w:val="20"/>
              </w:rPr>
            </w:pPr>
          </w:p>
        </w:tc>
        <w:tc>
          <w:tcPr>
            <w:tcW w:w="1680" w:type="dxa"/>
          </w:tcPr>
          <w:p w14:paraId="3B2B1204" w14:textId="77777777" w:rsidR="00E239E3" w:rsidRPr="00E239E3" w:rsidRDefault="00E239E3" w:rsidP="00E239E3">
            <w:pPr>
              <w:tabs>
                <w:tab w:val="decimal" w:pos="1362"/>
              </w:tabs>
              <w:rPr>
                <w:sz w:val="20"/>
                <w:szCs w:val="20"/>
              </w:rPr>
            </w:pPr>
            <w:r w:rsidRPr="00E239E3">
              <w:rPr>
                <w:sz w:val="20"/>
                <w:szCs w:val="20"/>
              </w:rPr>
              <w:t>(377,183)</w:t>
            </w:r>
          </w:p>
        </w:tc>
        <w:tc>
          <w:tcPr>
            <w:tcW w:w="1680" w:type="dxa"/>
          </w:tcPr>
          <w:p w14:paraId="7E5EF8DE" w14:textId="77777777" w:rsidR="00E239E3" w:rsidRPr="00E239E3" w:rsidRDefault="00E239E3" w:rsidP="00E239E3">
            <w:pPr>
              <w:tabs>
                <w:tab w:val="left" w:pos="132"/>
                <w:tab w:val="decimal" w:pos="1302"/>
              </w:tabs>
              <w:rPr>
                <w:sz w:val="20"/>
                <w:szCs w:val="20"/>
              </w:rPr>
            </w:pPr>
            <w:r w:rsidRPr="00E239E3">
              <w:rPr>
                <w:sz w:val="20"/>
                <w:szCs w:val="20"/>
              </w:rPr>
              <w:tab/>
            </w:r>
            <w:r w:rsidRPr="00E239E3">
              <w:rPr>
                <w:sz w:val="20"/>
                <w:szCs w:val="20"/>
              </w:rPr>
              <w:tab/>
              <w:t>(66,574)</w:t>
            </w:r>
          </w:p>
        </w:tc>
      </w:tr>
      <w:tr w:rsidR="00E239E3" w:rsidRPr="00E239E3" w14:paraId="25046C2A" w14:textId="77777777" w:rsidTr="004F5282">
        <w:tc>
          <w:tcPr>
            <w:tcW w:w="6630" w:type="dxa"/>
            <w:gridSpan w:val="2"/>
          </w:tcPr>
          <w:p w14:paraId="3724644A" w14:textId="77777777" w:rsidR="00E239E3" w:rsidRPr="00E239E3" w:rsidRDefault="00E239E3" w:rsidP="00E239E3">
            <w:pPr>
              <w:tabs>
                <w:tab w:val="left" w:pos="252"/>
                <w:tab w:val="decimal" w:pos="1229"/>
              </w:tabs>
              <w:rPr>
                <w:sz w:val="20"/>
                <w:szCs w:val="20"/>
              </w:rPr>
            </w:pPr>
            <w:r w:rsidRPr="00E239E3">
              <w:rPr>
                <w:sz w:val="20"/>
                <w:szCs w:val="20"/>
              </w:rPr>
              <w:t>Change in valuation allowance, net of expired items and other adjustments</w:t>
            </w:r>
          </w:p>
        </w:tc>
        <w:tc>
          <w:tcPr>
            <w:tcW w:w="1680" w:type="dxa"/>
            <w:tcBorders>
              <w:bottom w:val="single" w:sz="4" w:space="0" w:color="auto"/>
            </w:tcBorders>
          </w:tcPr>
          <w:p w14:paraId="0A2829FA" w14:textId="77777777" w:rsidR="00E239E3" w:rsidRPr="00E239E3" w:rsidRDefault="00E239E3" w:rsidP="00E239E3">
            <w:pPr>
              <w:tabs>
                <w:tab w:val="decimal" w:pos="1362"/>
              </w:tabs>
              <w:rPr>
                <w:sz w:val="20"/>
                <w:szCs w:val="20"/>
              </w:rPr>
            </w:pPr>
            <w:r w:rsidRPr="00E239E3">
              <w:rPr>
                <w:sz w:val="20"/>
                <w:szCs w:val="20"/>
              </w:rPr>
              <w:t>4,276,950</w:t>
            </w:r>
          </w:p>
        </w:tc>
        <w:tc>
          <w:tcPr>
            <w:tcW w:w="1680" w:type="dxa"/>
            <w:tcBorders>
              <w:bottom w:val="single" w:sz="4" w:space="0" w:color="auto"/>
            </w:tcBorders>
          </w:tcPr>
          <w:p w14:paraId="41DF0D0C" w14:textId="77777777" w:rsidR="00E239E3" w:rsidRPr="00E239E3" w:rsidRDefault="00E239E3" w:rsidP="00E239E3">
            <w:pPr>
              <w:tabs>
                <w:tab w:val="left" w:pos="132"/>
                <w:tab w:val="decimal" w:pos="1302"/>
              </w:tabs>
              <w:rPr>
                <w:sz w:val="20"/>
                <w:szCs w:val="20"/>
              </w:rPr>
            </w:pPr>
            <w:r w:rsidRPr="00E239E3">
              <w:rPr>
                <w:sz w:val="20"/>
                <w:szCs w:val="20"/>
              </w:rPr>
              <w:tab/>
            </w:r>
            <w:r w:rsidRPr="00E239E3">
              <w:rPr>
                <w:sz w:val="20"/>
                <w:szCs w:val="20"/>
              </w:rPr>
              <w:tab/>
              <w:t>687,703</w:t>
            </w:r>
          </w:p>
        </w:tc>
      </w:tr>
      <w:tr w:rsidR="00E239E3" w:rsidRPr="00E239E3" w14:paraId="6D16C208" w14:textId="77777777" w:rsidTr="004F5282">
        <w:tc>
          <w:tcPr>
            <w:tcW w:w="4950" w:type="dxa"/>
          </w:tcPr>
          <w:p w14:paraId="35B642D4" w14:textId="77777777" w:rsidR="00E239E3" w:rsidRPr="00E239E3" w:rsidRDefault="00E239E3" w:rsidP="00E239E3">
            <w:pPr>
              <w:rPr>
                <w:sz w:val="20"/>
                <w:szCs w:val="20"/>
              </w:rPr>
            </w:pPr>
            <w:r w:rsidRPr="00E239E3">
              <w:rPr>
                <w:sz w:val="20"/>
                <w:szCs w:val="20"/>
              </w:rPr>
              <w:t>Reported income tax expense</w:t>
            </w:r>
          </w:p>
        </w:tc>
        <w:tc>
          <w:tcPr>
            <w:tcW w:w="1680" w:type="dxa"/>
          </w:tcPr>
          <w:p w14:paraId="2C2E8201" w14:textId="77777777" w:rsidR="00E239E3" w:rsidRPr="00E239E3" w:rsidRDefault="00E239E3" w:rsidP="00E239E3">
            <w:pPr>
              <w:tabs>
                <w:tab w:val="left" w:pos="252"/>
                <w:tab w:val="decimal" w:pos="1242"/>
              </w:tabs>
              <w:rPr>
                <w:sz w:val="20"/>
                <w:szCs w:val="20"/>
              </w:rPr>
            </w:pPr>
          </w:p>
        </w:tc>
        <w:tc>
          <w:tcPr>
            <w:tcW w:w="1680" w:type="dxa"/>
            <w:tcBorders>
              <w:top w:val="single" w:sz="4" w:space="0" w:color="auto"/>
              <w:bottom w:val="double" w:sz="4" w:space="0" w:color="auto"/>
            </w:tcBorders>
          </w:tcPr>
          <w:p w14:paraId="0F3E22AE" w14:textId="77777777" w:rsidR="00E239E3" w:rsidRPr="00E239E3" w:rsidRDefault="00E239E3" w:rsidP="00E239E3">
            <w:pPr>
              <w:tabs>
                <w:tab w:val="left" w:pos="192"/>
                <w:tab w:val="decimal" w:pos="1362"/>
              </w:tabs>
              <w:rPr>
                <w:sz w:val="20"/>
                <w:szCs w:val="20"/>
              </w:rPr>
            </w:pPr>
            <w:r w:rsidRPr="00E239E3">
              <w:rPr>
                <w:sz w:val="20"/>
                <w:szCs w:val="20"/>
              </w:rPr>
              <w:t>$</w:t>
            </w:r>
            <w:r w:rsidRPr="00E239E3">
              <w:rPr>
                <w:sz w:val="20"/>
                <w:szCs w:val="20"/>
              </w:rPr>
              <w:tab/>
            </w:r>
            <w:r w:rsidRPr="00E239E3">
              <w:rPr>
                <w:sz w:val="20"/>
                <w:szCs w:val="20"/>
              </w:rPr>
              <w:tab/>
              <w:t>-0-</w:t>
            </w:r>
          </w:p>
        </w:tc>
        <w:tc>
          <w:tcPr>
            <w:tcW w:w="1680" w:type="dxa"/>
            <w:tcBorders>
              <w:top w:val="single" w:sz="4" w:space="0" w:color="auto"/>
              <w:bottom w:val="double" w:sz="4" w:space="0" w:color="auto"/>
            </w:tcBorders>
          </w:tcPr>
          <w:p w14:paraId="5DC5172B" w14:textId="77777777" w:rsidR="00E239E3" w:rsidRPr="00E239E3" w:rsidRDefault="00E239E3" w:rsidP="00E239E3">
            <w:pPr>
              <w:tabs>
                <w:tab w:val="left" w:pos="132"/>
                <w:tab w:val="decimal" w:pos="1302"/>
              </w:tabs>
              <w:rPr>
                <w:sz w:val="20"/>
                <w:szCs w:val="20"/>
              </w:rPr>
            </w:pPr>
            <w:r w:rsidRPr="00E239E3">
              <w:rPr>
                <w:sz w:val="20"/>
                <w:szCs w:val="20"/>
              </w:rPr>
              <w:t>$</w:t>
            </w:r>
            <w:r w:rsidRPr="00E239E3">
              <w:rPr>
                <w:sz w:val="20"/>
                <w:szCs w:val="20"/>
              </w:rPr>
              <w:tab/>
            </w:r>
            <w:r w:rsidRPr="00E239E3">
              <w:rPr>
                <w:sz w:val="20"/>
                <w:szCs w:val="20"/>
              </w:rPr>
              <w:tab/>
              <w:t>-0-</w:t>
            </w:r>
          </w:p>
        </w:tc>
      </w:tr>
    </w:tbl>
    <w:p w14:paraId="1D1E9EF3" w14:textId="77777777" w:rsidR="00E239E3" w:rsidRPr="00E239E3" w:rsidRDefault="00E239E3" w:rsidP="00E239E3">
      <w:pPr>
        <w:suppressAutoHyphens/>
        <w:spacing w:line="240" w:lineRule="exact"/>
        <w:rPr>
          <w:sz w:val="20"/>
          <w:szCs w:val="20"/>
        </w:rPr>
      </w:pPr>
    </w:p>
    <w:p w14:paraId="22A5B644" w14:textId="77777777" w:rsidR="00E239E3" w:rsidRPr="00E239E3" w:rsidRDefault="00E239E3" w:rsidP="00E239E3">
      <w:pPr>
        <w:rPr>
          <w:b/>
          <w:sz w:val="20"/>
          <w:szCs w:val="20"/>
        </w:rPr>
      </w:pPr>
      <w:r w:rsidRPr="00E239E3">
        <w:rPr>
          <w:b/>
          <w:sz w:val="20"/>
          <w:szCs w:val="20"/>
        </w:rPr>
        <w:t>10.</w:t>
      </w:r>
      <w:r w:rsidRPr="00E239E3">
        <w:rPr>
          <w:b/>
          <w:sz w:val="20"/>
          <w:szCs w:val="20"/>
        </w:rPr>
        <w:tab/>
        <w:t>Grants and Collaboration Revenue</w:t>
      </w:r>
    </w:p>
    <w:p w14:paraId="4A4E1A9B" w14:textId="77777777" w:rsidR="00E239E3" w:rsidRPr="00E239E3" w:rsidRDefault="00E239E3" w:rsidP="00E239E3">
      <w:pPr>
        <w:rPr>
          <w:sz w:val="20"/>
          <w:szCs w:val="20"/>
        </w:rPr>
      </w:pPr>
    </w:p>
    <w:p w14:paraId="315F8639" w14:textId="77777777" w:rsidR="00E239E3" w:rsidRPr="00E239E3" w:rsidRDefault="00E239E3" w:rsidP="00E239E3">
      <w:pPr>
        <w:rPr>
          <w:bCs/>
          <w:sz w:val="20"/>
          <w:szCs w:val="20"/>
        </w:rPr>
      </w:pPr>
      <w:r w:rsidRPr="00E239E3">
        <w:rPr>
          <w:sz w:val="20"/>
          <w:szCs w:val="20"/>
        </w:rPr>
        <w:t xml:space="preserve">We receive payments from government entities under our grants from the National Institute of Allergy and Infectious Diseases (NIAID) and from the U.S. Department of Defense in support of our vaccine research and development efforts. We record revenue associated with government grants as the reimbursable costs are incurred. During </w:t>
      </w:r>
      <w:bookmarkStart w:id="85" w:name="_Hlk536797885"/>
      <w:r w:rsidRPr="00E239E3">
        <w:rPr>
          <w:sz w:val="20"/>
          <w:szCs w:val="20"/>
        </w:rPr>
        <w:t>2021 and 20</w:t>
      </w:r>
      <w:bookmarkEnd w:id="85"/>
      <w:r w:rsidRPr="00E239E3">
        <w:rPr>
          <w:sz w:val="20"/>
          <w:szCs w:val="20"/>
        </w:rPr>
        <w:t>20, we recorded $385,501 and $1,438,465, respectively, of revenue associated with these grants.</w:t>
      </w:r>
      <w:r w:rsidRPr="00E239E3">
        <w:rPr>
          <w:bCs/>
          <w:sz w:val="20"/>
          <w:szCs w:val="20"/>
        </w:rPr>
        <w:t xml:space="preserve"> As of December 31, 2021, there is an aggregate of $81,526 </w:t>
      </w:r>
      <w:r w:rsidRPr="00E239E3">
        <w:rPr>
          <w:sz w:val="20"/>
          <w:szCs w:val="20"/>
        </w:rPr>
        <w:t>in remaining grant funds available for use during 2022.</w:t>
      </w:r>
      <w:r w:rsidRPr="00E239E3">
        <w:rPr>
          <w:bCs/>
          <w:sz w:val="20"/>
          <w:szCs w:val="20"/>
        </w:rPr>
        <w:t xml:space="preserve">  </w:t>
      </w:r>
      <w:r w:rsidRPr="00E239E3">
        <w:rPr>
          <w:sz w:val="20"/>
          <w:szCs w:val="20"/>
        </w:rPr>
        <w:t>During 2020, we recorded $385,193 of revenues associated with a research collaboration agreement.</w:t>
      </w:r>
    </w:p>
    <w:p w14:paraId="38AD1159" w14:textId="77777777" w:rsidR="00E239E3" w:rsidRPr="00E239E3" w:rsidRDefault="00E239E3" w:rsidP="00E239E3">
      <w:pPr>
        <w:suppressAutoHyphens/>
        <w:spacing w:line="240" w:lineRule="exact"/>
        <w:rPr>
          <w:sz w:val="20"/>
          <w:szCs w:val="20"/>
        </w:rPr>
      </w:pPr>
    </w:p>
    <w:p w14:paraId="627F5899" w14:textId="77777777" w:rsidR="00E239E3" w:rsidRPr="00E239E3" w:rsidRDefault="00E239E3" w:rsidP="00E239E3">
      <w:pPr>
        <w:rPr>
          <w:b/>
          <w:sz w:val="20"/>
          <w:szCs w:val="20"/>
        </w:rPr>
      </w:pPr>
      <w:r w:rsidRPr="00E239E3">
        <w:rPr>
          <w:b/>
          <w:sz w:val="20"/>
          <w:szCs w:val="20"/>
        </w:rPr>
        <w:t>11.</w:t>
      </w:r>
      <w:r w:rsidRPr="00E239E3">
        <w:rPr>
          <w:b/>
          <w:sz w:val="20"/>
          <w:szCs w:val="20"/>
        </w:rPr>
        <w:tab/>
        <w:t>Subsequent Events</w:t>
      </w:r>
    </w:p>
    <w:p w14:paraId="4A76DA8B" w14:textId="77777777" w:rsidR="00E239E3" w:rsidRPr="00E239E3" w:rsidRDefault="00E239E3" w:rsidP="00E239E3">
      <w:pPr>
        <w:suppressAutoHyphens/>
        <w:spacing w:line="240" w:lineRule="exact"/>
        <w:rPr>
          <w:sz w:val="20"/>
          <w:szCs w:val="20"/>
        </w:rPr>
      </w:pPr>
    </w:p>
    <w:p w14:paraId="4CAAF517" w14:textId="77777777" w:rsidR="00E239E3" w:rsidRPr="00E239E3" w:rsidRDefault="00E239E3" w:rsidP="00E239E3">
      <w:pPr>
        <w:suppressAutoHyphens/>
        <w:spacing w:line="240" w:lineRule="exact"/>
        <w:rPr>
          <w:sz w:val="20"/>
          <w:szCs w:val="20"/>
        </w:rPr>
      </w:pPr>
      <w:r w:rsidRPr="00E239E3">
        <w:rPr>
          <w:sz w:val="20"/>
          <w:szCs w:val="20"/>
        </w:rPr>
        <w:t xml:space="preserve">On January 19, 2022, we closed a private placement of </w:t>
      </w:r>
      <w:r w:rsidRPr="00E239E3">
        <w:rPr>
          <w:bCs/>
          <w:sz w:val="20"/>
          <w:szCs w:val="20"/>
        </w:rPr>
        <w:t xml:space="preserve">707,484 shares of common stock, 2,360,000 pre-funded warrants to purchase common stock, and accompanying warrants to purchase an aggregate of up to 3,067,484 shares of common stock. The warrants are exercisable immediately at an exercise price of $3.26 per share and will expire five years from the date of issuance. </w:t>
      </w:r>
      <w:r w:rsidRPr="00E239E3">
        <w:rPr>
          <w:sz w:val="20"/>
          <w:szCs w:val="20"/>
        </w:rPr>
        <w:t>Net proceeds after deducting placement agent commissions and other offering expenses were approximately $9.2 million.</w:t>
      </w:r>
    </w:p>
    <w:p w14:paraId="55895117" w14:textId="77777777" w:rsidR="00E239E3" w:rsidRPr="00E239E3" w:rsidRDefault="00E239E3" w:rsidP="00E239E3">
      <w:pPr>
        <w:jc w:val="both"/>
        <w:rPr>
          <w:sz w:val="20"/>
          <w:szCs w:val="20"/>
        </w:rPr>
      </w:pPr>
    </w:p>
    <w:p w14:paraId="0FF8C21D" w14:textId="77777777" w:rsidR="00E239E3" w:rsidRPr="00E239E3" w:rsidRDefault="00E239E3" w:rsidP="00E239E3">
      <w:pPr>
        <w:jc w:val="both"/>
        <w:rPr>
          <w:sz w:val="20"/>
          <w:szCs w:val="20"/>
        </w:rPr>
      </w:pPr>
    </w:p>
    <w:p w14:paraId="0E9EB444" w14:textId="77777777" w:rsidR="008A3183" w:rsidRDefault="008A3183" w:rsidP="008A3183">
      <w:pPr>
        <w:ind w:left="144" w:right="144"/>
        <w:rPr>
          <w:sz w:val="20"/>
          <w:szCs w:val="20"/>
        </w:rPr>
      </w:pPr>
      <w:r>
        <w:rPr>
          <w:sz w:val="20"/>
          <w:szCs w:val="20"/>
        </w:rPr>
        <w:t> </w:t>
      </w:r>
    </w:p>
    <w:p w14:paraId="79765C8E" w14:textId="77777777" w:rsidR="008A3183" w:rsidRDefault="008A3183">
      <w:pPr>
        <w:rPr>
          <w:b/>
          <w:bCs/>
          <w:sz w:val="20"/>
          <w:szCs w:val="20"/>
        </w:rPr>
      </w:pPr>
      <w:r>
        <w:rPr>
          <w:b/>
          <w:bCs/>
          <w:sz w:val="20"/>
          <w:szCs w:val="20"/>
        </w:rPr>
        <w:br w:type="page"/>
      </w:r>
    </w:p>
    <w:p w14:paraId="34EDB95D" w14:textId="77777777" w:rsidR="00E239E3" w:rsidRPr="00E239E3" w:rsidRDefault="00E239E3" w:rsidP="00E239E3">
      <w:pPr>
        <w:tabs>
          <w:tab w:val="left" w:pos="1080"/>
          <w:tab w:val="left" w:pos="2340"/>
          <w:tab w:val="left" w:pos="3600"/>
          <w:tab w:val="left" w:pos="7920"/>
        </w:tabs>
        <w:jc w:val="center"/>
        <w:rPr>
          <w:b/>
          <w:sz w:val="20"/>
          <w:szCs w:val="20"/>
        </w:rPr>
      </w:pPr>
      <w:r w:rsidRPr="00E239E3">
        <w:rPr>
          <w:b/>
          <w:sz w:val="20"/>
          <w:szCs w:val="20"/>
        </w:rPr>
        <w:lastRenderedPageBreak/>
        <w:t>GEOVAX LABS, INC.</w:t>
      </w:r>
    </w:p>
    <w:p w14:paraId="1EECFD0E" w14:textId="77777777" w:rsidR="00E239E3" w:rsidRPr="00E239E3" w:rsidRDefault="00E239E3" w:rsidP="00E239E3">
      <w:pPr>
        <w:tabs>
          <w:tab w:val="left" w:pos="1080"/>
          <w:tab w:val="left" w:pos="2340"/>
          <w:tab w:val="left" w:pos="3600"/>
          <w:tab w:val="left" w:pos="7920"/>
        </w:tabs>
        <w:jc w:val="center"/>
        <w:rPr>
          <w:b/>
          <w:sz w:val="20"/>
          <w:szCs w:val="20"/>
        </w:rPr>
      </w:pPr>
      <w:r w:rsidRPr="00E239E3">
        <w:rPr>
          <w:b/>
          <w:sz w:val="20"/>
          <w:szCs w:val="20"/>
        </w:rPr>
        <w:t>SCHEDULE II – VALUATION AND QUALIFYING ACCOUNTS</w:t>
      </w:r>
    </w:p>
    <w:p w14:paraId="04B4B484" w14:textId="77777777" w:rsidR="00E239E3" w:rsidRPr="00E239E3" w:rsidRDefault="00E239E3" w:rsidP="00E239E3">
      <w:pPr>
        <w:tabs>
          <w:tab w:val="left" w:pos="1080"/>
          <w:tab w:val="left" w:pos="2340"/>
          <w:tab w:val="left" w:pos="3600"/>
          <w:tab w:val="left" w:pos="7920"/>
        </w:tabs>
        <w:jc w:val="center"/>
        <w:rPr>
          <w:b/>
          <w:sz w:val="20"/>
          <w:szCs w:val="20"/>
        </w:rPr>
      </w:pPr>
    </w:p>
    <w:p w14:paraId="237DE8CC" w14:textId="77777777" w:rsidR="00E239E3" w:rsidRPr="00E239E3" w:rsidRDefault="00E239E3" w:rsidP="00E239E3">
      <w:pPr>
        <w:tabs>
          <w:tab w:val="left" w:pos="1080"/>
          <w:tab w:val="left" w:pos="2340"/>
          <w:tab w:val="left" w:pos="3600"/>
          <w:tab w:val="left" w:pos="7920"/>
        </w:tabs>
        <w:jc w:val="center"/>
        <w:rPr>
          <w:b/>
          <w:sz w:val="20"/>
          <w:szCs w:val="20"/>
        </w:rPr>
      </w:pPr>
      <w:r w:rsidRPr="00E239E3">
        <w:rPr>
          <w:b/>
          <w:sz w:val="20"/>
          <w:szCs w:val="20"/>
        </w:rPr>
        <w:t>For the Years Ended December 31, 2021 and 2020</w:t>
      </w:r>
    </w:p>
    <w:p w14:paraId="3058A078" w14:textId="77777777" w:rsidR="00E239E3" w:rsidRPr="00E239E3" w:rsidRDefault="00E239E3" w:rsidP="00E239E3">
      <w:pPr>
        <w:tabs>
          <w:tab w:val="left" w:pos="1080"/>
          <w:tab w:val="left" w:pos="2340"/>
          <w:tab w:val="left" w:pos="3600"/>
          <w:tab w:val="left" w:pos="7920"/>
        </w:tabs>
        <w:rPr>
          <w:sz w:val="20"/>
          <w:szCs w:val="20"/>
        </w:rPr>
      </w:pPr>
    </w:p>
    <w:p w14:paraId="5310E493" w14:textId="77777777" w:rsidR="00E239E3" w:rsidRPr="00E239E3" w:rsidRDefault="00E239E3" w:rsidP="00E239E3">
      <w:pPr>
        <w:tabs>
          <w:tab w:val="left" w:pos="1080"/>
          <w:tab w:val="left" w:pos="2340"/>
          <w:tab w:val="left" w:pos="3600"/>
          <w:tab w:val="left" w:pos="7920"/>
        </w:tabs>
        <w:rPr>
          <w:sz w:val="20"/>
          <w:szCs w:val="20"/>
        </w:rPr>
      </w:pPr>
    </w:p>
    <w:tbl>
      <w:tblPr>
        <w:tblW w:w="10080" w:type="dxa"/>
        <w:tblLook w:val="01E0" w:firstRow="1" w:lastRow="1" w:firstColumn="1" w:lastColumn="1" w:noHBand="0" w:noVBand="0"/>
      </w:tblPr>
      <w:tblGrid>
        <w:gridCol w:w="3292"/>
        <w:gridCol w:w="1319"/>
        <w:gridCol w:w="1371"/>
        <w:gridCol w:w="1307"/>
        <w:gridCol w:w="1328"/>
        <w:gridCol w:w="1463"/>
      </w:tblGrid>
      <w:tr w:rsidR="00E239E3" w:rsidRPr="00E239E3" w14:paraId="4799B739" w14:textId="77777777" w:rsidTr="004F5282">
        <w:tc>
          <w:tcPr>
            <w:tcW w:w="3292" w:type="dxa"/>
          </w:tcPr>
          <w:p w14:paraId="4A1DB218" w14:textId="77777777" w:rsidR="00E239E3" w:rsidRPr="00E239E3" w:rsidRDefault="00E239E3" w:rsidP="00E239E3">
            <w:pPr>
              <w:tabs>
                <w:tab w:val="left" w:pos="1080"/>
                <w:tab w:val="left" w:pos="2340"/>
                <w:tab w:val="left" w:pos="3600"/>
                <w:tab w:val="left" w:pos="7920"/>
              </w:tabs>
              <w:rPr>
                <w:sz w:val="20"/>
                <w:szCs w:val="20"/>
              </w:rPr>
            </w:pPr>
          </w:p>
        </w:tc>
        <w:tc>
          <w:tcPr>
            <w:tcW w:w="1319" w:type="dxa"/>
          </w:tcPr>
          <w:p w14:paraId="704622A0" w14:textId="77777777" w:rsidR="00E239E3" w:rsidRPr="00E239E3" w:rsidRDefault="00E239E3" w:rsidP="00E239E3">
            <w:pPr>
              <w:tabs>
                <w:tab w:val="left" w:pos="1080"/>
                <w:tab w:val="left" w:pos="2340"/>
                <w:tab w:val="left" w:pos="3600"/>
                <w:tab w:val="left" w:pos="7920"/>
              </w:tabs>
              <w:rPr>
                <w:sz w:val="20"/>
                <w:szCs w:val="20"/>
              </w:rPr>
            </w:pPr>
          </w:p>
        </w:tc>
        <w:tc>
          <w:tcPr>
            <w:tcW w:w="2678" w:type="dxa"/>
            <w:gridSpan w:val="2"/>
            <w:tcBorders>
              <w:bottom w:val="single" w:sz="4" w:space="0" w:color="auto"/>
            </w:tcBorders>
          </w:tcPr>
          <w:p w14:paraId="4DAB4125"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Additions (Reductions)</w:t>
            </w:r>
          </w:p>
        </w:tc>
        <w:tc>
          <w:tcPr>
            <w:tcW w:w="1328" w:type="dxa"/>
          </w:tcPr>
          <w:p w14:paraId="3DEF0D5F" w14:textId="77777777" w:rsidR="00E239E3" w:rsidRPr="00E239E3" w:rsidRDefault="00E239E3" w:rsidP="00E239E3">
            <w:pPr>
              <w:tabs>
                <w:tab w:val="left" w:pos="1080"/>
                <w:tab w:val="left" w:pos="2340"/>
                <w:tab w:val="left" w:pos="3600"/>
                <w:tab w:val="left" w:pos="7920"/>
              </w:tabs>
              <w:rPr>
                <w:sz w:val="20"/>
                <w:szCs w:val="20"/>
              </w:rPr>
            </w:pPr>
          </w:p>
        </w:tc>
        <w:tc>
          <w:tcPr>
            <w:tcW w:w="1463" w:type="dxa"/>
          </w:tcPr>
          <w:p w14:paraId="16E0C2B1" w14:textId="77777777" w:rsidR="00E239E3" w:rsidRPr="00E239E3" w:rsidRDefault="00E239E3" w:rsidP="00E239E3">
            <w:pPr>
              <w:tabs>
                <w:tab w:val="left" w:pos="1080"/>
                <w:tab w:val="left" w:pos="2340"/>
                <w:tab w:val="left" w:pos="3600"/>
                <w:tab w:val="left" w:pos="7920"/>
              </w:tabs>
              <w:rPr>
                <w:sz w:val="20"/>
                <w:szCs w:val="20"/>
              </w:rPr>
            </w:pPr>
          </w:p>
        </w:tc>
      </w:tr>
      <w:tr w:rsidR="00E239E3" w:rsidRPr="00E239E3" w14:paraId="16596B4C" w14:textId="77777777" w:rsidTr="004F5282">
        <w:tc>
          <w:tcPr>
            <w:tcW w:w="3292" w:type="dxa"/>
            <w:tcBorders>
              <w:bottom w:val="single" w:sz="4" w:space="0" w:color="auto"/>
            </w:tcBorders>
          </w:tcPr>
          <w:p w14:paraId="6F16E503" w14:textId="77777777" w:rsidR="00E239E3" w:rsidRPr="00E239E3" w:rsidRDefault="00E239E3" w:rsidP="00E239E3">
            <w:pPr>
              <w:tabs>
                <w:tab w:val="left" w:pos="1080"/>
                <w:tab w:val="left" w:pos="2340"/>
                <w:tab w:val="left" w:pos="3600"/>
                <w:tab w:val="left" w:pos="7920"/>
              </w:tabs>
              <w:jc w:val="center"/>
              <w:rPr>
                <w:sz w:val="20"/>
                <w:szCs w:val="20"/>
              </w:rPr>
            </w:pPr>
          </w:p>
          <w:p w14:paraId="5C5CA617" w14:textId="77777777" w:rsidR="00E239E3" w:rsidRPr="00E239E3" w:rsidRDefault="00E239E3" w:rsidP="00E239E3">
            <w:pPr>
              <w:tabs>
                <w:tab w:val="left" w:pos="1080"/>
                <w:tab w:val="left" w:pos="2340"/>
                <w:tab w:val="left" w:pos="3600"/>
                <w:tab w:val="left" w:pos="7920"/>
              </w:tabs>
              <w:jc w:val="center"/>
              <w:rPr>
                <w:sz w:val="20"/>
                <w:szCs w:val="20"/>
              </w:rPr>
            </w:pPr>
          </w:p>
          <w:p w14:paraId="695C9FE3" w14:textId="77777777" w:rsidR="00E239E3" w:rsidRPr="00E239E3" w:rsidRDefault="00E239E3" w:rsidP="00E239E3">
            <w:pPr>
              <w:tabs>
                <w:tab w:val="left" w:pos="1080"/>
                <w:tab w:val="left" w:pos="2340"/>
                <w:tab w:val="left" w:pos="3600"/>
                <w:tab w:val="left" w:pos="7920"/>
              </w:tabs>
              <w:rPr>
                <w:sz w:val="20"/>
                <w:szCs w:val="20"/>
              </w:rPr>
            </w:pPr>
            <w:r w:rsidRPr="00E239E3">
              <w:rPr>
                <w:sz w:val="20"/>
                <w:szCs w:val="20"/>
              </w:rPr>
              <w:t>Description</w:t>
            </w:r>
          </w:p>
        </w:tc>
        <w:tc>
          <w:tcPr>
            <w:tcW w:w="1319" w:type="dxa"/>
            <w:tcBorders>
              <w:bottom w:val="single" w:sz="4" w:space="0" w:color="auto"/>
            </w:tcBorders>
          </w:tcPr>
          <w:p w14:paraId="216EB802"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Balance at</w:t>
            </w:r>
          </w:p>
          <w:p w14:paraId="2F95F7D3"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Beginning</w:t>
            </w:r>
          </w:p>
          <w:p w14:paraId="27511DFD"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Of Period</w:t>
            </w:r>
          </w:p>
        </w:tc>
        <w:tc>
          <w:tcPr>
            <w:tcW w:w="1371" w:type="dxa"/>
            <w:tcBorders>
              <w:top w:val="single" w:sz="4" w:space="0" w:color="auto"/>
              <w:bottom w:val="single" w:sz="4" w:space="0" w:color="auto"/>
            </w:tcBorders>
          </w:tcPr>
          <w:p w14:paraId="6DF83F8F"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Charged to</w:t>
            </w:r>
          </w:p>
          <w:p w14:paraId="67AB4A2E"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Costs and</w:t>
            </w:r>
          </w:p>
          <w:p w14:paraId="3149C305"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Expenses</w:t>
            </w:r>
          </w:p>
        </w:tc>
        <w:tc>
          <w:tcPr>
            <w:tcW w:w="1307" w:type="dxa"/>
            <w:tcBorders>
              <w:top w:val="single" w:sz="4" w:space="0" w:color="auto"/>
              <w:bottom w:val="single" w:sz="4" w:space="0" w:color="auto"/>
            </w:tcBorders>
          </w:tcPr>
          <w:p w14:paraId="75CB5767"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Charged to</w:t>
            </w:r>
          </w:p>
          <w:p w14:paraId="14E4FA4A"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Other</w:t>
            </w:r>
          </w:p>
          <w:p w14:paraId="2F62A3B4"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Accounts</w:t>
            </w:r>
          </w:p>
        </w:tc>
        <w:tc>
          <w:tcPr>
            <w:tcW w:w="1328" w:type="dxa"/>
            <w:tcBorders>
              <w:bottom w:val="single" w:sz="4" w:space="0" w:color="auto"/>
            </w:tcBorders>
          </w:tcPr>
          <w:p w14:paraId="762EFA6B" w14:textId="77777777" w:rsidR="00E239E3" w:rsidRPr="00E239E3" w:rsidRDefault="00E239E3" w:rsidP="00E239E3">
            <w:pPr>
              <w:tabs>
                <w:tab w:val="left" w:pos="1080"/>
                <w:tab w:val="left" w:pos="2340"/>
                <w:tab w:val="left" w:pos="3600"/>
                <w:tab w:val="left" w:pos="7920"/>
              </w:tabs>
              <w:jc w:val="center"/>
              <w:rPr>
                <w:sz w:val="20"/>
                <w:szCs w:val="20"/>
              </w:rPr>
            </w:pPr>
          </w:p>
          <w:p w14:paraId="0349C666" w14:textId="77777777" w:rsidR="00E239E3" w:rsidRPr="00E239E3" w:rsidRDefault="00E239E3" w:rsidP="00E239E3">
            <w:pPr>
              <w:tabs>
                <w:tab w:val="left" w:pos="1080"/>
                <w:tab w:val="left" w:pos="2340"/>
                <w:tab w:val="left" w:pos="3600"/>
                <w:tab w:val="left" w:pos="7920"/>
              </w:tabs>
              <w:jc w:val="center"/>
              <w:rPr>
                <w:sz w:val="20"/>
                <w:szCs w:val="20"/>
              </w:rPr>
            </w:pPr>
          </w:p>
          <w:p w14:paraId="404CDD58"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Deductions</w:t>
            </w:r>
          </w:p>
        </w:tc>
        <w:tc>
          <w:tcPr>
            <w:tcW w:w="1463" w:type="dxa"/>
            <w:tcBorders>
              <w:bottom w:val="single" w:sz="4" w:space="0" w:color="auto"/>
            </w:tcBorders>
          </w:tcPr>
          <w:p w14:paraId="5FD44BD7"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Balance at</w:t>
            </w:r>
          </w:p>
          <w:p w14:paraId="6E6E63E6"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End</w:t>
            </w:r>
          </w:p>
          <w:p w14:paraId="1BFB64DE" w14:textId="77777777" w:rsidR="00E239E3" w:rsidRPr="00E239E3" w:rsidRDefault="00E239E3" w:rsidP="00E239E3">
            <w:pPr>
              <w:tabs>
                <w:tab w:val="left" w:pos="1080"/>
                <w:tab w:val="left" w:pos="2340"/>
                <w:tab w:val="left" w:pos="3600"/>
                <w:tab w:val="left" w:pos="7920"/>
              </w:tabs>
              <w:jc w:val="center"/>
              <w:rPr>
                <w:sz w:val="20"/>
                <w:szCs w:val="20"/>
              </w:rPr>
            </w:pPr>
            <w:r w:rsidRPr="00E239E3">
              <w:rPr>
                <w:sz w:val="20"/>
                <w:szCs w:val="20"/>
              </w:rPr>
              <w:t>Of Period</w:t>
            </w:r>
          </w:p>
        </w:tc>
      </w:tr>
      <w:tr w:rsidR="00E239E3" w:rsidRPr="00E239E3" w14:paraId="118B2ABA" w14:textId="77777777" w:rsidTr="004F5282">
        <w:tc>
          <w:tcPr>
            <w:tcW w:w="3292" w:type="dxa"/>
            <w:tcBorders>
              <w:top w:val="single" w:sz="4" w:space="0" w:color="auto"/>
            </w:tcBorders>
          </w:tcPr>
          <w:p w14:paraId="7F76037E" w14:textId="77777777" w:rsidR="00E239E3" w:rsidRPr="00E239E3" w:rsidRDefault="00E239E3" w:rsidP="00E239E3">
            <w:pPr>
              <w:tabs>
                <w:tab w:val="left" w:pos="1080"/>
                <w:tab w:val="left" w:pos="2340"/>
                <w:tab w:val="left" w:pos="3600"/>
                <w:tab w:val="left" w:pos="7920"/>
              </w:tabs>
              <w:rPr>
                <w:sz w:val="20"/>
                <w:szCs w:val="20"/>
              </w:rPr>
            </w:pPr>
            <w:r w:rsidRPr="00E239E3">
              <w:rPr>
                <w:sz w:val="20"/>
                <w:szCs w:val="20"/>
              </w:rPr>
              <w:t>Reserve Deducted in the Balance Sheet From the Asset to Which it Applies:</w:t>
            </w:r>
          </w:p>
        </w:tc>
        <w:tc>
          <w:tcPr>
            <w:tcW w:w="1319" w:type="dxa"/>
            <w:tcBorders>
              <w:top w:val="single" w:sz="4" w:space="0" w:color="auto"/>
            </w:tcBorders>
          </w:tcPr>
          <w:p w14:paraId="6D710483" w14:textId="77777777" w:rsidR="00E239E3" w:rsidRPr="00E239E3" w:rsidRDefault="00E239E3" w:rsidP="00E239E3">
            <w:pPr>
              <w:tabs>
                <w:tab w:val="decimal" w:pos="1062"/>
                <w:tab w:val="left" w:pos="2340"/>
                <w:tab w:val="left" w:pos="3600"/>
                <w:tab w:val="left" w:pos="7920"/>
              </w:tabs>
              <w:rPr>
                <w:sz w:val="20"/>
                <w:szCs w:val="20"/>
              </w:rPr>
            </w:pPr>
          </w:p>
          <w:p w14:paraId="23C70CA7" w14:textId="77777777" w:rsidR="00E239E3" w:rsidRPr="00E239E3" w:rsidRDefault="00E239E3" w:rsidP="00E239E3">
            <w:pPr>
              <w:tabs>
                <w:tab w:val="decimal" w:pos="1062"/>
                <w:tab w:val="left" w:pos="2340"/>
                <w:tab w:val="left" w:pos="3600"/>
                <w:tab w:val="left" w:pos="7920"/>
              </w:tabs>
              <w:rPr>
                <w:sz w:val="20"/>
                <w:szCs w:val="20"/>
              </w:rPr>
            </w:pPr>
          </w:p>
        </w:tc>
        <w:tc>
          <w:tcPr>
            <w:tcW w:w="1371" w:type="dxa"/>
            <w:tcBorders>
              <w:top w:val="single" w:sz="4" w:space="0" w:color="auto"/>
            </w:tcBorders>
          </w:tcPr>
          <w:p w14:paraId="263D2E46" w14:textId="77777777" w:rsidR="00E239E3" w:rsidRPr="00E239E3" w:rsidRDefault="00E239E3" w:rsidP="00E239E3">
            <w:pPr>
              <w:tabs>
                <w:tab w:val="left" w:pos="1080"/>
                <w:tab w:val="left" w:pos="2340"/>
                <w:tab w:val="left" w:pos="3600"/>
                <w:tab w:val="left" w:pos="7920"/>
              </w:tabs>
              <w:rPr>
                <w:sz w:val="20"/>
                <w:szCs w:val="20"/>
              </w:rPr>
            </w:pPr>
          </w:p>
        </w:tc>
        <w:tc>
          <w:tcPr>
            <w:tcW w:w="1307" w:type="dxa"/>
            <w:tcBorders>
              <w:top w:val="single" w:sz="4" w:space="0" w:color="auto"/>
            </w:tcBorders>
          </w:tcPr>
          <w:p w14:paraId="1424F179" w14:textId="77777777" w:rsidR="00E239E3" w:rsidRPr="00E239E3" w:rsidRDefault="00E239E3" w:rsidP="00E239E3">
            <w:pPr>
              <w:tabs>
                <w:tab w:val="left" w:pos="1080"/>
                <w:tab w:val="left" w:pos="2340"/>
                <w:tab w:val="left" w:pos="3600"/>
                <w:tab w:val="left" w:pos="7920"/>
              </w:tabs>
              <w:rPr>
                <w:sz w:val="20"/>
                <w:szCs w:val="20"/>
              </w:rPr>
            </w:pPr>
          </w:p>
        </w:tc>
        <w:tc>
          <w:tcPr>
            <w:tcW w:w="1328" w:type="dxa"/>
            <w:tcBorders>
              <w:top w:val="single" w:sz="4" w:space="0" w:color="auto"/>
            </w:tcBorders>
          </w:tcPr>
          <w:p w14:paraId="685071B7" w14:textId="77777777" w:rsidR="00E239E3" w:rsidRPr="00E239E3" w:rsidRDefault="00E239E3" w:rsidP="00E239E3">
            <w:pPr>
              <w:tabs>
                <w:tab w:val="left" w:pos="1080"/>
                <w:tab w:val="left" w:pos="2340"/>
                <w:tab w:val="left" w:pos="3600"/>
                <w:tab w:val="left" w:pos="7920"/>
              </w:tabs>
              <w:rPr>
                <w:sz w:val="20"/>
                <w:szCs w:val="20"/>
              </w:rPr>
            </w:pPr>
          </w:p>
        </w:tc>
        <w:tc>
          <w:tcPr>
            <w:tcW w:w="1463" w:type="dxa"/>
            <w:tcBorders>
              <w:top w:val="single" w:sz="4" w:space="0" w:color="auto"/>
            </w:tcBorders>
          </w:tcPr>
          <w:p w14:paraId="7127739C" w14:textId="77777777" w:rsidR="00E239E3" w:rsidRPr="00E239E3" w:rsidRDefault="00E239E3" w:rsidP="00E239E3">
            <w:pPr>
              <w:tabs>
                <w:tab w:val="left" w:pos="1080"/>
                <w:tab w:val="left" w:pos="2340"/>
                <w:tab w:val="left" w:pos="3600"/>
                <w:tab w:val="left" w:pos="7920"/>
              </w:tabs>
              <w:rPr>
                <w:sz w:val="20"/>
                <w:szCs w:val="20"/>
              </w:rPr>
            </w:pPr>
          </w:p>
        </w:tc>
      </w:tr>
      <w:tr w:rsidR="00E239E3" w:rsidRPr="00E239E3" w14:paraId="2B10FE04" w14:textId="77777777" w:rsidTr="004F5282">
        <w:tc>
          <w:tcPr>
            <w:tcW w:w="3292" w:type="dxa"/>
          </w:tcPr>
          <w:p w14:paraId="22F2C936" w14:textId="77777777" w:rsidR="00E239E3" w:rsidRPr="00E239E3" w:rsidRDefault="00E239E3" w:rsidP="00E239E3">
            <w:pPr>
              <w:tabs>
                <w:tab w:val="left" w:pos="180"/>
                <w:tab w:val="left" w:pos="3600"/>
                <w:tab w:val="left" w:pos="7920"/>
              </w:tabs>
              <w:rPr>
                <w:sz w:val="20"/>
                <w:szCs w:val="20"/>
              </w:rPr>
            </w:pPr>
          </w:p>
        </w:tc>
        <w:tc>
          <w:tcPr>
            <w:tcW w:w="1319" w:type="dxa"/>
          </w:tcPr>
          <w:p w14:paraId="571DD377" w14:textId="77777777" w:rsidR="00E239E3" w:rsidRPr="00E239E3" w:rsidRDefault="00E239E3" w:rsidP="00E239E3">
            <w:pPr>
              <w:tabs>
                <w:tab w:val="decimal" w:pos="1062"/>
                <w:tab w:val="left" w:pos="2340"/>
                <w:tab w:val="left" w:pos="3600"/>
                <w:tab w:val="left" w:pos="7920"/>
              </w:tabs>
              <w:rPr>
                <w:sz w:val="20"/>
                <w:szCs w:val="20"/>
              </w:rPr>
            </w:pPr>
          </w:p>
        </w:tc>
        <w:tc>
          <w:tcPr>
            <w:tcW w:w="1371" w:type="dxa"/>
          </w:tcPr>
          <w:p w14:paraId="2E465493" w14:textId="77777777" w:rsidR="00E239E3" w:rsidRPr="00E239E3" w:rsidRDefault="00E239E3" w:rsidP="00E239E3">
            <w:pPr>
              <w:tabs>
                <w:tab w:val="left" w:pos="1080"/>
                <w:tab w:val="left" w:pos="2340"/>
                <w:tab w:val="left" w:pos="3600"/>
                <w:tab w:val="left" w:pos="7920"/>
              </w:tabs>
              <w:rPr>
                <w:sz w:val="20"/>
                <w:szCs w:val="20"/>
              </w:rPr>
            </w:pPr>
          </w:p>
        </w:tc>
        <w:tc>
          <w:tcPr>
            <w:tcW w:w="1307" w:type="dxa"/>
          </w:tcPr>
          <w:p w14:paraId="5B2744CC" w14:textId="77777777" w:rsidR="00E239E3" w:rsidRPr="00E239E3" w:rsidRDefault="00E239E3" w:rsidP="00E239E3">
            <w:pPr>
              <w:tabs>
                <w:tab w:val="left" w:pos="1080"/>
                <w:tab w:val="left" w:pos="2340"/>
                <w:tab w:val="left" w:pos="3600"/>
                <w:tab w:val="left" w:pos="7920"/>
              </w:tabs>
              <w:rPr>
                <w:sz w:val="20"/>
                <w:szCs w:val="20"/>
              </w:rPr>
            </w:pPr>
          </w:p>
        </w:tc>
        <w:tc>
          <w:tcPr>
            <w:tcW w:w="1328" w:type="dxa"/>
          </w:tcPr>
          <w:p w14:paraId="0C872532" w14:textId="77777777" w:rsidR="00E239E3" w:rsidRPr="00E239E3" w:rsidRDefault="00E239E3" w:rsidP="00E239E3">
            <w:pPr>
              <w:tabs>
                <w:tab w:val="left" w:pos="1080"/>
                <w:tab w:val="left" w:pos="2340"/>
                <w:tab w:val="left" w:pos="3600"/>
                <w:tab w:val="left" w:pos="7920"/>
              </w:tabs>
              <w:rPr>
                <w:sz w:val="20"/>
                <w:szCs w:val="20"/>
              </w:rPr>
            </w:pPr>
          </w:p>
        </w:tc>
        <w:tc>
          <w:tcPr>
            <w:tcW w:w="1463" w:type="dxa"/>
          </w:tcPr>
          <w:p w14:paraId="37AAB5E6" w14:textId="77777777" w:rsidR="00E239E3" w:rsidRPr="00E239E3" w:rsidRDefault="00E239E3" w:rsidP="00E239E3">
            <w:pPr>
              <w:tabs>
                <w:tab w:val="left" w:pos="1080"/>
                <w:tab w:val="left" w:pos="2340"/>
                <w:tab w:val="left" w:pos="3600"/>
                <w:tab w:val="left" w:pos="7920"/>
              </w:tabs>
              <w:rPr>
                <w:sz w:val="20"/>
                <w:szCs w:val="20"/>
              </w:rPr>
            </w:pPr>
          </w:p>
        </w:tc>
      </w:tr>
      <w:tr w:rsidR="00E239E3" w:rsidRPr="00E239E3" w14:paraId="45DC1FAF" w14:textId="77777777" w:rsidTr="004F5282">
        <w:tc>
          <w:tcPr>
            <w:tcW w:w="3292" w:type="dxa"/>
          </w:tcPr>
          <w:p w14:paraId="45EDA18A" w14:textId="77777777" w:rsidR="00E239E3" w:rsidRPr="00E239E3" w:rsidRDefault="00E239E3" w:rsidP="00E239E3">
            <w:pPr>
              <w:tabs>
                <w:tab w:val="left" w:pos="180"/>
                <w:tab w:val="left" w:pos="3600"/>
                <w:tab w:val="left" w:pos="7920"/>
              </w:tabs>
              <w:rPr>
                <w:sz w:val="20"/>
                <w:szCs w:val="20"/>
              </w:rPr>
            </w:pPr>
            <w:r w:rsidRPr="00E239E3">
              <w:rPr>
                <w:sz w:val="20"/>
                <w:szCs w:val="20"/>
              </w:rPr>
              <w:t>Allowance for Deferred Tax Assets</w:t>
            </w:r>
          </w:p>
        </w:tc>
        <w:tc>
          <w:tcPr>
            <w:tcW w:w="1319" w:type="dxa"/>
          </w:tcPr>
          <w:p w14:paraId="485B0CEA" w14:textId="77777777" w:rsidR="00E239E3" w:rsidRPr="00E239E3" w:rsidRDefault="00E239E3" w:rsidP="00E239E3">
            <w:pPr>
              <w:tabs>
                <w:tab w:val="decimal" w:pos="1062"/>
                <w:tab w:val="left" w:pos="2340"/>
                <w:tab w:val="left" w:pos="3600"/>
                <w:tab w:val="left" w:pos="7920"/>
              </w:tabs>
              <w:rPr>
                <w:sz w:val="20"/>
                <w:szCs w:val="20"/>
              </w:rPr>
            </w:pPr>
          </w:p>
        </w:tc>
        <w:tc>
          <w:tcPr>
            <w:tcW w:w="1371" w:type="dxa"/>
          </w:tcPr>
          <w:p w14:paraId="680B486B" w14:textId="77777777" w:rsidR="00E239E3" w:rsidRPr="00E239E3" w:rsidRDefault="00E239E3" w:rsidP="00E239E3">
            <w:pPr>
              <w:tabs>
                <w:tab w:val="left" w:pos="1080"/>
                <w:tab w:val="left" w:pos="2340"/>
                <w:tab w:val="left" w:pos="3600"/>
                <w:tab w:val="left" w:pos="7920"/>
              </w:tabs>
              <w:rPr>
                <w:sz w:val="20"/>
                <w:szCs w:val="20"/>
              </w:rPr>
            </w:pPr>
          </w:p>
        </w:tc>
        <w:tc>
          <w:tcPr>
            <w:tcW w:w="1307" w:type="dxa"/>
          </w:tcPr>
          <w:p w14:paraId="13E621CB" w14:textId="77777777" w:rsidR="00E239E3" w:rsidRPr="00E239E3" w:rsidRDefault="00E239E3" w:rsidP="00E239E3">
            <w:pPr>
              <w:tabs>
                <w:tab w:val="left" w:pos="1080"/>
                <w:tab w:val="left" w:pos="2340"/>
                <w:tab w:val="left" w:pos="3600"/>
                <w:tab w:val="left" w:pos="7920"/>
              </w:tabs>
              <w:rPr>
                <w:sz w:val="20"/>
                <w:szCs w:val="20"/>
              </w:rPr>
            </w:pPr>
          </w:p>
        </w:tc>
        <w:tc>
          <w:tcPr>
            <w:tcW w:w="1328" w:type="dxa"/>
          </w:tcPr>
          <w:p w14:paraId="7EAB11F4" w14:textId="77777777" w:rsidR="00E239E3" w:rsidRPr="00E239E3" w:rsidRDefault="00E239E3" w:rsidP="00E239E3">
            <w:pPr>
              <w:tabs>
                <w:tab w:val="left" w:pos="1080"/>
                <w:tab w:val="left" w:pos="2340"/>
                <w:tab w:val="left" w:pos="3600"/>
                <w:tab w:val="left" w:pos="7920"/>
              </w:tabs>
              <w:rPr>
                <w:sz w:val="20"/>
                <w:szCs w:val="20"/>
              </w:rPr>
            </w:pPr>
          </w:p>
        </w:tc>
        <w:tc>
          <w:tcPr>
            <w:tcW w:w="1463" w:type="dxa"/>
          </w:tcPr>
          <w:p w14:paraId="03DCBA1A" w14:textId="77777777" w:rsidR="00E239E3" w:rsidRPr="00E239E3" w:rsidRDefault="00E239E3" w:rsidP="00E239E3">
            <w:pPr>
              <w:tabs>
                <w:tab w:val="left" w:pos="1080"/>
                <w:tab w:val="left" w:pos="2340"/>
                <w:tab w:val="left" w:pos="3600"/>
                <w:tab w:val="left" w:pos="7920"/>
              </w:tabs>
              <w:rPr>
                <w:sz w:val="20"/>
                <w:szCs w:val="20"/>
              </w:rPr>
            </w:pPr>
          </w:p>
        </w:tc>
      </w:tr>
      <w:tr w:rsidR="00E239E3" w:rsidRPr="00E239E3" w14:paraId="4D0F344D" w14:textId="77777777" w:rsidTr="004F5282">
        <w:tc>
          <w:tcPr>
            <w:tcW w:w="3292" w:type="dxa"/>
          </w:tcPr>
          <w:p w14:paraId="28B844CF" w14:textId="77777777" w:rsidR="00E239E3" w:rsidRPr="00E239E3" w:rsidRDefault="00E239E3" w:rsidP="00E239E3">
            <w:pPr>
              <w:tabs>
                <w:tab w:val="left" w:pos="180"/>
                <w:tab w:val="left" w:pos="3600"/>
                <w:tab w:val="left" w:pos="7920"/>
              </w:tabs>
              <w:rPr>
                <w:sz w:val="20"/>
                <w:szCs w:val="20"/>
              </w:rPr>
            </w:pPr>
            <w:bookmarkStart w:id="86" w:name="_Hlk91747700"/>
            <w:r w:rsidRPr="00E239E3">
              <w:rPr>
                <w:sz w:val="20"/>
                <w:szCs w:val="20"/>
              </w:rPr>
              <w:tab/>
              <w:t>Year ended December 31, 2021</w:t>
            </w:r>
          </w:p>
        </w:tc>
        <w:tc>
          <w:tcPr>
            <w:tcW w:w="1319" w:type="dxa"/>
          </w:tcPr>
          <w:p w14:paraId="40347092" w14:textId="77777777" w:rsidR="00E239E3" w:rsidRPr="00E239E3" w:rsidRDefault="00E239E3" w:rsidP="00E239E3">
            <w:pPr>
              <w:tabs>
                <w:tab w:val="decimal" w:pos="1062"/>
                <w:tab w:val="left" w:pos="2340"/>
                <w:tab w:val="left" w:pos="3600"/>
                <w:tab w:val="left" w:pos="7920"/>
              </w:tabs>
              <w:rPr>
                <w:sz w:val="20"/>
                <w:szCs w:val="20"/>
              </w:rPr>
            </w:pPr>
            <w:r w:rsidRPr="00E239E3">
              <w:rPr>
                <w:sz w:val="20"/>
                <w:szCs w:val="20"/>
              </w:rPr>
              <w:t>$</w:t>
            </w:r>
            <w:r w:rsidRPr="00E239E3">
              <w:rPr>
                <w:sz w:val="20"/>
                <w:szCs w:val="20"/>
              </w:rPr>
              <w:tab/>
              <w:t>15,975,667</w:t>
            </w:r>
          </w:p>
        </w:tc>
        <w:tc>
          <w:tcPr>
            <w:tcW w:w="1371" w:type="dxa"/>
          </w:tcPr>
          <w:p w14:paraId="36CF73CC" w14:textId="77777777" w:rsidR="00E239E3" w:rsidRPr="00E239E3" w:rsidRDefault="00E239E3" w:rsidP="00E239E3">
            <w:pPr>
              <w:tabs>
                <w:tab w:val="decimal" w:pos="1088"/>
                <w:tab w:val="left" w:pos="3600"/>
                <w:tab w:val="left" w:pos="7920"/>
              </w:tabs>
              <w:rPr>
                <w:sz w:val="20"/>
                <w:szCs w:val="20"/>
              </w:rPr>
            </w:pPr>
            <w:r w:rsidRPr="00E239E3">
              <w:rPr>
                <w:sz w:val="20"/>
                <w:szCs w:val="20"/>
              </w:rPr>
              <w:t>$</w:t>
            </w:r>
            <w:r w:rsidRPr="00E239E3">
              <w:rPr>
                <w:sz w:val="20"/>
                <w:szCs w:val="20"/>
              </w:rPr>
              <w:tab/>
              <w:t>4,208,790</w:t>
            </w:r>
          </w:p>
        </w:tc>
        <w:tc>
          <w:tcPr>
            <w:tcW w:w="1307" w:type="dxa"/>
          </w:tcPr>
          <w:p w14:paraId="4F9A1C05" w14:textId="77777777" w:rsidR="00E239E3" w:rsidRPr="00E239E3" w:rsidRDefault="00E239E3" w:rsidP="00E239E3">
            <w:pPr>
              <w:tabs>
                <w:tab w:val="decimal" w:pos="1023"/>
                <w:tab w:val="left" w:pos="2340"/>
                <w:tab w:val="left" w:pos="3600"/>
                <w:tab w:val="left" w:pos="7920"/>
              </w:tabs>
              <w:rPr>
                <w:sz w:val="20"/>
                <w:szCs w:val="20"/>
              </w:rPr>
            </w:pPr>
            <w:r w:rsidRPr="00E239E3">
              <w:rPr>
                <w:sz w:val="20"/>
                <w:szCs w:val="20"/>
              </w:rPr>
              <w:t>$</w:t>
            </w:r>
            <w:r w:rsidRPr="00E239E3">
              <w:rPr>
                <w:sz w:val="20"/>
                <w:szCs w:val="20"/>
              </w:rPr>
              <w:tab/>
              <w:t>-0-</w:t>
            </w:r>
          </w:p>
        </w:tc>
        <w:tc>
          <w:tcPr>
            <w:tcW w:w="1328" w:type="dxa"/>
          </w:tcPr>
          <w:p w14:paraId="6631CD85" w14:textId="77777777" w:rsidR="00E239E3" w:rsidRPr="00E239E3" w:rsidRDefault="00E239E3" w:rsidP="00E239E3">
            <w:pPr>
              <w:tabs>
                <w:tab w:val="decimal" w:pos="1048"/>
                <w:tab w:val="left" w:pos="2340"/>
                <w:tab w:val="left" w:pos="3600"/>
                <w:tab w:val="left" w:pos="7920"/>
              </w:tabs>
              <w:rPr>
                <w:sz w:val="20"/>
                <w:szCs w:val="20"/>
              </w:rPr>
            </w:pPr>
            <w:r w:rsidRPr="00E239E3">
              <w:rPr>
                <w:sz w:val="20"/>
                <w:szCs w:val="20"/>
              </w:rPr>
              <w:t>$</w:t>
            </w:r>
            <w:r w:rsidRPr="00E239E3">
              <w:rPr>
                <w:sz w:val="20"/>
                <w:szCs w:val="20"/>
              </w:rPr>
              <w:tab/>
              <w:t>-0-</w:t>
            </w:r>
          </w:p>
        </w:tc>
        <w:tc>
          <w:tcPr>
            <w:tcW w:w="1463" w:type="dxa"/>
          </w:tcPr>
          <w:p w14:paraId="1FA66220" w14:textId="77777777" w:rsidR="00E239E3" w:rsidRPr="00E239E3" w:rsidRDefault="00E239E3" w:rsidP="00E239E3">
            <w:pPr>
              <w:tabs>
                <w:tab w:val="decimal" w:pos="1073"/>
                <w:tab w:val="left" w:pos="2340"/>
                <w:tab w:val="left" w:pos="3600"/>
                <w:tab w:val="left" w:pos="7920"/>
              </w:tabs>
              <w:rPr>
                <w:sz w:val="20"/>
                <w:szCs w:val="20"/>
              </w:rPr>
            </w:pPr>
            <w:r w:rsidRPr="00E239E3">
              <w:rPr>
                <w:sz w:val="20"/>
                <w:szCs w:val="20"/>
              </w:rPr>
              <w:t>$</w:t>
            </w:r>
            <w:r w:rsidRPr="00E239E3">
              <w:rPr>
                <w:sz w:val="20"/>
                <w:szCs w:val="20"/>
              </w:rPr>
              <w:tab/>
              <w:t>20,184,457</w:t>
            </w:r>
          </w:p>
        </w:tc>
      </w:tr>
      <w:tr w:rsidR="00E239E3" w:rsidRPr="00E239E3" w14:paraId="7B26759F" w14:textId="77777777" w:rsidTr="004F5282">
        <w:tc>
          <w:tcPr>
            <w:tcW w:w="3292" w:type="dxa"/>
          </w:tcPr>
          <w:p w14:paraId="5B563D2C" w14:textId="77777777" w:rsidR="00E239E3" w:rsidRPr="00E239E3" w:rsidRDefault="00E239E3" w:rsidP="00E239E3">
            <w:pPr>
              <w:tabs>
                <w:tab w:val="left" w:pos="180"/>
                <w:tab w:val="left" w:pos="3600"/>
                <w:tab w:val="left" w:pos="7920"/>
              </w:tabs>
              <w:rPr>
                <w:sz w:val="20"/>
                <w:szCs w:val="20"/>
              </w:rPr>
            </w:pPr>
            <w:r w:rsidRPr="00E239E3">
              <w:rPr>
                <w:sz w:val="20"/>
                <w:szCs w:val="20"/>
              </w:rPr>
              <w:tab/>
              <w:t>Year ended December 31, 2020</w:t>
            </w:r>
          </w:p>
        </w:tc>
        <w:tc>
          <w:tcPr>
            <w:tcW w:w="1319" w:type="dxa"/>
          </w:tcPr>
          <w:p w14:paraId="16759A9A" w14:textId="77777777" w:rsidR="00E239E3" w:rsidRPr="00E239E3" w:rsidRDefault="00E239E3" w:rsidP="00E239E3">
            <w:pPr>
              <w:tabs>
                <w:tab w:val="decimal" w:pos="1062"/>
                <w:tab w:val="left" w:pos="2340"/>
                <w:tab w:val="left" w:pos="3600"/>
                <w:tab w:val="left" w:pos="7920"/>
              </w:tabs>
              <w:rPr>
                <w:sz w:val="20"/>
                <w:szCs w:val="20"/>
              </w:rPr>
            </w:pPr>
            <w:r w:rsidRPr="00E239E3">
              <w:rPr>
                <w:sz w:val="20"/>
                <w:szCs w:val="20"/>
              </w:rPr>
              <w:t>$</w:t>
            </w:r>
            <w:r w:rsidRPr="00E239E3">
              <w:rPr>
                <w:sz w:val="20"/>
                <w:szCs w:val="20"/>
              </w:rPr>
              <w:tab/>
              <w:t>18,787,230</w:t>
            </w:r>
          </w:p>
        </w:tc>
        <w:tc>
          <w:tcPr>
            <w:tcW w:w="1371" w:type="dxa"/>
          </w:tcPr>
          <w:p w14:paraId="38B8C2B7" w14:textId="77777777" w:rsidR="00E239E3" w:rsidRPr="00E239E3" w:rsidRDefault="00E239E3" w:rsidP="00E239E3">
            <w:pPr>
              <w:tabs>
                <w:tab w:val="decimal" w:pos="1088"/>
                <w:tab w:val="left" w:pos="3600"/>
                <w:tab w:val="left" w:pos="7920"/>
              </w:tabs>
              <w:rPr>
                <w:sz w:val="20"/>
                <w:szCs w:val="20"/>
              </w:rPr>
            </w:pPr>
            <w:r w:rsidRPr="00E239E3">
              <w:rPr>
                <w:sz w:val="20"/>
                <w:szCs w:val="20"/>
              </w:rPr>
              <w:t>$</w:t>
            </w:r>
            <w:r w:rsidRPr="00E239E3">
              <w:rPr>
                <w:sz w:val="20"/>
                <w:szCs w:val="20"/>
              </w:rPr>
              <w:tab/>
              <w:t>(2,811,563)</w:t>
            </w:r>
          </w:p>
        </w:tc>
        <w:tc>
          <w:tcPr>
            <w:tcW w:w="1307" w:type="dxa"/>
          </w:tcPr>
          <w:p w14:paraId="2312A5DF" w14:textId="77777777" w:rsidR="00E239E3" w:rsidRPr="00E239E3" w:rsidRDefault="00E239E3" w:rsidP="00E239E3">
            <w:pPr>
              <w:tabs>
                <w:tab w:val="decimal" w:pos="1023"/>
                <w:tab w:val="left" w:pos="2340"/>
                <w:tab w:val="left" w:pos="3600"/>
                <w:tab w:val="left" w:pos="7920"/>
              </w:tabs>
              <w:rPr>
                <w:sz w:val="20"/>
                <w:szCs w:val="20"/>
              </w:rPr>
            </w:pPr>
            <w:r w:rsidRPr="00E239E3">
              <w:rPr>
                <w:sz w:val="20"/>
                <w:szCs w:val="20"/>
              </w:rPr>
              <w:t>$</w:t>
            </w:r>
            <w:r w:rsidRPr="00E239E3">
              <w:rPr>
                <w:sz w:val="20"/>
                <w:szCs w:val="20"/>
              </w:rPr>
              <w:tab/>
              <w:t>-0-</w:t>
            </w:r>
          </w:p>
        </w:tc>
        <w:tc>
          <w:tcPr>
            <w:tcW w:w="1328" w:type="dxa"/>
          </w:tcPr>
          <w:p w14:paraId="1D72291E" w14:textId="77777777" w:rsidR="00E239E3" w:rsidRPr="00E239E3" w:rsidRDefault="00E239E3" w:rsidP="00E239E3">
            <w:pPr>
              <w:tabs>
                <w:tab w:val="decimal" w:pos="1048"/>
                <w:tab w:val="left" w:pos="2340"/>
                <w:tab w:val="left" w:pos="3600"/>
                <w:tab w:val="left" w:pos="7920"/>
              </w:tabs>
              <w:rPr>
                <w:sz w:val="20"/>
                <w:szCs w:val="20"/>
              </w:rPr>
            </w:pPr>
            <w:r w:rsidRPr="00E239E3">
              <w:rPr>
                <w:sz w:val="20"/>
                <w:szCs w:val="20"/>
              </w:rPr>
              <w:t>$</w:t>
            </w:r>
            <w:r w:rsidRPr="00E239E3">
              <w:rPr>
                <w:sz w:val="20"/>
                <w:szCs w:val="20"/>
              </w:rPr>
              <w:tab/>
              <w:t>-0-</w:t>
            </w:r>
          </w:p>
        </w:tc>
        <w:tc>
          <w:tcPr>
            <w:tcW w:w="1463" w:type="dxa"/>
          </w:tcPr>
          <w:p w14:paraId="3FA013DA" w14:textId="77777777" w:rsidR="00E239E3" w:rsidRPr="00E239E3" w:rsidRDefault="00E239E3" w:rsidP="00E239E3">
            <w:pPr>
              <w:tabs>
                <w:tab w:val="decimal" w:pos="1073"/>
                <w:tab w:val="left" w:pos="2340"/>
                <w:tab w:val="left" w:pos="3600"/>
                <w:tab w:val="left" w:pos="7920"/>
              </w:tabs>
              <w:rPr>
                <w:sz w:val="20"/>
                <w:szCs w:val="20"/>
              </w:rPr>
            </w:pPr>
            <w:r w:rsidRPr="00E239E3">
              <w:rPr>
                <w:sz w:val="20"/>
                <w:szCs w:val="20"/>
              </w:rPr>
              <w:t>$</w:t>
            </w:r>
            <w:r w:rsidRPr="00E239E3">
              <w:rPr>
                <w:sz w:val="20"/>
                <w:szCs w:val="20"/>
              </w:rPr>
              <w:tab/>
              <w:t>15,975,667</w:t>
            </w:r>
          </w:p>
        </w:tc>
      </w:tr>
      <w:bookmarkEnd w:id="86"/>
    </w:tbl>
    <w:p w14:paraId="0D7B5664" w14:textId="77777777" w:rsidR="00E239E3" w:rsidRPr="00E239E3" w:rsidRDefault="00E239E3" w:rsidP="00E239E3">
      <w:pPr>
        <w:tabs>
          <w:tab w:val="left" w:pos="1080"/>
          <w:tab w:val="left" w:pos="2340"/>
          <w:tab w:val="left" w:pos="3600"/>
          <w:tab w:val="left" w:pos="7920"/>
        </w:tabs>
        <w:rPr>
          <w:sz w:val="20"/>
          <w:szCs w:val="20"/>
        </w:rPr>
      </w:pPr>
    </w:p>
    <w:p w14:paraId="4FADF718" w14:textId="77777777" w:rsidR="00E239E3" w:rsidRPr="00E239E3" w:rsidRDefault="00E239E3" w:rsidP="00E239E3">
      <w:pPr>
        <w:tabs>
          <w:tab w:val="left" w:pos="1080"/>
          <w:tab w:val="left" w:pos="2340"/>
          <w:tab w:val="left" w:pos="3600"/>
          <w:tab w:val="left" w:pos="7920"/>
        </w:tabs>
        <w:rPr>
          <w:sz w:val="20"/>
          <w:szCs w:val="20"/>
        </w:rPr>
      </w:pPr>
    </w:p>
    <w:p w14:paraId="5FED3978" w14:textId="77777777" w:rsidR="00E239E3" w:rsidRPr="00E239E3" w:rsidRDefault="00E239E3" w:rsidP="00E239E3">
      <w:pPr>
        <w:tabs>
          <w:tab w:val="left" w:pos="1080"/>
          <w:tab w:val="left" w:pos="2340"/>
          <w:tab w:val="left" w:pos="3600"/>
          <w:tab w:val="left" w:pos="7920"/>
        </w:tabs>
        <w:rPr>
          <w:sz w:val="20"/>
          <w:szCs w:val="20"/>
        </w:rPr>
      </w:pPr>
    </w:p>
    <w:p w14:paraId="62ABE18F" w14:textId="77777777" w:rsidR="009E143B" w:rsidRDefault="008A3183" w:rsidP="008A3183">
      <w:pPr>
        <w:ind w:left="144" w:right="144"/>
        <w:rPr>
          <w:sz w:val="20"/>
          <w:szCs w:val="20"/>
        </w:rPr>
        <w:sectPr w:rsidR="009E143B" w:rsidSect="001A664B">
          <w:pgSz w:w="12240" w:h="15840"/>
          <w:pgMar w:top="1440" w:right="1440" w:bottom="1440" w:left="1440" w:header="720" w:footer="720" w:gutter="0"/>
          <w:cols w:space="720"/>
          <w:docGrid w:linePitch="326"/>
        </w:sectPr>
      </w:pPr>
      <w:r>
        <w:rPr>
          <w:sz w:val="20"/>
          <w:szCs w:val="20"/>
        </w:rPr>
        <w:t> </w:t>
      </w:r>
    </w:p>
    <w:p w14:paraId="76F91EA3" w14:textId="77777777" w:rsidR="008A3183" w:rsidRDefault="008A3183" w:rsidP="008A3183">
      <w:pPr>
        <w:ind w:left="144" w:right="144"/>
        <w:rPr>
          <w:sz w:val="20"/>
          <w:szCs w:val="20"/>
        </w:rPr>
      </w:pPr>
    </w:p>
    <w:p w14:paraId="4E193E70" w14:textId="77777777" w:rsidR="008A3183" w:rsidRDefault="008A3183" w:rsidP="001A664B">
      <w:pPr>
        <w:rPr>
          <w:sz w:val="20"/>
          <w:szCs w:val="20"/>
        </w:rPr>
      </w:pPr>
    </w:p>
    <w:p w14:paraId="397D25D4" w14:textId="77777777" w:rsidR="001A664B" w:rsidRPr="001A664B" w:rsidRDefault="001A664B" w:rsidP="001A664B">
      <w:pPr>
        <w:rPr>
          <w:sz w:val="20"/>
          <w:szCs w:val="20"/>
        </w:rPr>
      </w:pPr>
    </w:p>
    <w:p w14:paraId="11211960" w14:textId="77777777" w:rsidR="001A664B" w:rsidRPr="001A664B" w:rsidRDefault="001A664B" w:rsidP="001A664B">
      <w:pPr>
        <w:ind w:firstLine="720"/>
        <w:rPr>
          <w:sz w:val="20"/>
          <w:szCs w:val="20"/>
        </w:rPr>
      </w:pPr>
    </w:p>
    <w:p w14:paraId="3DD725CE" w14:textId="77777777" w:rsidR="001A664B" w:rsidRPr="001A664B" w:rsidRDefault="001A664B" w:rsidP="001A664B">
      <w:pPr>
        <w:ind w:firstLine="720"/>
        <w:rPr>
          <w:sz w:val="20"/>
          <w:szCs w:val="20"/>
        </w:rPr>
      </w:pPr>
    </w:p>
    <w:p w14:paraId="01D236F1" w14:textId="77777777" w:rsidR="009E143B" w:rsidRDefault="009E143B" w:rsidP="009E143B">
      <w:pPr>
        <w:jc w:val="center"/>
        <w:rPr>
          <w:sz w:val="20"/>
          <w:szCs w:val="20"/>
        </w:rPr>
      </w:pPr>
      <w:r>
        <w:rPr>
          <w:noProof/>
        </w:rPr>
        <w:drawing>
          <wp:inline distT="0" distB="0" distL="0" distR="0" wp14:anchorId="2447FAD2" wp14:editId="786E1AC2">
            <wp:extent cx="3419475" cy="10096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419475" cy="1009650"/>
                    </a:xfrm>
                    <a:prstGeom prst="rect">
                      <a:avLst/>
                    </a:prstGeom>
                  </pic:spPr>
                </pic:pic>
              </a:graphicData>
            </a:graphic>
          </wp:inline>
        </w:drawing>
      </w:r>
    </w:p>
    <w:p w14:paraId="78926CA0" w14:textId="77777777" w:rsidR="009E143B" w:rsidRDefault="009E143B" w:rsidP="009E143B">
      <w:pPr>
        <w:jc w:val="center"/>
        <w:rPr>
          <w:sz w:val="20"/>
          <w:szCs w:val="20"/>
        </w:rPr>
      </w:pPr>
      <w:r>
        <w:rPr>
          <w:b/>
          <w:bCs/>
          <w:sz w:val="20"/>
          <w:szCs w:val="20"/>
        </w:rPr>
        <w:t> </w:t>
      </w:r>
    </w:p>
    <w:p w14:paraId="245E355C" w14:textId="77777777" w:rsidR="009E143B" w:rsidRDefault="009E143B" w:rsidP="009E143B">
      <w:pPr>
        <w:jc w:val="center"/>
        <w:rPr>
          <w:sz w:val="20"/>
          <w:szCs w:val="20"/>
        </w:rPr>
      </w:pPr>
      <w:r>
        <w:rPr>
          <w:b/>
          <w:bCs/>
          <w:sz w:val="20"/>
          <w:szCs w:val="20"/>
        </w:rPr>
        <w:t>GEOVAX LABS, INC.</w:t>
      </w:r>
    </w:p>
    <w:p w14:paraId="4D31BEF2" w14:textId="77777777" w:rsidR="009E143B" w:rsidRDefault="009E143B" w:rsidP="009E143B">
      <w:pPr>
        <w:jc w:val="center"/>
        <w:rPr>
          <w:sz w:val="20"/>
          <w:szCs w:val="20"/>
        </w:rPr>
      </w:pPr>
      <w:r>
        <w:rPr>
          <w:sz w:val="20"/>
          <w:szCs w:val="20"/>
        </w:rPr>
        <w:t> </w:t>
      </w:r>
    </w:p>
    <w:p w14:paraId="0877306B" w14:textId="5BFF7C0C" w:rsidR="009E143B" w:rsidRDefault="0091389D" w:rsidP="009E143B">
      <w:pPr>
        <w:jc w:val="center"/>
        <w:rPr>
          <w:sz w:val="20"/>
          <w:szCs w:val="20"/>
        </w:rPr>
      </w:pPr>
      <w:r>
        <w:rPr>
          <w:b/>
          <w:bCs/>
          <w:sz w:val="20"/>
          <w:szCs w:val="20"/>
        </w:rPr>
        <w:t>21,4</w:t>
      </w:r>
      <w:r w:rsidR="00B73392" w:rsidRPr="00B73392">
        <w:rPr>
          <w:b/>
          <w:bCs/>
          <w:sz w:val="20"/>
          <w:szCs w:val="20"/>
        </w:rPr>
        <w:t>12,124</w:t>
      </w:r>
      <w:r w:rsidR="009E143B">
        <w:rPr>
          <w:b/>
          <w:bCs/>
          <w:sz w:val="20"/>
          <w:szCs w:val="20"/>
        </w:rPr>
        <w:t xml:space="preserve"> Shares of Common Stock</w:t>
      </w:r>
    </w:p>
    <w:p w14:paraId="5F893EED" w14:textId="77777777" w:rsidR="001A664B" w:rsidRDefault="001A664B" w:rsidP="001A664B">
      <w:pPr>
        <w:ind w:firstLine="720"/>
        <w:jc w:val="center"/>
        <w:rPr>
          <w:b/>
          <w:sz w:val="20"/>
          <w:szCs w:val="20"/>
        </w:rPr>
      </w:pPr>
    </w:p>
    <w:p w14:paraId="2F4003EF" w14:textId="77777777" w:rsidR="001A664B" w:rsidRDefault="001A664B" w:rsidP="001A664B">
      <w:pPr>
        <w:ind w:firstLine="720"/>
        <w:jc w:val="center"/>
        <w:rPr>
          <w:b/>
          <w:sz w:val="20"/>
          <w:szCs w:val="20"/>
        </w:rPr>
      </w:pPr>
    </w:p>
    <w:p w14:paraId="45E3A8A3" w14:textId="77777777" w:rsidR="001A664B" w:rsidRPr="001A664B" w:rsidRDefault="001A664B" w:rsidP="001A664B">
      <w:pPr>
        <w:ind w:firstLine="720"/>
        <w:jc w:val="center"/>
        <w:rPr>
          <w:b/>
          <w:sz w:val="20"/>
          <w:szCs w:val="20"/>
        </w:rPr>
        <w:sectPr w:rsidR="001A664B" w:rsidRPr="001A664B" w:rsidSect="001A664B">
          <w:footerReference w:type="default" r:id="rId24"/>
          <w:pgSz w:w="12240" w:h="15840"/>
          <w:pgMar w:top="1440" w:right="1440" w:bottom="1440" w:left="1440" w:header="720" w:footer="720" w:gutter="0"/>
          <w:cols w:space="720"/>
          <w:docGrid w:linePitch="326"/>
        </w:sectPr>
      </w:pPr>
    </w:p>
    <w:p w14:paraId="49C953A0" w14:textId="77777777" w:rsidR="0087113F" w:rsidRDefault="004837DC">
      <w:pPr>
        <w:jc w:val="center"/>
        <w:rPr>
          <w:sz w:val="20"/>
          <w:szCs w:val="20"/>
        </w:rPr>
      </w:pPr>
      <w:r>
        <w:rPr>
          <w:b/>
          <w:bCs/>
          <w:sz w:val="20"/>
          <w:szCs w:val="20"/>
        </w:rPr>
        <w:lastRenderedPageBreak/>
        <w:t>PART II</w:t>
      </w:r>
    </w:p>
    <w:p w14:paraId="4B99F5DE" w14:textId="77777777" w:rsidR="0087113F" w:rsidRDefault="004837DC">
      <w:pPr>
        <w:jc w:val="center"/>
        <w:rPr>
          <w:sz w:val="20"/>
          <w:szCs w:val="20"/>
        </w:rPr>
      </w:pPr>
      <w:r>
        <w:rPr>
          <w:sz w:val="20"/>
          <w:szCs w:val="20"/>
        </w:rPr>
        <w:t> </w:t>
      </w:r>
    </w:p>
    <w:p w14:paraId="6C7A3032" w14:textId="77777777" w:rsidR="0087113F" w:rsidRDefault="004837DC">
      <w:pPr>
        <w:jc w:val="center"/>
        <w:rPr>
          <w:sz w:val="20"/>
          <w:szCs w:val="20"/>
        </w:rPr>
      </w:pPr>
      <w:r>
        <w:rPr>
          <w:b/>
          <w:bCs/>
          <w:sz w:val="20"/>
          <w:szCs w:val="20"/>
        </w:rPr>
        <w:t>INFORMATION NOT REQUIRED IN PROSPECTUS</w:t>
      </w:r>
    </w:p>
    <w:p w14:paraId="2697D33F" w14:textId="77777777" w:rsidR="0087113F" w:rsidRDefault="004837DC">
      <w:pPr>
        <w:jc w:val="center"/>
        <w:rPr>
          <w:sz w:val="20"/>
          <w:szCs w:val="20"/>
        </w:rPr>
      </w:pPr>
      <w:r>
        <w:rPr>
          <w:b/>
          <w:bCs/>
          <w:sz w:val="20"/>
          <w:szCs w:val="20"/>
        </w:rPr>
        <w:t> </w:t>
      </w:r>
    </w:p>
    <w:p w14:paraId="298FCCB6" w14:textId="77777777" w:rsidR="0087113F" w:rsidRPr="000036AE" w:rsidRDefault="004837DC">
      <w:pPr>
        <w:jc w:val="both"/>
        <w:rPr>
          <w:sz w:val="20"/>
          <w:szCs w:val="20"/>
        </w:rPr>
      </w:pPr>
      <w:r w:rsidRPr="000036AE">
        <w:rPr>
          <w:b/>
          <w:bCs/>
          <w:sz w:val="20"/>
          <w:szCs w:val="20"/>
        </w:rPr>
        <w:t>Item 13. Other Expenses of Issuance and Distribution.</w:t>
      </w:r>
    </w:p>
    <w:p w14:paraId="0CAD3E22" w14:textId="4F41EF19" w:rsidR="0087113F" w:rsidRPr="000036AE" w:rsidRDefault="0087113F">
      <w:pPr>
        <w:jc w:val="both"/>
        <w:rPr>
          <w:sz w:val="20"/>
          <w:szCs w:val="20"/>
        </w:rPr>
      </w:pPr>
    </w:p>
    <w:p w14:paraId="6D3553EC" w14:textId="77777777" w:rsidR="0087113F" w:rsidRPr="000036AE" w:rsidRDefault="004837DC">
      <w:pPr>
        <w:ind w:firstLine="720"/>
        <w:jc w:val="both"/>
        <w:rPr>
          <w:sz w:val="20"/>
          <w:szCs w:val="20"/>
        </w:rPr>
      </w:pPr>
      <w:r w:rsidRPr="000036AE">
        <w:rPr>
          <w:sz w:val="20"/>
          <w:szCs w:val="20"/>
        </w:rPr>
        <w:t>The following table sets forth the fees and expenses payable in connection with the registration of the securities hereunder. All amounts are estimates except the SEC registration fee.</w:t>
      </w:r>
    </w:p>
    <w:p w14:paraId="31E18011" w14:textId="77777777" w:rsidR="0087113F" w:rsidRPr="000036AE" w:rsidRDefault="004837DC">
      <w:pPr>
        <w:ind w:firstLine="720"/>
        <w:jc w:val="both"/>
        <w:rPr>
          <w:sz w:val="20"/>
          <w:szCs w:val="20"/>
        </w:rPr>
      </w:pPr>
      <w:r w:rsidRPr="000036AE">
        <w:rPr>
          <w:sz w:val="20"/>
          <w:szCs w:val="20"/>
        </w:rPr>
        <w:t> </w:t>
      </w:r>
    </w:p>
    <w:tbl>
      <w:tblPr>
        <w:tblW w:w="5000" w:type="pct"/>
        <w:tblCellMar>
          <w:left w:w="0" w:type="dxa"/>
          <w:right w:w="0" w:type="dxa"/>
        </w:tblCellMar>
        <w:tblLook w:val="04A0" w:firstRow="1" w:lastRow="0" w:firstColumn="1" w:lastColumn="0" w:noHBand="0" w:noVBand="1"/>
      </w:tblPr>
      <w:tblGrid>
        <w:gridCol w:w="5699"/>
        <w:gridCol w:w="108"/>
        <w:gridCol w:w="531"/>
        <w:gridCol w:w="2914"/>
        <w:gridCol w:w="108"/>
      </w:tblGrid>
      <w:tr w:rsidR="0087113F" w:rsidRPr="000036AE" w14:paraId="1F2EF904" w14:textId="77777777" w:rsidTr="000036AE">
        <w:trPr>
          <w:cantSplit/>
        </w:trPr>
        <w:tc>
          <w:tcPr>
            <w:tcW w:w="0" w:type="auto"/>
            <w:tcBorders>
              <w:bottom w:val="single" w:sz="12" w:space="0" w:color="000000"/>
            </w:tcBorders>
            <w:shd w:val="clear" w:color="auto" w:fill="auto"/>
            <w:tcMar>
              <w:top w:w="0" w:type="dxa"/>
              <w:left w:w="0" w:type="dxa"/>
              <w:bottom w:w="0" w:type="dxa"/>
              <w:right w:w="0" w:type="dxa"/>
            </w:tcMar>
            <w:vAlign w:val="bottom"/>
            <w:hideMark/>
          </w:tcPr>
          <w:p w14:paraId="32FAE56B" w14:textId="77777777" w:rsidR="0087113F" w:rsidRPr="000036AE" w:rsidRDefault="004837DC">
            <w:pPr>
              <w:rPr>
                <w:b/>
                <w:bCs/>
                <w:color w:val="000000"/>
                <w:sz w:val="20"/>
                <w:szCs w:val="20"/>
              </w:rPr>
            </w:pPr>
            <w:r w:rsidRPr="000036AE">
              <w:rPr>
                <w:b/>
                <w:bCs/>
                <w:color w:val="000000"/>
                <w:sz w:val="20"/>
                <w:szCs w:val="20"/>
              </w:rPr>
              <w:t>Item</w:t>
            </w:r>
          </w:p>
        </w:tc>
        <w:tc>
          <w:tcPr>
            <w:tcW w:w="0" w:type="auto"/>
            <w:shd w:val="clear" w:color="auto" w:fill="auto"/>
            <w:tcMar>
              <w:top w:w="0" w:type="dxa"/>
              <w:left w:w="0" w:type="dxa"/>
              <w:bottom w:w="35" w:type="dxa"/>
              <w:right w:w="0" w:type="dxa"/>
            </w:tcMar>
            <w:vAlign w:val="bottom"/>
            <w:hideMark/>
          </w:tcPr>
          <w:p w14:paraId="5E3FFA28" w14:textId="77777777" w:rsidR="0087113F" w:rsidRPr="000036AE" w:rsidRDefault="004837DC">
            <w:pPr>
              <w:rPr>
                <w:b/>
                <w:bCs/>
                <w:color w:val="000000"/>
                <w:sz w:val="20"/>
                <w:szCs w:val="20"/>
              </w:rPr>
            </w:pPr>
            <w:r w:rsidRPr="000036AE">
              <w:rPr>
                <w:b/>
                <w:bCs/>
                <w:color w:val="000000"/>
                <w:sz w:val="20"/>
                <w:szCs w:val="20"/>
              </w:rPr>
              <w:t> </w:t>
            </w:r>
          </w:p>
        </w:tc>
        <w:tc>
          <w:tcPr>
            <w:tcW w:w="0" w:type="auto"/>
            <w:gridSpan w:val="2"/>
            <w:tcBorders>
              <w:bottom w:val="single" w:sz="12" w:space="0" w:color="000000"/>
            </w:tcBorders>
            <w:shd w:val="clear" w:color="auto" w:fill="auto"/>
            <w:tcMar>
              <w:top w:w="0" w:type="dxa"/>
              <w:left w:w="0" w:type="dxa"/>
              <w:bottom w:w="0" w:type="dxa"/>
              <w:right w:w="0" w:type="dxa"/>
            </w:tcMar>
            <w:vAlign w:val="bottom"/>
            <w:hideMark/>
          </w:tcPr>
          <w:p w14:paraId="576CCAE3" w14:textId="77777777" w:rsidR="0087113F" w:rsidRPr="000036AE" w:rsidRDefault="004837DC">
            <w:pPr>
              <w:jc w:val="center"/>
              <w:rPr>
                <w:b/>
                <w:bCs/>
                <w:color w:val="000000"/>
                <w:sz w:val="20"/>
                <w:szCs w:val="20"/>
              </w:rPr>
            </w:pPr>
            <w:r w:rsidRPr="000036AE">
              <w:rPr>
                <w:b/>
                <w:bCs/>
                <w:color w:val="000000"/>
                <w:sz w:val="20"/>
                <w:szCs w:val="20"/>
              </w:rPr>
              <w:t>Amount to be paid</w:t>
            </w:r>
          </w:p>
        </w:tc>
        <w:tc>
          <w:tcPr>
            <w:tcW w:w="0" w:type="auto"/>
            <w:shd w:val="clear" w:color="auto" w:fill="auto"/>
            <w:tcMar>
              <w:top w:w="0" w:type="dxa"/>
              <w:left w:w="0" w:type="dxa"/>
              <w:bottom w:w="35" w:type="dxa"/>
              <w:right w:w="0" w:type="dxa"/>
            </w:tcMar>
            <w:vAlign w:val="bottom"/>
            <w:hideMark/>
          </w:tcPr>
          <w:p w14:paraId="03B0580F" w14:textId="77777777" w:rsidR="0087113F" w:rsidRPr="000036AE" w:rsidRDefault="004837DC">
            <w:pPr>
              <w:rPr>
                <w:b/>
                <w:bCs/>
                <w:color w:val="000000"/>
                <w:sz w:val="20"/>
                <w:szCs w:val="20"/>
              </w:rPr>
            </w:pPr>
            <w:r w:rsidRPr="000036AE">
              <w:rPr>
                <w:b/>
                <w:bCs/>
                <w:color w:val="000000"/>
                <w:sz w:val="20"/>
                <w:szCs w:val="20"/>
              </w:rPr>
              <w:t> </w:t>
            </w:r>
          </w:p>
        </w:tc>
      </w:tr>
      <w:tr w:rsidR="001A307C" w:rsidRPr="000036AE" w14:paraId="22A6A66E" w14:textId="77777777" w:rsidTr="000036AE">
        <w:trPr>
          <w:cantSplit/>
        </w:trPr>
        <w:tc>
          <w:tcPr>
            <w:tcW w:w="0" w:type="auto"/>
            <w:shd w:val="clear" w:color="auto" w:fill="auto"/>
            <w:tcMar>
              <w:top w:w="0" w:type="dxa"/>
              <w:left w:w="0" w:type="dxa"/>
              <w:bottom w:w="35" w:type="dxa"/>
              <w:right w:w="0" w:type="dxa"/>
            </w:tcMar>
            <w:vAlign w:val="bottom"/>
            <w:hideMark/>
          </w:tcPr>
          <w:p w14:paraId="6813BF74" w14:textId="77777777" w:rsidR="0087113F" w:rsidRPr="000036AE" w:rsidRDefault="004837DC">
            <w:pPr>
              <w:rPr>
                <w:color w:val="000000"/>
                <w:sz w:val="20"/>
                <w:szCs w:val="20"/>
              </w:rPr>
            </w:pPr>
            <w:r w:rsidRPr="000036AE">
              <w:rPr>
                <w:color w:val="000000"/>
                <w:sz w:val="20"/>
                <w:szCs w:val="20"/>
              </w:rPr>
              <w:t>SEC registration fee</w:t>
            </w:r>
          </w:p>
        </w:tc>
        <w:tc>
          <w:tcPr>
            <w:tcW w:w="0" w:type="auto"/>
            <w:shd w:val="clear" w:color="auto" w:fill="auto"/>
            <w:tcMar>
              <w:top w:w="0" w:type="dxa"/>
              <w:left w:w="0" w:type="dxa"/>
              <w:bottom w:w="35" w:type="dxa"/>
              <w:right w:w="0" w:type="dxa"/>
            </w:tcMar>
            <w:vAlign w:val="bottom"/>
            <w:hideMark/>
          </w:tcPr>
          <w:p w14:paraId="58A4BD66" w14:textId="77777777" w:rsidR="0087113F" w:rsidRPr="000036AE" w:rsidRDefault="004837DC">
            <w:pPr>
              <w:rPr>
                <w:color w:val="000000"/>
                <w:sz w:val="20"/>
                <w:szCs w:val="20"/>
              </w:rPr>
            </w:pPr>
            <w:r w:rsidRPr="000036AE">
              <w:rPr>
                <w:color w:val="000000"/>
                <w:sz w:val="20"/>
                <w:szCs w:val="20"/>
              </w:rPr>
              <w:t> </w:t>
            </w:r>
          </w:p>
        </w:tc>
        <w:tc>
          <w:tcPr>
            <w:tcW w:w="0" w:type="auto"/>
            <w:shd w:val="clear" w:color="auto" w:fill="auto"/>
            <w:tcMar>
              <w:top w:w="0" w:type="dxa"/>
              <w:left w:w="0" w:type="dxa"/>
              <w:bottom w:w="0" w:type="dxa"/>
              <w:right w:w="0" w:type="dxa"/>
            </w:tcMar>
            <w:vAlign w:val="bottom"/>
            <w:hideMark/>
          </w:tcPr>
          <w:p w14:paraId="4302E059" w14:textId="77777777" w:rsidR="0087113F" w:rsidRPr="000036AE" w:rsidRDefault="004837DC">
            <w:pPr>
              <w:rPr>
                <w:color w:val="000000"/>
                <w:sz w:val="20"/>
                <w:szCs w:val="20"/>
              </w:rPr>
            </w:pPr>
            <w:r w:rsidRPr="000036AE">
              <w:rPr>
                <w:color w:val="000000"/>
                <w:sz w:val="20"/>
                <w:szCs w:val="20"/>
              </w:rPr>
              <w:t>$</w:t>
            </w:r>
          </w:p>
        </w:tc>
        <w:tc>
          <w:tcPr>
            <w:tcW w:w="0" w:type="auto"/>
            <w:shd w:val="clear" w:color="auto" w:fill="auto"/>
            <w:tcMar>
              <w:top w:w="0" w:type="dxa"/>
              <w:left w:w="0" w:type="dxa"/>
              <w:bottom w:w="0" w:type="dxa"/>
              <w:right w:w="0" w:type="dxa"/>
            </w:tcMar>
            <w:vAlign w:val="bottom"/>
            <w:hideMark/>
          </w:tcPr>
          <w:p w14:paraId="60659E8E" w14:textId="5425A5A0" w:rsidR="0087113F" w:rsidRPr="000036AE" w:rsidRDefault="001A307C">
            <w:pPr>
              <w:jc w:val="right"/>
              <w:rPr>
                <w:color w:val="000000"/>
                <w:sz w:val="20"/>
                <w:szCs w:val="20"/>
              </w:rPr>
            </w:pPr>
            <w:r>
              <w:rPr>
                <w:color w:val="000000"/>
                <w:sz w:val="20"/>
                <w:szCs w:val="20"/>
              </w:rPr>
              <w:t>2,918</w:t>
            </w:r>
          </w:p>
        </w:tc>
        <w:tc>
          <w:tcPr>
            <w:tcW w:w="0" w:type="auto"/>
            <w:shd w:val="clear" w:color="auto" w:fill="auto"/>
            <w:tcMar>
              <w:top w:w="0" w:type="dxa"/>
              <w:left w:w="0" w:type="dxa"/>
              <w:bottom w:w="35" w:type="dxa"/>
              <w:right w:w="0" w:type="dxa"/>
            </w:tcMar>
            <w:vAlign w:val="bottom"/>
            <w:hideMark/>
          </w:tcPr>
          <w:p w14:paraId="3580A0D4" w14:textId="6ABB9F7F" w:rsidR="0087113F" w:rsidRPr="000036AE" w:rsidRDefault="004837DC">
            <w:pPr>
              <w:rPr>
                <w:color w:val="000000"/>
                <w:sz w:val="20"/>
                <w:szCs w:val="20"/>
              </w:rPr>
            </w:pPr>
            <w:r w:rsidRPr="000036AE">
              <w:rPr>
                <w:color w:val="000000"/>
                <w:sz w:val="20"/>
                <w:szCs w:val="20"/>
              </w:rPr>
              <w:t> </w:t>
            </w:r>
          </w:p>
        </w:tc>
      </w:tr>
      <w:tr w:rsidR="001A307C" w:rsidRPr="000036AE" w14:paraId="7BD4397B" w14:textId="77777777" w:rsidTr="000036AE">
        <w:trPr>
          <w:cantSplit/>
        </w:trPr>
        <w:tc>
          <w:tcPr>
            <w:tcW w:w="0" w:type="auto"/>
            <w:shd w:val="clear" w:color="auto" w:fill="auto"/>
            <w:tcMar>
              <w:top w:w="0" w:type="dxa"/>
              <w:left w:w="0" w:type="dxa"/>
              <w:bottom w:w="35" w:type="dxa"/>
              <w:right w:w="0" w:type="dxa"/>
            </w:tcMar>
            <w:vAlign w:val="bottom"/>
            <w:hideMark/>
          </w:tcPr>
          <w:p w14:paraId="6E4B9363" w14:textId="77777777" w:rsidR="0087113F" w:rsidRPr="000036AE" w:rsidRDefault="004837DC">
            <w:pPr>
              <w:rPr>
                <w:color w:val="000000"/>
                <w:sz w:val="20"/>
                <w:szCs w:val="20"/>
              </w:rPr>
            </w:pPr>
            <w:r w:rsidRPr="000036AE">
              <w:rPr>
                <w:color w:val="000000"/>
                <w:sz w:val="20"/>
                <w:szCs w:val="20"/>
              </w:rPr>
              <w:t>Legal fees and expenses</w:t>
            </w:r>
          </w:p>
        </w:tc>
        <w:tc>
          <w:tcPr>
            <w:tcW w:w="0" w:type="auto"/>
            <w:shd w:val="clear" w:color="auto" w:fill="auto"/>
            <w:tcMar>
              <w:top w:w="0" w:type="dxa"/>
              <w:left w:w="0" w:type="dxa"/>
              <w:bottom w:w="35" w:type="dxa"/>
              <w:right w:w="0" w:type="dxa"/>
            </w:tcMar>
            <w:vAlign w:val="bottom"/>
            <w:hideMark/>
          </w:tcPr>
          <w:p w14:paraId="64623D77" w14:textId="77777777" w:rsidR="0087113F" w:rsidRPr="000036AE" w:rsidRDefault="004837DC">
            <w:pPr>
              <w:rPr>
                <w:color w:val="000000"/>
                <w:sz w:val="20"/>
                <w:szCs w:val="20"/>
              </w:rPr>
            </w:pPr>
            <w:r w:rsidRPr="000036AE">
              <w:rPr>
                <w:color w:val="000000"/>
                <w:sz w:val="20"/>
                <w:szCs w:val="20"/>
              </w:rPr>
              <w:t> </w:t>
            </w:r>
          </w:p>
        </w:tc>
        <w:tc>
          <w:tcPr>
            <w:tcW w:w="0" w:type="auto"/>
            <w:shd w:val="clear" w:color="auto" w:fill="auto"/>
            <w:tcMar>
              <w:top w:w="0" w:type="dxa"/>
              <w:left w:w="0" w:type="dxa"/>
              <w:bottom w:w="0" w:type="dxa"/>
              <w:right w:w="0" w:type="dxa"/>
            </w:tcMar>
            <w:vAlign w:val="bottom"/>
            <w:hideMark/>
          </w:tcPr>
          <w:p w14:paraId="27DCEBDA" w14:textId="77777777" w:rsidR="0087113F" w:rsidRPr="000036AE" w:rsidRDefault="0087113F">
            <w:pPr>
              <w:rPr>
                <w:color w:val="000000"/>
                <w:sz w:val="20"/>
                <w:szCs w:val="20"/>
              </w:rPr>
            </w:pPr>
          </w:p>
        </w:tc>
        <w:tc>
          <w:tcPr>
            <w:tcW w:w="0" w:type="auto"/>
            <w:shd w:val="clear" w:color="auto" w:fill="auto"/>
            <w:tcMar>
              <w:top w:w="0" w:type="dxa"/>
              <w:left w:w="0" w:type="dxa"/>
              <w:bottom w:w="0" w:type="dxa"/>
              <w:right w:w="0" w:type="dxa"/>
            </w:tcMar>
            <w:vAlign w:val="bottom"/>
            <w:hideMark/>
          </w:tcPr>
          <w:p w14:paraId="6150DA11" w14:textId="262808FB" w:rsidR="0087113F" w:rsidRPr="000036AE" w:rsidRDefault="001A307C" w:rsidP="001A307C">
            <w:pPr>
              <w:jc w:val="right"/>
              <w:rPr>
                <w:color w:val="000000"/>
                <w:sz w:val="20"/>
                <w:szCs w:val="20"/>
              </w:rPr>
            </w:pPr>
            <w:r>
              <w:rPr>
                <w:color w:val="000000"/>
                <w:sz w:val="20"/>
                <w:szCs w:val="20"/>
              </w:rPr>
              <w:t>25,000</w:t>
            </w:r>
          </w:p>
        </w:tc>
        <w:tc>
          <w:tcPr>
            <w:tcW w:w="0" w:type="auto"/>
            <w:shd w:val="clear" w:color="auto" w:fill="auto"/>
            <w:tcMar>
              <w:top w:w="0" w:type="dxa"/>
              <w:left w:w="0" w:type="dxa"/>
              <w:bottom w:w="35" w:type="dxa"/>
              <w:right w:w="0" w:type="dxa"/>
            </w:tcMar>
            <w:vAlign w:val="bottom"/>
            <w:hideMark/>
          </w:tcPr>
          <w:p w14:paraId="75CAB024" w14:textId="58B1852E" w:rsidR="0087113F" w:rsidRPr="000036AE" w:rsidRDefault="004837DC">
            <w:pPr>
              <w:rPr>
                <w:color w:val="000000"/>
                <w:sz w:val="20"/>
                <w:szCs w:val="20"/>
              </w:rPr>
            </w:pPr>
            <w:r w:rsidRPr="000036AE">
              <w:rPr>
                <w:color w:val="000000"/>
                <w:sz w:val="20"/>
                <w:szCs w:val="20"/>
              </w:rPr>
              <w:t> </w:t>
            </w:r>
          </w:p>
        </w:tc>
      </w:tr>
      <w:tr w:rsidR="001A307C" w:rsidRPr="000036AE" w14:paraId="1ED03A58" w14:textId="77777777" w:rsidTr="000036AE">
        <w:trPr>
          <w:cantSplit/>
        </w:trPr>
        <w:tc>
          <w:tcPr>
            <w:tcW w:w="0" w:type="auto"/>
            <w:shd w:val="clear" w:color="auto" w:fill="auto"/>
            <w:tcMar>
              <w:top w:w="0" w:type="dxa"/>
              <w:left w:w="0" w:type="dxa"/>
              <w:bottom w:w="35" w:type="dxa"/>
              <w:right w:w="0" w:type="dxa"/>
            </w:tcMar>
            <w:vAlign w:val="bottom"/>
          </w:tcPr>
          <w:p w14:paraId="17AE0CD0" w14:textId="77777777" w:rsidR="000036AE" w:rsidRPr="000036AE" w:rsidRDefault="000036AE">
            <w:pPr>
              <w:rPr>
                <w:color w:val="000000"/>
                <w:sz w:val="20"/>
                <w:szCs w:val="20"/>
              </w:rPr>
            </w:pPr>
            <w:r w:rsidRPr="000036AE">
              <w:rPr>
                <w:color w:val="000000"/>
                <w:sz w:val="20"/>
                <w:szCs w:val="20"/>
              </w:rPr>
              <w:t>Accounting fees and expenses</w:t>
            </w:r>
          </w:p>
        </w:tc>
        <w:tc>
          <w:tcPr>
            <w:tcW w:w="0" w:type="auto"/>
            <w:shd w:val="clear" w:color="auto" w:fill="auto"/>
            <w:tcMar>
              <w:top w:w="0" w:type="dxa"/>
              <w:left w:w="0" w:type="dxa"/>
              <w:bottom w:w="35" w:type="dxa"/>
              <w:right w:w="0" w:type="dxa"/>
            </w:tcMar>
            <w:vAlign w:val="bottom"/>
          </w:tcPr>
          <w:p w14:paraId="0B2E350C" w14:textId="77777777" w:rsidR="000036AE" w:rsidRPr="000036AE" w:rsidRDefault="000036AE">
            <w:pPr>
              <w:rPr>
                <w:color w:val="000000"/>
                <w:sz w:val="20"/>
                <w:szCs w:val="20"/>
              </w:rPr>
            </w:pPr>
          </w:p>
        </w:tc>
        <w:tc>
          <w:tcPr>
            <w:tcW w:w="0" w:type="auto"/>
            <w:shd w:val="clear" w:color="auto" w:fill="auto"/>
            <w:tcMar>
              <w:top w:w="0" w:type="dxa"/>
              <w:left w:w="0" w:type="dxa"/>
              <w:bottom w:w="0" w:type="dxa"/>
              <w:right w:w="0" w:type="dxa"/>
            </w:tcMar>
            <w:vAlign w:val="bottom"/>
          </w:tcPr>
          <w:p w14:paraId="06B5CAA8" w14:textId="77777777" w:rsidR="000036AE" w:rsidRPr="000036AE" w:rsidRDefault="000036AE">
            <w:pPr>
              <w:rPr>
                <w:color w:val="000000"/>
                <w:sz w:val="20"/>
                <w:szCs w:val="20"/>
              </w:rPr>
            </w:pPr>
          </w:p>
        </w:tc>
        <w:tc>
          <w:tcPr>
            <w:tcW w:w="0" w:type="auto"/>
            <w:shd w:val="clear" w:color="auto" w:fill="auto"/>
            <w:tcMar>
              <w:top w:w="0" w:type="dxa"/>
              <w:left w:w="0" w:type="dxa"/>
              <w:bottom w:w="0" w:type="dxa"/>
              <w:right w:w="0" w:type="dxa"/>
            </w:tcMar>
            <w:vAlign w:val="bottom"/>
          </w:tcPr>
          <w:p w14:paraId="072C327A" w14:textId="0BB263A5" w:rsidR="000036AE" w:rsidRPr="000036AE" w:rsidRDefault="001A307C">
            <w:pPr>
              <w:jc w:val="right"/>
              <w:rPr>
                <w:color w:val="000000"/>
                <w:sz w:val="20"/>
                <w:szCs w:val="20"/>
              </w:rPr>
            </w:pPr>
            <w:r>
              <w:rPr>
                <w:color w:val="000000"/>
                <w:sz w:val="20"/>
                <w:szCs w:val="20"/>
              </w:rPr>
              <w:t>6,000</w:t>
            </w:r>
          </w:p>
        </w:tc>
        <w:tc>
          <w:tcPr>
            <w:tcW w:w="0" w:type="auto"/>
            <w:shd w:val="clear" w:color="auto" w:fill="auto"/>
            <w:tcMar>
              <w:top w:w="0" w:type="dxa"/>
              <w:left w:w="0" w:type="dxa"/>
              <w:bottom w:w="35" w:type="dxa"/>
              <w:right w:w="0" w:type="dxa"/>
            </w:tcMar>
            <w:vAlign w:val="bottom"/>
          </w:tcPr>
          <w:p w14:paraId="45992293" w14:textId="77777777" w:rsidR="000036AE" w:rsidRPr="000036AE" w:rsidRDefault="000036AE">
            <w:pPr>
              <w:rPr>
                <w:color w:val="000000"/>
                <w:sz w:val="20"/>
                <w:szCs w:val="20"/>
              </w:rPr>
            </w:pPr>
          </w:p>
        </w:tc>
      </w:tr>
      <w:tr w:rsidR="001A307C" w:rsidRPr="000036AE" w14:paraId="4A416B98" w14:textId="77777777" w:rsidTr="000036AE">
        <w:trPr>
          <w:cantSplit/>
        </w:trPr>
        <w:tc>
          <w:tcPr>
            <w:tcW w:w="0" w:type="auto"/>
            <w:shd w:val="clear" w:color="auto" w:fill="auto"/>
            <w:tcMar>
              <w:top w:w="0" w:type="dxa"/>
              <w:left w:w="0" w:type="dxa"/>
              <w:bottom w:w="35" w:type="dxa"/>
              <w:right w:w="0" w:type="dxa"/>
            </w:tcMar>
            <w:vAlign w:val="bottom"/>
            <w:hideMark/>
          </w:tcPr>
          <w:p w14:paraId="355B0CC0" w14:textId="77777777" w:rsidR="0087113F" w:rsidRPr="000036AE" w:rsidRDefault="000036AE">
            <w:pPr>
              <w:rPr>
                <w:color w:val="000000"/>
                <w:sz w:val="20"/>
                <w:szCs w:val="20"/>
              </w:rPr>
            </w:pPr>
            <w:r>
              <w:rPr>
                <w:color w:val="000000"/>
                <w:sz w:val="20"/>
                <w:szCs w:val="20"/>
              </w:rPr>
              <w:t>Miscellaneous</w:t>
            </w:r>
            <w:r w:rsidR="004837DC" w:rsidRPr="000036AE">
              <w:rPr>
                <w:color w:val="000000"/>
                <w:sz w:val="20"/>
                <w:szCs w:val="20"/>
              </w:rPr>
              <w:t xml:space="preserve"> fees and expenses</w:t>
            </w:r>
          </w:p>
        </w:tc>
        <w:tc>
          <w:tcPr>
            <w:tcW w:w="0" w:type="auto"/>
            <w:shd w:val="clear" w:color="auto" w:fill="auto"/>
            <w:tcMar>
              <w:top w:w="0" w:type="dxa"/>
              <w:left w:w="0" w:type="dxa"/>
              <w:bottom w:w="35" w:type="dxa"/>
              <w:right w:w="0" w:type="dxa"/>
            </w:tcMar>
            <w:vAlign w:val="bottom"/>
            <w:hideMark/>
          </w:tcPr>
          <w:p w14:paraId="0104DFDF" w14:textId="77777777" w:rsidR="0087113F" w:rsidRPr="000036AE" w:rsidRDefault="004837DC">
            <w:pPr>
              <w:rPr>
                <w:color w:val="000000"/>
                <w:sz w:val="20"/>
                <w:szCs w:val="20"/>
              </w:rPr>
            </w:pPr>
            <w:r w:rsidRPr="000036AE">
              <w:rPr>
                <w:color w:val="000000"/>
                <w:sz w:val="20"/>
                <w:szCs w:val="20"/>
              </w:rPr>
              <w:t> </w:t>
            </w:r>
          </w:p>
        </w:tc>
        <w:tc>
          <w:tcPr>
            <w:tcW w:w="0" w:type="auto"/>
            <w:tcBorders>
              <w:bottom w:val="single" w:sz="12" w:space="0" w:color="000000"/>
            </w:tcBorders>
            <w:shd w:val="clear" w:color="auto" w:fill="auto"/>
            <w:tcMar>
              <w:top w:w="0" w:type="dxa"/>
              <w:left w:w="0" w:type="dxa"/>
              <w:bottom w:w="0" w:type="dxa"/>
              <w:right w:w="0" w:type="dxa"/>
            </w:tcMar>
            <w:vAlign w:val="bottom"/>
            <w:hideMark/>
          </w:tcPr>
          <w:p w14:paraId="330D1161" w14:textId="77777777" w:rsidR="0087113F" w:rsidRPr="000036AE" w:rsidRDefault="0087113F">
            <w:pPr>
              <w:rPr>
                <w:color w:val="000000"/>
                <w:sz w:val="20"/>
                <w:szCs w:val="20"/>
              </w:rPr>
            </w:pPr>
          </w:p>
        </w:tc>
        <w:tc>
          <w:tcPr>
            <w:tcW w:w="0" w:type="auto"/>
            <w:tcBorders>
              <w:bottom w:val="single" w:sz="12" w:space="0" w:color="000000"/>
            </w:tcBorders>
            <w:shd w:val="clear" w:color="auto" w:fill="auto"/>
            <w:tcMar>
              <w:top w:w="0" w:type="dxa"/>
              <w:left w:w="0" w:type="dxa"/>
              <w:bottom w:w="0" w:type="dxa"/>
              <w:right w:w="0" w:type="dxa"/>
            </w:tcMar>
            <w:vAlign w:val="bottom"/>
            <w:hideMark/>
          </w:tcPr>
          <w:p w14:paraId="176085E4" w14:textId="6A893358" w:rsidR="0087113F" w:rsidRPr="000036AE" w:rsidRDefault="001A307C">
            <w:pPr>
              <w:jc w:val="right"/>
              <w:rPr>
                <w:color w:val="000000"/>
                <w:sz w:val="20"/>
                <w:szCs w:val="20"/>
              </w:rPr>
            </w:pPr>
            <w:r>
              <w:rPr>
                <w:color w:val="000000"/>
                <w:sz w:val="20"/>
                <w:szCs w:val="20"/>
              </w:rPr>
              <w:t>2,500</w:t>
            </w:r>
          </w:p>
        </w:tc>
        <w:tc>
          <w:tcPr>
            <w:tcW w:w="0" w:type="auto"/>
            <w:shd w:val="clear" w:color="auto" w:fill="auto"/>
            <w:tcMar>
              <w:top w:w="0" w:type="dxa"/>
              <w:left w:w="0" w:type="dxa"/>
              <w:bottom w:w="35" w:type="dxa"/>
              <w:right w:w="0" w:type="dxa"/>
            </w:tcMar>
            <w:vAlign w:val="bottom"/>
            <w:hideMark/>
          </w:tcPr>
          <w:p w14:paraId="6CFD3E06" w14:textId="713A3420" w:rsidR="0087113F" w:rsidRPr="000036AE" w:rsidRDefault="004837DC">
            <w:pPr>
              <w:rPr>
                <w:color w:val="000000"/>
                <w:sz w:val="20"/>
                <w:szCs w:val="20"/>
              </w:rPr>
            </w:pPr>
            <w:r w:rsidRPr="000036AE">
              <w:rPr>
                <w:color w:val="000000"/>
                <w:sz w:val="20"/>
                <w:szCs w:val="20"/>
              </w:rPr>
              <w:t> </w:t>
            </w:r>
          </w:p>
        </w:tc>
      </w:tr>
      <w:tr w:rsidR="001A307C" w:rsidRPr="003147F5" w14:paraId="5B6FC0A1" w14:textId="77777777" w:rsidTr="000036AE">
        <w:trPr>
          <w:cantSplit/>
        </w:trPr>
        <w:tc>
          <w:tcPr>
            <w:tcW w:w="0" w:type="auto"/>
            <w:shd w:val="clear" w:color="auto" w:fill="auto"/>
            <w:tcMar>
              <w:top w:w="0" w:type="dxa"/>
              <w:left w:w="0" w:type="dxa"/>
              <w:bottom w:w="55" w:type="dxa"/>
              <w:right w:w="0" w:type="dxa"/>
            </w:tcMar>
            <w:vAlign w:val="bottom"/>
            <w:hideMark/>
          </w:tcPr>
          <w:p w14:paraId="4AC98EBE" w14:textId="77777777" w:rsidR="0087113F" w:rsidRPr="000036AE" w:rsidRDefault="004837DC">
            <w:pPr>
              <w:rPr>
                <w:color w:val="000000"/>
                <w:sz w:val="20"/>
                <w:szCs w:val="20"/>
              </w:rPr>
            </w:pPr>
            <w:r w:rsidRPr="000036AE">
              <w:rPr>
                <w:color w:val="000000"/>
                <w:sz w:val="20"/>
                <w:szCs w:val="20"/>
              </w:rPr>
              <w:t>Total</w:t>
            </w:r>
          </w:p>
        </w:tc>
        <w:tc>
          <w:tcPr>
            <w:tcW w:w="0" w:type="auto"/>
            <w:shd w:val="clear" w:color="auto" w:fill="auto"/>
            <w:tcMar>
              <w:top w:w="0" w:type="dxa"/>
              <w:left w:w="0" w:type="dxa"/>
              <w:bottom w:w="55" w:type="dxa"/>
              <w:right w:w="0" w:type="dxa"/>
            </w:tcMar>
            <w:vAlign w:val="bottom"/>
            <w:hideMark/>
          </w:tcPr>
          <w:p w14:paraId="3175F7C6" w14:textId="77777777" w:rsidR="0087113F" w:rsidRPr="000036AE" w:rsidRDefault="004837DC">
            <w:pPr>
              <w:rPr>
                <w:color w:val="000000"/>
                <w:sz w:val="20"/>
                <w:szCs w:val="20"/>
              </w:rPr>
            </w:pPr>
            <w:r w:rsidRPr="000036AE">
              <w:rPr>
                <w:color w:val="000000"/>
                <w:sz w:val="20"/>
                <w:szCs w:val="20"/>
              </w:rPr>
              <w:t> </w:t>
            </w:r>
          </w:p>
        </w:tc>
        <w:tc>
          <w:tcPr>
            <w:tcW w:w="0" w:type="auto"/>
            <w:tcBorders>
              <w:bottom w:val="double" w:sz="7" w:space="0" w:color="000000"/>
            </w:tcBorders>
            <w:shd w:val="clear" w:color="auto" w:fill="auto"/>
            <w:tcMar>
              <w:top w:w="0" w:type="dxa"/>
              <w:left w:w="0" w:type="dxa"/>
              <w:bottom w:w="0" w:type="dxa"/>
              <w:right w:w="0" w:type="dxa"/>
            </w:tcMar>
            <w:vAlign w:val="bottom"/>
            <w:hideMark/>
          </w:tcPr>
          <w:p w14:paraId="15AF3E39" w14:textId="77777777" w:rsidR="0087113F" w:rsidRPr="000036AE" w:rsidRDefault="004837DC">
            <w:pPr>
              <w:rPr>
                <w:color w:val="000000"/>
                <w:sz w:val="20"/>
                <w:szCs w:val="20"/>
              </w:rPr>
            </w:pPr>
            <w:r w:rsidRPr="000036AE">
              <w:rPr>
                <w:color w:val="000000"/>
                <w:sz w:val="20"/>
                <w:szCs w:val="20"/>
              </w:rPr>
              <w:t>$</w:t>
            </w:r>
          </w:p>
        </w:tc>
        <w:tc>
          <w:tcPr>
            <w:tcW w:w="0" w:type="auto"/>
            <w:tcBorders>
              <w:bottom w:val="double" w:sz="7" w:space="0" w:color="000000"/>
            </w:tcBorders>
            <w:shd w:val="clear" w:color="auto" w:fill="auto"/>
            <w:tcMar>
              <w:top w:w="0" w:type="dxa"/>
              <w:left w:w="0" w:type="dxa"/>
              <w:bottom w:w="0" w:type="dxa"/>
              <w:right w:w="0" w:type="dxa"/>
            </w:tcMar>
            <w:vAlign w:val="bottom"/>
            <w:hideMark/>
          </w:tcPr>
          <w:p w14:paraId="7EF2DBA2" w14:textId="3229BB88" w:rsidR="0087113F" w:rsidRPr="000036AE" w:rsidRDefault="001A307C">
            <w:pPr>
              <w:jc w:val="right"/>
              <w:rPr>
                <w:color w:val="000000"/>
                <w:sz w:val="20"/>
                <w:szCs w:val="20"/>
              </w:rPr>
            </w:pPr>
            <w:r>
              <w:rPr>
                <w:color w:val="000000"/>
                <w:sz w:val="20"/>
                <w:szCs w:val="20"/>
              </w:rPr>
              <w:t>36,418</w:t>
            </w:r>
          </w:p>
        </w:tc>
        <w:tc>
          <w:tcPr>
            <w:tcW w:w="0" w:type="auto"/>
            <w:shd w:val="clear" w:color="auto" w:fill="auto"/>
            <w:tcMar>
              <w:top w:w="0" w:type="dxa"/>
              <w:left w:w="0" w:type="dxa"/>
              <w:bottom w:w="55" w:type="dxa"/>
              <w:right w:w="0" w:type="dxa"/>
            </w:tcMar>
            <w:vAlign w:val="bottom"/>
            <w:hideMark/>
          </w:tcPr>
          <w:p w14:paraId="45E0C844" w14:textId="77777777" w:rsidR="0087113F" w:rsidRPr="000036AE" w:rsidRDefault="004837DC">
            <w:pPr>
              <w:rPr>
                <w:color w:val="000000"/>
                <w:sz w:val="20"/>
                <w:szCs w:val="20"/>
              </w:rPr>
            </w:pPr>
            <w:r w:rsidRPr="000036AE">
              <w:rPr>
                <w:color w:val="000000"/>
                <w:sz w:val="20"/>
                <w:szCs w:val="20"/>
              </w:rPr>
              <w:t> </w:t>
            </w:r>
          </w:p>
        </w:tc>
      </w:tr>
    </w:tbl>
    <w:p w14:paraId="693DB7DA" w14:textId="77777777" w:rsidR="0087113F" w:rsidRPr="00F2032D" w:rsidRDefault="004837DC">
      <w:pPr>
        <w:jc w:val="both"/>
        <w:rPr>
          <w:sz w:val="20"/>
          <w:szCs w:val="20"/>
        </w:rPr>
      </w:pPr>
      <w:r w:rsidRPr="00F2032D">
        <w:rPr>
          <w:b/>
          <w:bCs/>
          <w:sz w:val="20"/>
          <w:szCs w:val="20"/>
        </w:rPr>
        <w:t> </w:t>
      </w:r>
    </w:p>
    <w:p w14:paraId="7FC31E74" w14:textId="77777777" w:rsidR="0087113F" w:rsidRPr="00F2032D" w:rsidRDefault="004837DC">
      <w:pPr>
        <w:jc w:val="both"/>
        <w:rPr>
          <w:sz w:val="20"/>
          <w:szCs w:val="20"/>
        </w:rPr>
      </w:pPr>
      <w:r w:rsidRPr="00F2032D">
        <w:rPr>
          <w:b/>
          <w:bCs/>
          <w:sz w:val="20"/>
          <w:szCs w:val="20"/>
        </w:rPr>
        <w:t>Item 14. Indemnification of Directors and Officers.</w:t>
      </w:r>
    </w:p>
    <w:p w14:paraId="7B74366F" w14:textId="77777777" w:rsidR="0087113F" w:rsidRPr="00F2032D" w:rsidRDefault="004837DC">
      <w:pPr>
        <w:jc w:val="both"/>
        <w:rPr>
          <w:sz w:val="20"/>
          <w:szCs w:val="20"/>
        </w:rPr>
      </w:pPr>
      <w:r w:rsidRPr="00F2032D">
        <w:rPr>
          <w:sz w:val="20"/>
          <w:szCs w:val="20"/>
        </w:rPr>
        <w:t> </w:t>
      </w:r>
    </w:p>
    <w:p w14:paraId="3459288D" w14:textId="77777777" w:rsidR="00F2032D" w:rsidRPr="00F2032D" w:rsidRDefault="00F2032D" w:rsidP="00F2032D">
      <w:pPr>
        <w:ind w:firstLine="720"/>
        <w:rPr>
          <w:sz w:val="20"/>
          <w:szCs w:val="20"/>
        </w:rPr>
      </w:pPr>
      <w:r w:rsidRPr="00F2032D">
        <w:rPr>
          <w:sz w:val="20"/>
          <w:szCs w:val="20"/>
        </w:rPr>
        <w:t>Section 145 of the DGCL provides that a corporation has the power to indemnify a director, officer, employee or agent of the corporation, or a person serving at the request of the corporation for another corporation, partnership, joint venture, trust or other enterprise in related capacities against expenses (including attorneys’ fees), judgments, fines and amounts paid in settlement actually and reasonably incurred by the person in connection with an action, suit or proceeding to which he was or is a party or is threatened to be made a party to any threatened, ending or completed action, suit or proceeding by reason of such position, if such person acted in good faith and in a manner he reasonably believed to be in or not opposed to the best interests of the corporation, and, in any criminal action or proceeding, had no reasonable cause to believe his conduct was unlawful, except that, in the case of actions brought by or in the right of the corporation, no indemnification shall be made with respect to any claim, issue or matter as to which such person shall have been adjudged to be liable to the corporation unless and only to the extent that the Court of Chancery or other adjudicating court determines that, despite the adjudication of liability but in view of all of the circumstances of the case, such person is fairly and reasonably entitled to indemnity for such expenses which the Court of Chancery or such other court shall deem proper.</w:t>
      </w:r>
    </w:p>
    <w:p w14:paraId="5B75762C" w14:textId="77777777" w:rsidR="00F2032D" w:rsidRPr="00F2032D" w:rsidRDefault="00F2032D" w:rsidP="00F2032D">
      <w:pPr>
        <w:rPr>
          <w:sz w:val="20"/>
          <w:szCs w:val="20"/>
        </w:rPr>
      </w:pPr>
    </w:p>
    <w:p w14:paraId="444364BA" w14:textId="77777777" w:rsidR="00F2032D" w:rsidRDefault="00F2032D" w:rsidP="00F2032D">
      <w:pPr>
        <w:ind w:firstLine="720"/>
        <w:rPr>
          <w:sz w:val="20"/>
          <w:szCs w:val="20"/>
        </w:rPr>
      </w:pPr>
      <w:r w:rsidRPr="00F2032D">
        <w:rPr>
          <w:sz w:val="20"/>
          <w:szCs w:val="20"/>
        </w:rPr>
        <w:t>Our bylaws provide that we may indemnify any person who was or is a party or is threatened to be made a party to any threatened, pending or completed action, suit or proceeding, whether civil, criminal, administrative or investigative (other than an action by or in the right of the Company) by reason of the fact that the person is or was a director, officer, employee or agent of the Company, or is or was serving at the request of the Company as a director, officer, employee or agent of another corporation, partnership, joint venture, trust or other enterprise, against expenses (including attorneys’ fees), judgments, fines and amounts paid in settlement actually and reasonably incurred by the person in connection with such action, suit or proceeding if the person acted in good faith and in a manner the person reasonably believed to be in or not opposed to the best interests of the Company, and, with respect to any criminal action or proceeding, had no reasonable cause to believe the person’s conduct was unlawful. Our bylaws also provide that we may indemnify any person who was or is a party or is threatened to be made a party to any threatened, pending or completed action or suit by or in the right of the Company to procure a judgment in its favor by reason of the fact that the person is or was a director, officer, employee or agent of the Company, or is or was serving at the request of the Company as a director, officer, employee or agent of another corporation, partnership, joint venture, trust or other enterprise against expenses (including attorneys’ fees) actually and reasonably incurred by the person in connection with the defense or settlement of such action or suit if the person acted in good faith and in a manner the person reasonably believed to be in or not opposed to the best interests of the Company and except that no indemnification shall be made in respect of any claim, issue or matter as to which such person shall have been adjudged to be liable to the Company unless and only to the extent that the Delaware Court of Chancery or the court in which such action or suit was brought shall determine upon application that, despite the adjudication of liability but in view of all the circumstances of the case, such person is fairly and reasonably entitled to indemnity for such expenses which the Delaware Court of Chancery or such other court shall deem proper.</w:t>
      </w:r>
    </w:p>
    <w:p w14:paraId="687C1F3D" w14:textId="77777777" w:rsidR="00F2032D" w:rsidRDefault="00F2032D">
      <w:pPr>
        <w:jc w:val="both"/>
        <w:rPr>
          <w:sz w:val="20"/>
          <w:szCs w:val="20"/>
          <w:highlight w:val="yellow"/>
        </w:rPr>
      </w:pPr>
    </w:p>
    <w:p w14:paraId="7CC76809" w14:textId="77777777" w:rsidR="00F2032D" w:rsidRPr="00F2032D" w:rsidRDefault="00F2032D" w:rsidP="00F2032D">
      <w:pPr>
        <w:ind w:firstLine="720"/>
        <w:jc w:val="both"/>
        <w:rPr>
          <w:sz w:val="20"/>
          <w:szCs w:val="20"/>
        </w:rPr>
      </w:pPr>
      <w:r w:rsidRPr="00F2032D">
        <w:rPr>
          <w:sz w:val="20"/>
          <w:szCs w:val="20"/>
        </w:rPr>
        <w:lastRenderedPageBreak/>
        <w:t>Under our bylaws, expenses (including attorneys’ fees) incurred by an officer or director in defending any civil, criminal, administrative or investigative action, suit or proceeding may be paid by the Company in advance of the final disposition of such action, suit or proceeding upon receipt of an undertaking by or on behalf of such director or officer to repay such amount if it shall ultimately be determined that such person is not entitled to be indemnified by the Company. Such expenses (including attorneys’ fees) incurred by former directors and officers or other employees and agents may be so paid upon such terms and conditions, if any, as we deem appropriate.</w:t>
      </w:r>
    </w:p>
    <w:p w14:paraId="08EF0B4C" w14:textId="77777777" w:rsidR="00F2032D" w:rsidRPr="00F2032D" w:rsidRDefault="00F2032D" w:rsidP="00F2032D">
      <w:pPr>
        <w:jc w:val="both"/>
        <w:rPr>
          <w:sz w:val="20"/>
          <w:szCs w:val="20"/>
        </w:rPr>
      </w:pPr>
    </w:p>
    <w:p w14:paraId="559116FC" w14:textId="77777777" w:rsidR="00F2032D" w:rsidRPr="00F2032D" w:rsidRDefault="00F2032D" w:rsidP="00F2032D">
      <w:pPr>
        <w:ind w:firstLine="720"/>
        <w:jc w:val="both"/>
        <w:rPr>
          <w:sz w:val="20"/>
          <w:szCs w:val="20"/>
        </w:rPr>
      </w:pPr>
      <w:r w:rsidRPr="00F2032D">
        <w:rPr>
          <w:sz w:val="20"/>
          <w:szCs w:val="20"/>
        </w:rPr>
        <w:t>The indemnification and advancement of expenses provided by our bylaws is not exclusive, both as to action in such person’s official capacity and as to action in another capacity while holding such office.</w:t>
      </w:r>
    </w:p>
    <w:p w14:paraId="3A2B9A1D" w14:textId="77777777" w:rsidR="00F2032D" w:rsidRPr="00F2032D" w:rsidRDefault="00F2032D" w:rsidP="00F2032D">
      <w:pPr>
        <w:jc w:val="both"/>
        <w:rPr>
          <w:sz w:val="20"/>
          <w:szCs w:val="20"/>
        </w:rPr>
      </w:pPr>
    </w:p>
    <w:p w14:paraId="35C418D6" w14:textId="77777777" w:rsidR="00F2032D" w:rsidRPr="00F2032D" w:rsidRDefault="00F2032D" w:rsidP="00F2032D">
      <w:pPr>
        <w:ind w:firstLine="720"/>
        <w:jc w:val="both"/>
        <w:rPr>
          <w:sz w:val="20"/>
          <w:szCs w:val="20"/>
        </w:rPr>
      </w:pPr>
      <w:r w:rsidRPr="00F2032D">
        <w:rPr>
          <w:sz w:val="20"/>
          <w:szCs w:val="20"/>
        </w:rPr>
        <w:t>Our bylaws also provide that we may purchase and maintain insurance on behalf of any person who is or was a director, officer, employee or agent of the Company, or is or was serving at the request of the Company as a director, officer, employee or agent of another corporation, partnership, joint venture, trust or other enterprise against any liability asserted against such person and incurred by such person in any such capacity, or arising out of such person’s status as such, whether or not the Company would have the power to indemnify such person against such liability under our bylaws. The Company maintains an insurance policy providing for indemnification of its officers, directors and certain other persons against liabilities and expenses incurred by any of them in certain stated proceedings and under certain stated conditions.</w:t>
      </w:r>
    </w:p>
    <w:p w14:paraId="3EF99C77" w14:textId="77777777" w:rsidR="00F2032D" w:rsidRPr="00F2032D" w:rsidRDefault="00F2032D" w:rsidP="00F2032D">
      <w:pPr>
        <w:jc w:val="both"/>
        <w:rPr>
          <w:sz w:val="20"/>
          <w:szCs w:val="20"/>
        </w:rPr>
      </w:pPr>
    </w:p>
    <w:p w14:paraId="08F44917" w14:textId="77777777" w:rsidR="00F2032D" w:rsidRPr="00F2032D" w:rsidRDefault="00F2032D" w:rsidP="00F2032D">
      <w:pPr>
        <w:ind w:firstLine="720"/>
        <w:jc w:val="both"/>
        <w:rPr>
          <w:sz w:val="20"/>
          <w:szCs w:val="20"/>
        </w:rPr>
      </w:pPr>
      <w:r w:rsidRPr="00F2032D">
        <w:rPr>
          <w:sz w:val="20"/>
          <w:szCs w:val="20"/>
        </w:rPr>
        <w:t xml:space="preserve">In October 2006, </w:t>
      </w:r>
      <w:proofErr w:type="spellStart"/>
      <w:r w:rsidRPr="00F2032D">
        <w:rPr>
          <w:sz w:val="20"/>
          <w:szCs w:val="20"/>
        </w:rPr>
        <w:t>GeoVax</w:t>
      </w:r>
      <w:proofErr w:type="spellEnd"/>
      <w:r w:rsidRPr="00F2032D">
        <w:rPr>
          <w:sz w:val="20"/>
          <w:szCs w:val="20"/>
        </w:rPr>
        <w:t xml:space="preserve"> and our subsidiary, </w:t>
      </w:r>
      <w:proofErr w:type="spellStart"/>
      <w:r w:rsidRPr="00F2032D">
        <w:rPr>
          <w:sz w:val="20"/>
          <w:szCs w:val="20"/>
        </w:rPr>
        <w:t>GeoVax</w:t>
      </w:r>
      <w:proofErr w:type="spellEnd"/>
      <w:r w:rsidRPr="00F2032D">
        <w:rPr>
          <w:sz w:val="20"/>
          <w:szCs w:val="20"/>
        </w:rPr>
        <w:t>, Inc. entered into indemnification agreements with Messrs. McNally, Reynolds, Kollintzas and Spencer. Pursuant to these agreements, we have agreed to hold harmless and indemnify these directors and officers to the full extent authorized or permitted by applicable Illinois and Georgia law against certain expenses and other liabilities actually and reasonably incurred by these individuals in connection with certain proceedings if they acted in a manner they believed in good faith to be in or not opposed to the best interests of the Company and, with respect to any criminal proceeding, had no reasonable cause to believe that such conduct was unlawful. The agreements also provide for the advancement of expenses to these individuals subject to specified conditions. Under these agreements, we will not indemnify these individuals for expenses or other amounts for which applicable Illinois and Georgia law prohibit indemnification. The obligations under these agreements continue during the period in which these individuals are our directors or officers and continue thereafter so long as these individuals shall be subject to any proceeding by reason of their service to the Company, whether or not they are serving in any such capacity at the time the liability or expense incurred for which indemnification can be</w:t>
      </w:r>
      <w:r>
        <w:rPr>
          <w:sz w:val="20"/>
          <w:szCs w:val="20"/>
        </w:rPr>
        <w:t xml:space="preserve"> provided under the agreements.</w:t>
      </w:r>
    </w:p>
    <w:p w14:paraId="1EA4B240" w14:textId="77777777" w:rsidR="00F2032D" w:rsidRPr="00F2032D" w:rsidRDefault="00F2032D" w:rsidP="00F2032D">
      <w:pPr>
        <w:jc w:val="both"/>
        <w:rPr>
          <w:sz w:val="20"/>
          <w:szCs w:val="20"/>
        </w:rPr>
      </w:pPr>
    </w:p>
    <w:p w14:paraId="2F571240" w14:textId="77777777" w:rsidR="00F2032D" w:rsidRDefault="00F2032D" w:rsidP="00F2032D">
      <w:pPr>
        <w:ind w:firstLine="720"/>
        <w:jc w:val="both"/>
        <w:rPr>
          <w:sz w:val="20"/>
          <w:szCs w:val="20"/>
          <w:highlight w:val="yellow"/>
        </w:rPr>
      </w:pPr>
      <w:r w:rsidRPr="00F2032D">
        <w:rPr>
          <w:sz w:val="20"/>
          <w:szCs w:val="20"/>
        </w:rPr>
        <w:t>Insofar as indemnification for liabilities arising under the Securities Act may be permitted to directors, officers or persons controlling the registrant pursuant to the foregoing provisions, the registrant has been informed that in the opinion of the SEC such indemnification is against public policy as expressed in the Securities Act and is therefore unenforceable.</w:t>
      </w:r>
    </w:p>
    <w:p w14:paraId="3A63E24A" w14:textId="77777777" w:rsidR="00F2032D" w:rsidRPr="00F2032D" w:rsidRDefault="00F2032D">
      <w:pPr>
        <w:jc w:val="both"/>
        <w:rPr>
          <w:sz w:val="20"/>
          <w:szCs w:val="20"/>
        </w:rPr>
      </w:pPr>
    </w:p>
    <w:p w14:paraId="24ECFDD6" w14:textId="77777777" w:rsidR="0087113F" w:rsidRPr="00F2032D" w:rsidRDefault="004837DC">
      <w:pPr>
        <w:jc w:val="both"/>
        <w:rPr>
          <w:sz w:val="20"/>
          <w:szCs w:val="20"/>
        </w:rPr>
      </w:pPr>
      <w:r w:rsidRPr="00F2032D">
        <w:rPr>
          <w:b/>
          <w:bCs/>
          <w:sz w:val="20"/>
          <w:szCs w:val="20"/>
        </w:rPr>
        <w:t>Item 15. Recent Sales of Unregistered Securities.</w:t>
      </w:r>
    </w:p>
    <w:p w14:paraId="2BF9C726" w14:textId="77777777" w:rsidR="00B73392" w:rsidRDefault="00B73392" w:rsidP="00F2032D">
      <w:pPr>
        <w:ind w:firstLine="720"/>
        <w:jc w:val="both"/>
        <w:rPr>
          <w:sz w:val="20"/>
          <w:szCs w:val="20"/>
        </w:rPr>
      </w:pPr>
    </w:p>
    <w:p w14:paraId="5A9467EF" w14:textId="24A012B1" w:rsidR="00F2032D" w:rsidRPr="00F2032D" w:rsidRDefault="00F2032D" w:rsidP="00F2032D">
      <w:pPr>
        <w:ind w:firstLine="720"/>
        <w:jc w:val="both"/>
        <w:rPr>
          <w:sz w:val="20"/>
          <w:szCs w:val="20"/>
        </w:rPr>
      </w:pPr>
      <w:r w:rsidRPr="00F2032D">
        <w:rPr>
          <w:sz w:val="20"/>
          <w:szCs w:val="20"/>
        </w:rPr>
        <w:t>The information provided below has been updated as noted to retroactively reflect the effect of the Company’s 1:500,</w:t>
      </w:r>
      <w:r>
        <w:rPr>
          <w:sz w:val="20"/>
          <w:szCs w:val="20"/>
        </w:rPr>
        <w:t xml:space="preserve"> </w:t>
      </w:r>
      <w:r w:rsidRPr="00F2032D">
        <w:rPr>
          <w:sz w:val="20"/>
          <w:szCs w:val="20"/>
        </w:rPr>
        <w:t>1:2000, and 1:20 reverse stock splits effec</w:t>
      </w:r>
      <w:r>
        <w:rPr>
          <w:sz w:val="20"/>
          <w:szCs w:val="20"/>
        </w:rPr>
        <w:t>ted in April 2019, January 2020</w:t>
      </w:r>
      <w:r w:rsidRPr="00F2032D">
        <w:rPr>
          <w:sz w:val="20"/>
          <w:szCs w:val="20"/>
        </w:rPr>
        <w:t xml:space="preserve"> and September 2020</w:t>
      </w:r>
      <w:r>
        <w:rPr>
          <w:sz w:val="20"/>
          <w:szCs w:val="20"/>
        </w:rPr>
        <w:t>,</w:t>
      </w:r>
      <w:r w:rsidRPr="00F2032D">
        <w:rPr>
          <w:sz w:val="20"/>
          <w:szCs w:val="20"/>
        </w:rPr>
        <w:t xml:space="preserve"> respectively.</w:t>
      </w:r>
    </w:p>
    <w:p w14:paraId="0A641657" w14:textId="77777777" w:rsidR="00F2032D" w:rsidRPr="00F2032D" w:rsidRDefault="00F2032D" w:rsidP="00F2032D">
      <w:pPr>
        <w:jc w:val="both"/>
        <w:rPr>
          <w:sz w:val="20"/>
          <w:szCs w:val="20"/>
        </w:rPr>
      </w:pPr>
    </w:p>
    <w:p w14:paraId="3CB9CB44" w14:textId="77777777" w:rsidR="00F2032D" w:rsidRPr="00F2032D" w:rsidRDefault="00F2032D" w:rsidP="00F2032D">
      <w:pPr>
        <w:ind w:firstLine="720"/>
        <w:jc w:val="both"/>
        <w:rPr>
          <w:sz w:val="20"/>
          <w:szCs w:val="20"/>
        </w:rPr>
      </w:pPr>
      <w:r w:rsidRPr="00F2032D">
        <w:rPr>
          <w:sz w:val="20"/>
          <w:szCs w:val="20"/>
        </w:rPr>
        <w:t xml:space="preserve">On February 18, 2019, we entered into Exchange Agreements with the Purchasers pursuant to which the Purchasers exchanged an aggregate of 1,563.146 shares of our Series C Convertible Preferred Stock and 1,200 shares of our Series E Preferred Shares, held by them for an aggregate of 2,763.146 shares of our Series F Convertible Preferred Stock. The Company relied on an exemption from the registration requirements of the Securities Act afforded by Section 4(a)(2) thereof and Rule 506 of Regulation D. The accredited investors acquired the shares for investment for their own accounts in a transaction that did not involve a general solicitation. </w:t>
      </w:r>
    </w:p>
    <w:p w14:paraId="3EB7CA5E" w14:textId="77777777" w:rsidR="00F2032D" w:rsidRPr="00F2032D" w:rsidRDefault="00F2032D" w:rsidP="00F2032D">
      <w:pPr>
        <w:jc w:val="both"/>
        <w:rPr>
          <w:sz w:val="20"/>
          <w:szCs w:val="20"/>
        </w:rPr>
      </w:pPr>
    </w:p>
    <w:p w14:paraId="2BDB49BF" w14:textId="77777777" w:rsidR="00F2032D" w:rsidRPr="00F2032D" w:rsidRDefault="00F2032D" w:rsidP="00F2032D">
      <w:pPr>
        <w:ind w:firstLine="720"/>
        <w:jc w:val="both"/>
        <w:rPr>
          <w:sz w:val="20"/>
          <w:szCs w:val="20"/>
        </w:rPr>
      </w:pPr>
      <w:r w:rsidRPr="00F2032D">
        <w:rPr>
          <w:sz w:val="20"/>
          <w:szCs w:val="20"/>
        </w:rPr>
        <w:t xml:space="preserve">On February 25, 2019, we entered into a Securities Purchase Agreement with the Purchasers providing for the issuance and sale to the Purchasers of an aggregate of up to 1,000 shares of our Series G Convertible Preferred Stock (the “Series G Preferred Shares”) and Series I Warrants to purchase up to 16,666,666 shares (16.67 shares post-split) of our common stock at $0.015 per share ($15,000 per share post-split) at an initial aggregate exercise price of $250,000 for gross proceeds of up to $1.0 million, to be funded at up to three different closings. At the first closing </w:t>
      </w:r>
      <w:r w:rsidRPr="00F2032D">
        <w:rPr>
          <w:sz w:val="20"/>
          <w:szCs w:val="20"/>
        </w:rPr>
        <w:lastRenderedPageBreak/>
        <w:t>on February 25, 2019, we issued 500 Series G Preferred Shares and Series I Warrants to purchase up to 16,666,666, shares (16.67 shares post-split) of our common stock in exchange for the payment by the Purchasers of $250,000 in the aggregate, plus the cancellation by them of Term Notes due to them from the Company in the aggregate amount of $250,000. At the second and third closings, which occurred on April 26 and June 19, 2019, we issued an aggregate of 500 additional shares of Series G Preferred Stock and Series I Warrants to purchase up to 33,333,333 shares (33.33 shares post-split) in exchange for the payment by the Purchasers of a total of $500,000. The Company relied on an exemption from the registration requirements of the Securities Act afforded by Section 4(a)(2) thereof and Rule 506 of Regulation D. The accredited investors acquired the shares for investment for their own accounts in a transaction that did not involve a general solicitation.</w:t>
      </w:r>
    </w:p>
    <w:p w14:paraId="16A8F6D0" w14:textId="77777777" w:rsidR="00F2032D" w:rsidRPr="00F2032D" w:rsidRDefault="00F2032D" w:rsidP="00F2032D">
      <w:pPr>
        <w:jc w:val="both"/>
        <w:rPr>
          <w:sz w:val="20"/>
          <w:szCs w:val="20"/>
        </w:rPr>
      </w:pPr>
    </w:p>
    <w:p w14:paraId="6B11358B" w14:textId="77777777" w:rsidR="00F2032D" w:rsidRPr="00F2032D" w:rsidRDefault="00F2032D" w:rsidP="00F2032D">
      <w:pPr>
        <w:ind w:firstLine="720"/>
        <w:jc w:val="both"/>
        <w:rPr>
          <w:sz w:val="20"/>
          <w:szCs w:val="20"/>
        </w:rPr>
      </w:pPr>
      <w:r w:rsidRPr="00F2032D">
        <w:rPr>
          <w:sz w:val="20"/>
          <w:szCs w:val="20"/>
        </w:rPr>
        <w:t xml:space="preserve">On July 17, 2019, we entered into Exchange Agreements with the Purchasers pursuant to which the Purchasers exchanged an aggregate of 2,256.5338 Series F Preferred Shares and 1,000 Series G Preferred Shares held by them for an aggregate of 3,256.5338 shares of our Series H Convertible Preferred Stock, for aggregate gross proceeds of $3,256,534. The Company relied on an exemption from the registration requirements of the Securities Act afforded by Section 4(a)(2) thereof and Rule 506 of Regulation D. The accredited investors acquired the shares for investment for their own accounts in a transaction that did not involve a general solicitation. </w:t>
      </w:r>
    </w:p>
    <w:p w14:paraId="0E40073E" w14:textId="77777777" w:rsidR="00F2032D" w:rsidRPr="00F2032D" w:rsidRDefault="00F2032D" w:rsidP="00F2032D">
      <w:pPr>
        <w:jc w:val="both"/>
        <w:rPr>
          <w:sz w:val="20"/>
          <w:szCs w:val="20"/>
        </w:rPr>
      </w:pPr>
    </w:p>
    <w:p w14:paraId="49627ECF" w14:textId="77777777" w:rsidR="00F2032D" w:rsidRPr="00F2032D" w:rsidRDefault="00F2032D" w:rsidP="00F2032D">
      <w:pPr>
        <w:ind w:firstLine="720"/>
        <w:jc w:val="both"/>
        <w:rPr>
          <w:sz w:val="20"/>
          <w:szCs w:val="20"/>
        </w:rPr>
      </w:pPr>
      <w:r w:rsidRPr="00F2032D">
        <w:rPr>
          <w:sz w:val="20"/>
          <w:szCs w:val="20"/>
        </w:rPr>
        <w:t>On July 24, 2019, we entered into a Securities Purchase Agreement with the Purchasers providing for the issuance and sale to the Purchasers of an aggregate of 700 shares of our Series I Convertible Preferred Stock for gross proceeds of $700,000. The Company relied on an exemption from the registration requirements of the Securities Act afforded by Section 4(a)(2) thereof and Rule 506 of Regulation D. The accredited investors acquired the shares for investment for their own accounts in a transaction that did not involve a general solicitation.</w:t>
      </w:r>
    </w:p>
    <w:p w14:paraId="62A7A842" w14:textId="77777777" w:rsidR="00F2032D" w:rsidRPr="00F2032D" w:rsidRDefault="00F2032D" w:rsidP="00F2032D">
      <w:pPr>
        <w:jc w:val="both"/>
        <w:rPr>
          <w:sz w:val="20"/>
          <w:szCs w:val="20"/>
        </w:rPr>
      </w:pPr>
    </w:p>
    <w:p w14:paraId="54EEDCBE" w14:textId="77777777" w:rsidR="00F2032D" w:rsidRPr="00F2032D" w:rsidRDefault="00F2032D" w:rsidP="009451A7">
      <w:pPr>
        <w:ind w:firstLine="720"/>
        <w:jc w:val="both"/>
        <w:rPr>
          <w:sz w:val="20"/>
          <w:szCs w:val="20"/>
        </w:rPr>
      </w:pPr>
      <w:r w:rsidRPr="00F2032D">
        <w:rPr>
          <w:sz w:val="20"/>
          <w:szCs w:val="20"/>
        </w:rPr>
        <w:t xml:space="preserve">On January 24, 2020, we entered into a Securities Purchase Agreement (the “January Securities Purchase Agreement”) with the Purchasers providing for the issuance and sale to the Purchasers of an aggregate of 300 shares of our Series J Convertible Preferred Stock for gross proceeds of $300,000. The Company relied on an exemption from the registration requirements of the Securities Act afforded by Section 4(a)(2) thereof and Rule 506 of Regulation D. The accredited investors acquired the shares for investment for their own accounts in a transaction that did not involve a general solicitation. </w:t>
      </w:r>
    </w:p>
    <w:p w14:paraId="6A974D06" w14:textId="77777777" w:rsidR="00F2032D" w:rsidRPr="00F2032D" w:rsidRDefault="00F2032D" w:rsidP="00F2032D">
      <w:pPr>
        <w:jc w:val="both"/>
        <w:rPr>
          <w:sz w:val="20"/>
          <w:szCs w:val="20"/>
        </w:rPr>
      </w:pPr>
    </w:p>
    <w:p w14:paraId="4972BD84" w14:textId="77777777" w:rsidR="00F2032D" w:rsidRPr="00F2032D" w:rsidRDefault="00F2032D" w:rsidP="009451A7">
      <w:pPr>
        <w:ind w:firstLine="720"/>
        <w:jc w:val="both"/>
        <w:rPr>
          <w:sz w:val="20"/>
          <w:szCs w:val="20"/>
        </w:rPr>
      </w:pPr>
      <w:r w:rsidRPr="00F2032D">
        <w:rPr>
          <w:sz w:val="20"/>
          <w:szCs w:val="20"/>
        </w:rPr>
        <w:t>Effective as of May 1, 2020, we entered into a Customer Agreement and Subscription Agreement with Content Carnivores, LLC, pursuant to which the Company receive</w:t>
      </w:r>
      <w:r w:rsidR="00F51B7F">
        <w:rPr>
          <w:sz w:val="20"/>
          <w:szCs w:val="20"/>
        </w:rPr>
        <w:t>s</w:t>
      </w:r>
      <w:r w:rsidRPr="00F2032D">
        <w:rPr>
          <w:sz w:val="20"/>
          <w:szCs w:val="20"/>
        </w:rPr>
        <w:t xml:space="preserve"> services related to the management of our social media accounts in exchange for the issuance of shares of our common stock. As of the date hereof, we have issued </w:t>
      </w:r>
      <w:r w:rsidR="00EF0142">
        <w:rPr>
          <w:sz w:val="20"/>
          <w:szCs w:val="20"/>
        </w:rPr>
        <w:t>7,391</w:t>
      </w:r>
      <w:r w:rsidRPr="00F2032D">
        <w:rPr>
          <w:sz w:val="20"/>
          <w:szCs w:val="20"/>
        </w:rPr>
        <w:t xml:space="preserve"> shares of our common stock to Content Carnivores, LLC at an aggregate value of $</w:t>
      </w:r>
      <w:r w:rsidR="00EF0142">
        <w:rPr>
          <w:sz w:val="20"/>
          <w:szCs w:val="20"/>
        </w:rPr>
        <w:t>36,000</w:t>
      </w:r>
      <w:r w:rsidRPr="00F2032D">
        <w:rPr>
          <w:sz w:val="20"/>
          <w:szCs w:val="20"/>
        </w:rPr>
        <w:t xml:space="preserve"> pursuant to this agreement. The Company relied on an exemption from the registration requirements of the Securities Act afforded by Section 4(a)(2) thereof and Rule 506 of Regulation D.</w:t>
      </w:r>
    </w:p>
    <w:p w14:paraId="51DD3EBA" w14:textId="77777777" w:rsidR="00F2032D" w:rsidRPr="00F2032D" w:rsidRDefault="00F2032D" w:rsidP="00F2032D">
      <w:pPr>
        <w:jc w:val="both"/>
        <w:rPr>
          <w:sz w:val="20"/>
          <w:szCs w:val="20"/>
        </w:rPr>
      </w:pPr>
    </w:p>
    <w:p w14:paraId="2FBC543E" w14:textId="77777777" w:rsidR="00F2032D" w:rsidRDefault="00F2032D" w:rsidP="009451A7">
      <w:pPr>
        <w:ind w:firstLine="720"/>
        <w:jc w:val="both"/>
        <w:rPr>
          <w:sz w:val="20"/>
          <w:szCs w:val="20"/>
        </w:rPr>
      </w:pPr>
      <w:r w:rsidRPr="00F2032D">
        <w:rPr>
          <w:sz w:val="20"/>
          <w:szCs w:val="20"/>
        </w:rPr>
        <w:t xml:space="preserve">On June 26, 2020, we entered into a Securities Purchase Agreement with Cavalry Fund I LP and Cavalry Special Ops Fund, LLC, pursuant to which the Company received aggregate gross proceeds of $1,050,000 in exchange for the issuance of 5% Original Issue Senior Secured Convertible Debentures in the aggregate principal amount of $1,200,000 and five-year warrants to purchase an aggregate of 2,400,000 shares of our common stock at an exercise price of $0.50 per share, subject to adjustment. On September 29, 2020, the June 26, 2020 5% Original Issue Senior Secured Convertible Debentures mandatorily converted into 303,667 conversion </w:t>
      </w:r>
      <w:r w:rsidRPr="003B634D">
        <w:rPr>
          <w:sz w:val="20"/>
          <w:szCs w:val="20"/>
        </w:rPr>
        <w:t xml:space="preserve">units, of which 177,625 include shares of common stock and 126,042 include pre-funded warrants (the “Conversion Units”). The Conversion Units provide substantially the same terms as the </w:t>
      </w:r>
      <w:r w:rsidR="003B634D" w:rsidRPr="003B634D">
        <w:rPr>
          <w:sz w:val="20"/>
          <w:szCs w:val="20"/>
        </w:rPr>
        <w:t>u</w:t>
      </w:r>
      <w:r w:rsidRPr="003B634D">
        <w:rPr>
          <w:sz w:val="20"/>
          <w:szCs w:val="20"/>
        </w:rPr>
        <w:t xml:space="preserve">nits issued in </w:t>
      </w:r>
      <w:r w:rsidR="003B634D" w:rsidRPr="003B634D">
        <w:rPr>
          <w:sz w:val="20"/>
          <w:szCs w:val="20"/>
        </w:rPr>
        <w:t xml:space="preserve">our public offering in </w:t>
      </w:r>
      <w:r w:rsidRPr="003B634D">
        <w:rPr>
          <w:sz w:val="20"/>
          <w:szCs w:val="20"/>
        </w:rPr>
        <w:t>September 2020. The pre-funded warrants provide the holder the right to purchase one share of common stock at an exercise price of $0.01 per share, are immediately exercisable and will not expire until</w:t>
      </w:r>
      <w:r w:rsidRPr="00F2032D">
        <w:rPr>
          <w:sz w:val="20"/>
          <w:szCs w:val="20"/>
        </w:rPr>
        <w:t xml:space="preserve"> exercised in full. These pre-funded warrants were fully exercised on January 13, 2021. The Company also </w:t>
      </w:r>
      <w:r w:rsidR="003B634D" w:rsidRPr="003B634D">
        <w:rPr>
          <w:sz w:val="20"/>
          <w:szCs w:val="20"/>
        </w:rPr>
        <w:t>issued warrants to purchase 303,668 shares of common stock to the investors who provided us with bridge financing in June 2020 on terms which are substantially the sam</w:t>
      </w:r>
      <w:r w:rsidR="003B634D">
        <w:rPr>
          <w:sz w:val="20"/>
          <w:szCs w:val="20"/>
        </w:rPr>
        <w:t>e as the September 2020 Warrants</w:t>
      </w:r>
      <w:r w:rsidRPr="00F2032D">
        <w:rPr>
          <w:sz w:val="20"/>
          <w:szCs w:val="20"/>
        </w:rPr>
        <w:t>. The Company relied on an exemption from the registration requirements of the Securities Act afforded by Section 4(a)(2) thereof and Rule 506 of Regulation D. The accredited investors acquired the shares for investment for their own accounts in a transaction that did not involve a general solicitation.</w:t>
      </w:r>
    </w:p>
    <w:p w14:paraId="66F88CDD" w14:textId="77777777" w:rsidR="00F2032D" w:rsidRDefault="00F2032D" w:rsidP="00F2032D">
      <w:pPr>
        <w:jc w:val="both"/>
        <w:rPr>
          <w:sz w:val="20"/>
          <w:szCs w:val="20"/>
        </w:rPr>
      </w:pPr>
    </w:p>
    <w:p w14:paraId="6840D8EB" w14:textId="77777777" w:rsidR="00F2032D" w:rsidRDefault="00F2032D" w:rsidP="009451A7">
      <w:pPr>
        <w:ind w:firstLine="720"/>
        <w:jc w:val="both"/>
        <w:rPr>
          <w:sz w:val="20"/>
          <w:szCs w:val="20"/>
        </w:rPr>
      </w:pPr>
      <w:r w:rsidRPr="00F2032D">
        <w:rPr>
          <w:sz w:val="20"/>
          <w:szCs w:val="20"/>
        </w:rPr>
        <w:t xml:space="preserve">On September 29, 2020, the underwriters who conducted our public offering in September 2020 received warrants granted to them to purchase 128,000 shares of common (equal to five percent (5%) of the total number of shares of common stock sold in that offering) at an exercise price equal to $5.50 (110% of the public offering price in </w:t>
      </w:r>
      <w:r w:rsidRPr="00F2032D">
        <w:rPr>
          <w:sz w:val="20"/>
          <w:szCs w:val="20"/>
        </w:rPr>
        <w:lastRenderedPageBreak/>
        <w:t xml:space="preserve">that offering), as a portion of the underwriting compensation payable to the </w:t>
      </w:r>
      <w:r w:rsidR="009451A7">
        <w:rPr>
          <w:sz w:val="20"/>
          <w:szCs w:val="20"/>
        </w:rPr>
        <w:t>underwriters</w:t>
      </w:r>
      <w:r w:rsidRPr="00F2032D">
        <w:rPr>
          <w:sz w:val="20"/>
          <w:szCs w:val="20"/>
        </w:rPr>
        <w:t xml:space="preserve"> in connection with this offering</w:t>
      </w:r>
      <w:r w:rsidR="009451A7">
        <w:rPr>
          <w:sz w:val="20"/>
          <w:szCs w:val="20"/>
        </w:rPr>
        <w:t xml:space="preserve"> (the “Underwriters Warrants”). The Underwriters Warrants are initially </w:t>
      </w:r>
      <w:r w:rsidRPr="00F2032D">
        <w:rPr>
          <w:sz w:val="20"/>
          <w:szCs w:val="20"/>
        </w:rPr>
        <w:t xml:space="preserve">exercisable </w:t>
      </w:r>
      <w:r w:rsidR="009451A7">
        <w:rPr>
          <w:sz w:val="20"/>
          <w:szCs w:val="20"/>
        </w:rPr>
        <w:t>March 29, 2021, and have a term of three years from their initial exercise date</w:t>
      </w:r>
      <w:r>
        <w:rPr>
          <w:sz w:val="20"/>
          <w:szCs w:val="20"/>
        </w:rPr>
        <w:t>.</w:t>
      </w:r>
    </w:p>
    <w:p w14:paraId="1ACE9906" w14:textId="77777777" w:rsidR="00EF0142" w:rsidRDefault="00EF0142" w:rsidP="009451A7">
      <w:pPr>
        <w:ind w:firstLine="720"/>
        <w:jc w:val="both"/>
        <w:rPr>
          <w:sz w:val="20"/>
          <w:szCs w:val="20"/>
        </w:rPr>
      </w:pPr>
    </w:p>
    <w:p w14:paraId="02D13301" w14:textId="77777777" w:rsidR="00EF0142" w:rsidRPr="00F2032D" w:rsidRDefault="00EF0142" w:rsidP="009451A7">
      <w:pPr>
        <w:ind w:firstLine="720"/>
        <w:jc w:val="both"/>
        <w:rPr>
          <w:sz w:val="20"/>
          <w:szCs w:val="20"/>
        </w:rPr>
      </w:pPr>
      <w:r w:rsidRPr="00EF0142">
        <w:rPr>
          <w:sz w:val="20"/>
          <w:szCs w:val="20"/>
        </w:rPr>
        <w:t xml:space="preserve">Effective as of November 1, 2020, we entered into a Marketing and Consulting Agreement and Subscription Agreement with </w:t>
      </w:r>
      <w:proofErr w:type="spellStart"/>
      <w:r w:rsidRPr="00EF0142">
        <w:rPr>
          <w:sz w:val="20"/>
          <w:szCs w:val="20"/>
        </w:rPr>
        <w:t>CorProminence</w:t>
      </w:r>
      <w:proofErr w:type="spellEnd"/>
      <w:r w:rsidRPr="00EF0142">
        <w:rPr>
          <w:sz w:val="20"/>
          <w:szCs w:val="20"/>
        </w:rPr>
        <w:t xml:space="preserve">, LLC, pursuant to which the Company is receiving services related to shareholder information and relations. In November 2020, we issued 20,000 shares of our common stock to </w:t>
      </w:r>
      <w:proofErr w:type="spellStart"/>
      <w:r w:rsidRPr="00EF0142">
        <w:rPr>
          <w:sz w:val="20"/>
          <w:szCs w:val="20"/>
        </w:rPr>
        <w:t>CorProminence</w:t>
      </w:r>
      <w:proofErr w:type="spellEnd"/>
      <w:r w:rsidRPr="00EF0142">
        <w:rPr>
          <w:sz w:val="20"/>
          <w:szCs w:val="20"/>
        </w:rPr>
        <w:t>, LLC as a restricted stock award under our 2020 Stock Incentive Plan with a value at that date of $58,400. The Company relied on an exemption from the registration requirements of the Securities Act afforded by Section 4(a) (2) thereof and Rule 506 of Regulation D.</w:t>
      </w:r>
    </w:p>
    <w:p w14:paraId="2E9E6D34" w14:textId="77777777" w:rsidR="00F2032D" w:rsidRPr="00F2032D" w:rsidRDefault="00F2032D" w:rsidP="00F2032D">
      <w:pPr>
        <w:jc w:val="both"/>
        <w:rPr>
          <w:sz w:val="20"/>
          <w:szCs w:val="20"/>
        </w:rPr>
      </w:pPr>
    </w:p>
    <w:p w14:paraId="0ED03472" w14:textId="487A2770" w:rsidR="00F2032D" w:rsidRDefault="00F2032D" w:rsidP="009451A7">
      <w:pPr>
        <w:ind w:firstLine="720"/>
        <w:jc w:val="both"/>
        <w:rPr>
          <w:sz w:val="20"/>
          <w:szCs w:val="20"/>
        </w:rPr>
      </w:pPr>
      <w:r w:rsidRPr="00F2032D">
        <w:rPr>
          <w:sz w:val="20"/>
          <w:szCs w:val="20"/>
        </w:rPr>
        <w:t>On February 11, 2021, the Company issued to the Maxim Group LLC, as a portion of the underwriting compensation, warrants to purchase up to a total of 72,000 shares (equal to five percent (5%) of the shares of common stock sold in that offering) of common stock (the “Underwriter’s Warrant Agreement”). The shares subject to the Underwriter’s Warrant Agreement are exercisable at $6.875 per share, are initially exercisable August 10, 2021, and have a term of three years from their initial exercise date. The Company relied on an exemption from the registration requirements of the Securities Act afforded by Section 4(a)(2) thereof and Rule 506 of Regulation D.</w:t>
      </w:r>
      <w:r w:rsidR="009451A7">
        <w:rPr>
          <w:sz w:val="20"/>
          <w:szCs w:val="20"/>
        </w:rPr>
        <w:t xml:space="preserve"> </w:t>
      </w:r>
      <w:r w:rsidR="00A66043">
        <w:rPr>
          <w:sz w:val="20"/>
          <w:szCs w:val="20"/>
        </w:rPr>
        <w:t xml:space="preserve"> On June 9, 2022, Maxim Group LLC assigned the 2020 Common Warrant to Maxim Partners.</w:t>
      </w:r>
    </w:p>
    <w:p w14:paraId="6478A7A5" w14:textId="77777777" w:rsidR="00EF0142" w:rsidRDefault="00EF0142" w:rsidP="009451A7">
      <w:pPr>
        <w:ind w:firstLine="720"/>
        <w:jc w:val="both"/>
        <w:rPr>
          <w:sz w:val="20"/>
          <w:szCs w:val="20"/>
        </w:rPr>
      </w:pPr>
    </w:p>
    <w:p w14:paraId="03C4418F" w14:textId="77777777" w:rsidR="00EF0142" w:rsidRDefault="00EF0142" w:rsidP="009451A7">
      <w:pPr>
        <w:ind w:firstLine="720"/>
        <w:jc w:val="both"/>
        <w:rPr>
          <w:sz w:val="20"/>
          <w:szCs w:val="20"/>
        </w:rPr>
      </w:pPr>
      <w:r w:rsidRPr="00EF0142">
        <w:rPr>
          <w:sz w:val="20"/>
          <w:szCs w:val="20"/>
        </w:rPr>
        <w:t>Effective as of May 1, 2021, we renewed our agreement with Content Carnivores, LLC for an additional one-year period. In connection with the renewal, in May 2021, we issued 11,000 shares of our common stock to Content Carnivores, LLC as a restricted stock award under our 2020 Stock Incentive Plan with a value at that date of $59,840. The Company relied on an exemption from the registration requirements of the Securities Act afforded by Section 4(a) (2) thereof and Rule 506 of Regulation D.</w:t>
      </w:r>
    </w:p>
    <w:p w14:paraId="1B13AB8C" w14:textId="77777777" w:rsidR="00F51B7F" w:rsidRDefault="00F51B7F" w:rsidP="009451A7">
      <w:pPr>
        <w:ind w:firstLine="720"/>
        <w:jc w:val="both"/>
        <w:rPr>
          <w:sz w:val="20"/>
          <w:szCs w:val="20"/>
        </w:rPr>
      </w:pPr>
    </w:p>
    <w:p w14:paraId="5CA8CDDC" w14:textId="77777777" w:rsidR="00F51B7F" w:rsidRDefault="00F51B7F" w:rsidP="009451A7">
      <w:pPr>
        <w:ind w:firstLine="720"/>
        <w:jc w:val="both"/>
        <w:rPr>
          <w:sz w:val="20"/>
          <w:szCs w:val="20"/>
        </w:rPr>
      </w:pPr>
      <w:r>
        <w:rPr>
          <w:sz w:val="20"/>
          <w:szCs w:val="20"/>
        </w:rPr>
        <w:t xml:space="preserve">On September 28, 2021, in connection with entering into an assignment and license agreement, the Company issued warrants to </w:t>
      </w:r>
      <w:r w:rsidRPr="00F51B7F">
        <w:rPr>
          <w:sz w:val="20"/>
          <w:szCs w:val="20"/>
        </w:rPr>
        <w:t>PNP Therapeutics, Inc. (“PNP”), exercisable at any time following March 28, 2022, and prior to September 28, 2026, for up to 100,000 shares of the Company’s common stock at an exercise price of $13.00 per share.</w:t>
      </w:r>
      <w:r>
        <w:rPr>
          <w:sz w:val="20"/>
          <w:szCs w:val="20"/>
        </w:rPr>
        <w:t xml:space="preserve"> </w:t>
      </w:r>
      <w:r w:rsidRPr="00F51B7F">
        <w:rPr>
          <w:sz w:val="20"/>
          <w:szCs w:val="20"/>
        </w:rPr>
        <w:t>The Company relied on an exemption from the registration requirements of the Securities Act afforded by Section 4(a)(2) thereof and Rule 506 of Regulation D.</w:t>
      </w:r>
    </w:p>
    <w:p w14:paraId="52EE4D02" w14:textId="77777777" w:rsidR="00F51B7F" w:rsidRDefault="00F51B7F" w:rsidP="009451A7">
      <w:pPr>
        <w:ind w:firstLine="720"/>
        <w:jc w:val="both"/>
        <w:rPr>
          <w:sz w:val="20"/>
          <w:szCs w:val="20"/>
        </w:rPr>
      </w:pPr>
    </w:p>
    <w:p w14:paraId="1B0D28A2" w14:textId="5A77886B" w:rsidR="00F51B7F" w:rsidRDefault="00F51B7F" w:rsidP="009451A7">
      <w:pPr>
        <w:ind w:firstLine="720"/>
        <w:jc w:val="both"/>
        <w:rPr>
          <w:sz w:val="20"/>
          <w:szCs w:val="20"/>
        </w:rPr>
      </w:pPr>
      <w:r w:rsidRPr="00F51B7F">
        <w:rPr>
          <w:sz w:val="20"/>
          <w:szCs w:val="20"/>
        </w:rPr>
        <w:t xml:space="preserve">On January 14, 2022, we entered into a Securities Purchase Agreement with </w:t>
      </w:r>
      <w:r w:rsidR="005B1C7A">
        <w:rPr>
          <w:sz w:val="20"/>
          <w:szCs w:val="20"/>
        </w:rPr>
        <w:t>Armistice</w:t>
      </w:r>
      <w:r w:rsidRPr="00F51B7F">
        <w:rPr>
          <w:sz w:val="20"/>
          <w:szCs w:val="20"/>
        </w:rPr>
        <w:t xml:space="preserve"> providing for the issuance and sale to </w:t>
      </w:r>
      <w:r w:rsidR="005B1C7A">
        <w:rPr>
          <w:sz w:val="20"/>
          <w:szCs w:val="20"/>
        </w:rPr>
        <w:t>Armistice</w:t>
      </w:r>
      <w:r w:rsidRPr="00F51B7F">
        <w:rPr>
          <w:sz w:val="20"/>
          <w:szCs w:val="20"/>
        </w:rPr>
        <w:t xml:space="preserve"> of 707,484 </w:t>
      </w:r>
      <w:r w:rsidR="003B634D">
        <w:rPr>
          <w:sz w:val="20"/>
          <w:szCs w:val="20"/>
        </w:rPr>
        <w:t>s</w:t>
      </w:r>
      <w:r w:rsidRPr="00F51B7F">
        <w:rPr>
          <w:sz w:val="20"/>
          <w:szCs w:val="20"/>
        </w:rPr>
        <w:t>hares</w:t>
      </w:r>
      <w:r w:rsidR="003B634D">
        <w:rPr>
          <w:sz w:val="20"/>
          <w:szCs w:val="20"/>
        </w:rPr>
        <w:t xml:space="preserve"> of common stock</w:t>
      </w:r>
      <w:r w:rsidRPr="00F51B7F">
        <w:rPr>
          <w:sz w:val="20"/>
          <w:szCs w:val="20"/>
        </w:rPr>
        <w:t xml:space="preserve">, 2,360,000 shares of common stock issuable upon the exercise of </w:t>
      </w:r>
      <w:r w:rsidR="00747B46">
        <w:rPr>
          <w:sz w:val="20"/>
          <w:szCs w:val="20"/>
        </w:rPr>
        <w:t>a p</w:t>
      </w:r>
      <w:r w:rsidRPr="00F51B7F">
        <w:rPr>
          <w:sz w:val="20"/>
          <w:szCs w:val="20"/>
        </w:rPr>
        <w:t>re-</w:t>
      </w:r>
      <w:r w:rsidR="00747B46">
        <w:rPr>
          <w:sz w:val="20"/>
          <w:szCs w:val="20"/>
        </w:rPr>
        <w:t>f</w:t>
      </w:r>
      <w:r w:rsidRPr="00F51B7F">
        <w:rPr>
          <w:sz w:val="20"/>
          <w:szCs w:val="20"/>
        </w:rPr>
        <w:t xml:space="preserve">unded </w:t>
      </w:r>
      <w:r w:rsidR="00747B46">
        <w:rPr>
          <w:sz w:val="20"/>
          <w:szCs w:val="20"/>
        </w:rPr>
        <w:t>w</w:t>
      </w:r>
      <w:r w:rsidRPr="00F51B7F">
        <w:rPr>
          <w:sz w:val="20"/>
          <w:szCs w:val="20"/>
        </w:rPr>
        <w:t xml:space="preserve">arrant </w:t>
      </w:r>
      <w:r w:rsidR="00747B46">
        <w:rPr>
          <w:sz w:val="20"/>
          <w:szCs w:val="20"/>
        </w:rPr>
        <w:t xml:space="preserve">(the “January Pre-Funded Warrant”) </w:t>
      </w:r>
      <w:r w:rsidRPr="00F51B7F">
        <w:rPr>
          <w:sz w:val="20"/>
          <w:szCs w:val="20"/>
        </w:rPr>
        <w:t xml:space="preserve">and 3,067,484 shares of common stock issuable upon the exercise of </w:t>
      </w:r>
      <w:r w:rsidR="00747B46">
        <w:rPr>
          <w:sz w:val="20"/>
          <w:szCs w:val="20"/>
        </w:rPr>
        <w:t>a w</w:t>
      </w:r>
      <w:r w:rsidRPr="00F51B7F">
        <w:rPr>
          <w:sz w:val="20"/>
          <w:szCs w:val="20"/>
        </w:rPr>
        <w:t>arrant</w:t>
      </w:r>
      <w:r w:rsidR="00747B46">
        <w:rPr>
          <w:sz w:val="20"/>
          <w:szCs w:val="20"/>
        </w:rPr>
        <w:t xml:space="preserve"> (the “Common Warrant” and together with the January Pre-Funded Warrant, the “January Warrants”)</w:t>
      </w:r>
      <w:r w:rsidRPr="00F51B7F">
        <w:rPr>
          <w:sz w:val="20"/>
          <w:szCs w:val="20"/>
        </w:rPr>
        <w:t xml:space="preserve">. The </w:t>
      </w:r>
      <w:r w:rsidR="00747B46">
        <w:rPr>
          <w:sz w:val="20"/>
          <w:szCs w:val="20"/>
        </w:rPr>
        <w:t xml:space="preserve">January </w:t>
      </w:r>
      <w:r w:rsidRPr="00F51B7F">
        <w:rPr>
          <w:sz w:val="20"/>
          <w:szCs w:val="20"/>
        </w:rPr>
        <w:t xml:space="preserve">Warrants are exercisable immediately and contain price adjustment provisions which may, under certain circumstances, reduce the applicable exercise price; the </w:t>
      </w:r>
      <w:r w:rsidR="00C546CD">
        <w:rPr>
          <w:sz w:val="20"/>
          <w:szCs w:val="20"/>
        </w:rPr>
        <w:t xml:space="preserve">January </w:t>
      </w:r>
      <w:r w:rsidRPr="00F51B7F">
        <w:rPr>
          <w:sz w:val="20"/>
          <w:szCs w:val="20"/>
        </w:rPr>
        <w:t xml:space="preserve">Pre-Funded Warrant shall terminate when fully exercised and the Common Warrant shall terminate on the fifth anniversary of the effective date of the </w:t>
      </w:r>
      <w:r w:rsidR="003B634D">
        <w:rPr>
          <w:sz w:val="20"/>
          <w:szCs w:val="20"/>
        </w:rPr>
        <w:t>Resale Registration Statement</w:t>
      </w:r>
      <w:r w:rsidRPr="00F51B7F">
        <w:rPr>
          <w:sz w:val="20"/>
          <w:szCs w:val="20"/>
        </w:rPr>
        <w:t>. The Private Placement closed on January 20, 2022.</w:t>
      </w:r>
      <w:r w:rsidR="003B634D">
        <w:rPr>
          <w:sz w:val="20"/>
          <w:szCs w:val="20"/>
        </w:rPr>
        <w:t xml:space="preserve"> </w:t>
      </w:r>
      <w:r w:rsidR="003B634D" w:rsidRPr="003B634D">
        <w:rPr>
          <w:sz w:val="20"/>
          <w:szCs w:val="20"/>
        </w:rPr>
        <w:t xml:space="preserve">The Company relied </w:t>
      </w:r>
      <w:r w:rsidR="003B634D" w:rsidRPr="00924AF7">
        <w:rPr>
          <w:sz w:val="20"/>
          <w:szCs w:val="20"/>
        </w:rPr>
        <w:t xml:space="preserve">on an exemption from the registration requirements of the Securities Act afforded by Section 4(a)(2) thereof and Rule 506 of Regulation D. </w:t>
      </w:r>
      <w:r w:rsidR="005B1C7A">
        <w:rPr>
          <w:sz w:val="20"/>
          <w:szCs w:val="20"/>
        </w:rPr>
        <w:t>Armistice</w:t>
      </w:r>
      <w:r w:rsidR="003B634D" w:rsidRPr="00924AF7">
        <w:rPr>
          <w:sz w:val="20"/>
          <w:szCs w:val="20"/>
        </w:rPr>
        <w:t xml:space="preserve"> acquired the shares for investment for its own account in a transaction that did not involve a general solicitation.</w:t>
      </w:r>
    </w:p>
    <w:p w14:paraId="7F8F4E4C" w14:textId="4B4F59DC" w:rsidR="00B73392" w:rsidRDefault="00B73392" w:rsidP="009451A7">
      <w:pPr>
        <w:ind w:firstLine="720"/>
        <w:jc w:val="both"/>
        <w:rPr>
          <w:sz w:val="20"/>
          <w:szCs w:val="20"/>
        </w:rPr>
      </w:pPr>
    </w:p>
    <w:p w14:paraId="3E372410" w14:textId="3849CC8B" w:rsidR="00B73392" w:rsidRPr="00924AF7" w:rsidRDefault="00B73392" w:rsidP="009451A7">
      <w:pPr>
        <w:ind w:firstLine="720"/>
        <w:jc w:val="both"/>
        <w:rPr>
          <w:sz w:val="20"/>
          <w:szCs w:val="20"/>
        </w:rPr>
      </w:pPr>
      <w:r w:rsidRPr="007C1EE1">
        <w:rPr>
          <w:bCs/>
          <w:sz w:val="20"/>
          <w:szCs w:val="20"/>
        </w:rPr>
        <w:t xml:space="preserve">On May 25, 2022, we entered into a Securities Purchase Agreement (the “PIPE Securities Purchase Agreement”) with </w:t>
      </w:r>
      <w:r w:rsidR="005B1C7A">
        <w:rPr>
          <w:bCs/>
          <w:sz w:val="20"/>
          <w:szCs w:val="20"/>
        </w:rPr>
        <w:t>Armistice</w:t>
      </w:r>
      <w:r w:rsidRPr="007C1EE1">
        <w:rPr>
          <w:bCs/>
          <w:sz w:val="20"/>
          <w:szCs w:val="20"/>
        </w:rPr>
        <w:t xml:space="preserve"> providing for the issuance and sale to </w:t>
      </w:r>
      <w:r w:rsidR="005B1C7A">
        <w:rPr>
          <w:bCs/>
          <w:sz w:val="20"/>
          <w:szCs w:val="20"/>
        </w:rPr>
        <w:t>Armistice</w:t>
      </w:r>
      <w:r w:rsidRPr="007C1EE1">
        <w:rPr>
          <w:bCs/>
          <w:sz w:val="20"/>
          <w:szCs w:val="20"/>
        </w:rPr>
        <w:t xml:space="preserve"> in a private placement offering of 9,090,910 shares of our common stock </w:t>
      </w:r>
      <w:r>
        <w:rPr>
          <w:bCs/>
          <w:sz w:val="20"/>
          <w:szCs w:val="20"/>
        </w:rPr>
        <w:t>issuable upon exercise of a p</w:t>
      </w:r>
      <w:r w:rsidRPr="007C1EE1">
        <w:rPr>
          <w:bCs/>
          <w:sz w:val="20"/>
          <w:szCs w:val="20"/>
        </w:rPr>
        <w:t>re-</w:t>
      </w:r>
      <w:r>
        <w:rPr>
          <w:bCs/>
          <w:sz w:val="20"/>
          <w:szCs w:val="20"/>
        </w:rPr>
        <w:t>f</w:t>
      </w:r>
      <w:r w:rsidRPr="007C1EE1">
        <w:rPr>
          <w:bCs/>
          <w:sz w:val="20"/>
          <w:szCs w:val="20"/>
        </w:rPr>
        <w:t xml:space="preserve">unded </w:t>
      </w:r>
      <w:r>
        <w:rPr>
          <w:bCs/>
          <w:sz w:val="20"/>
          <w:szCs w:val="20"/>
        </w:rPr>
        <w:t>w</w:t>
      </w:r>
      <w:r w:rsidRPr="007C1EE1">
        <w:rPr>
          <w:bCs/>
          <w:sz w:val="20"/>
          <w:szCs w:val="20"/>
        </w:rPr>
        <w:t>arrant and a preferred investment option to purchase up to 9,090,910 shares of common stock</w:t>
      </w:r>
      <w:r>
        <w:rPr>
          <w:bCs/>
          <w:sz w:val="20"/>
          <w:szCs w:val="20"/>
        </w:rPr>
        <w:t xml:space="preserve">. </w:t>
      </w:r>
      <w:r w:rsidRPr="007C1EE1">
        <w:rPr>
          <w:bCs/>
          <w:sz w:val="20"/>
          <w:szCs w:val="20"/>
        </w:rPr>
        <w:t xml:space="preserve">Concurrently with the entrance into the PIPE Securities Purchase Agreement, we entered into another Securities Purchase Agreement (the “RD Securities Purchase Agreement”) with </w:t>
      </w:r>
      <w:r w:rsidR="005B1C7A">
        <w:rPr>
          <w:bCs/>
          <w:sz w:val="20"/>
          <w:szCs w:val="20"/>
        </w:rPr>
        <w:t>Armistice</w:t>
      </w:r>
      <w:r w:rsidRPr="007C1EE1">
        <w:rPr>
          <w:bCs/>
          <w:sz w:val="20"/>
          <w:szCs w:val="20"/>
        </w:rPr>
        <w:t xml:space="preserve"> providing for the issuance and sale to </w:t>
      </w:r>
      <w:r w:rsidR="005B1C7A">
        <w:rPr>
          <w:bCs/>
          <w:sz w:val="20"/>
          <w:szCs w:val="20"/>
        </w:rPr>
        <w:t>Armistice</w:t>
      </w:r>
      <w:r w:rsidRPr="007C1EE1">
        <w:rPr>
          <w:bCs/>
          <w:sz w:val="20"/>
          <w:szCs w:val="20"/>
        </w:rPr>
        <w:t xml:space="preserve"> in a registered direct offering of 1,050,000 shares of our common stock</w:t>
      </w:r>
      <w:r>
        <w:rPr>
          <w:bCs/>
          <w:sz w:val="20"/>
          <w:szCs w:val="20"/>
        </w:rPr>
        <w:t xml:space="preserve">, </w:t>
      </w:r>
      <w:r w:rsidRPr="007C1EE1">
        <w:rPr>
          <w:bCs/>
          <w:sz w:val="20"/>
          <w:szCs w:val="20"/>
        </w:rPr>
        <w:t>a pre-funded warrant to purchase up to 1,980,304 shares of our common stock and a preferred investment option to purchase up to 3,030,304 shares of common stock</w:t>
      </w:r>
      <w:r>
        <w:rPr>
          <w:bCs/>
          <w:sz w:val="20"/>
          <w:szCs w:val="20"/>
        </w:rPr>
        <w:t>.  A</w:t>
      </w:r>
      <w:r w:rsidRPr="007C1EE1">
        <w:rPr>
          <w:bCs/>
          <w:sz w:val="20"/>
          <w:szCs w:val="20"/>
        </w:rPr>
        <w:t xml:space="preserve">ggregate gross proceeds from the private placement and registered direct offerings to the Company </w:t>
      </w:r>
      <w:r>
        <w:rPr>
          <w:bCs/>
          <w:sz w:val="20"/>
          <w:szCs w:val="20"/>
        </w:rPr>
        <w:t>were</w:t>
      </w:r>
      <w:r w:rsidRPr="007C1EE1">
        <w:rPr>
          <w:bCs/>
          <w:sz w:val="20"/>
          <w:szCs w:val="20"/>
        </w:rPr>
        <w:t xml:space="preserve"> approximately $20.0 million</w:t>
      </w:r>
      <w:r>
        <w:rPr>
          <w:bCs/>
          <w:sz w:val="20"/>
          <w:szCs w:val="20"/>
        </w:rPr>
        <w:t xml:space="preserve">.  </w:t>
      </w:r>
      <w:r w:rsidRPr="00F51B7F">
        <w:rPr>
          <w:sz w:val="20"/>
          <w:szCs w:val="20"/>
        </w:rPr>
        <w:t xml:space="preserve">The Private Placement closed on </w:t>
      </w:r>
      <w:r>
        <w:rPr>
          <w:sz w:val="20"/>
          <w:szCs w:val="20"/>
        </w:rPr>
        <w:t>May 27</w:t>
      </w:r>
      <w:r w:rsidRPr="00F51B7F">
        <w:rPr>
          <w:sz w:val="20"/>
          <w:szCs w:val="20"/>
        </w:rPr>
        <w:t>, 2022.</w:t>
      </w:r>
      <w:r>
        <w:rPr>
          <w:sz w:val="20"/>
          <w:szCs w:val="20"/>
        </w:rPr>
        <w:t xml:space="preserve"> </w:t>
      </w:r>
      <w:r w:rsidRPr="003B634D">
        <w:rPr>
          <w:sz w:val="20"/>
          <w:szCs w:val="20"/>
        </w:rPr>
        <w:t xml:space="preserve">The Company relied </w:t>
      </w:r>
      <w:r w:rsidRPr="00924AF7">
        <w:rPr>
          <w:sz w:val="20"/>
          <w:szCs w:val="20"/>
        </w:rPr>
        <w:t xml:space="preserve">on an exemption from the registration requirements of the Securities Act afforded by Section 4(a)(2) thereof and Rule 506 of Regulation D. </w:t>
      </w:r>
      <w:r w:rsidR="005B1C7A">
        <w:rPr>
          <w:sz w:val="20"/>
          <w:szCs w:val="20"/>
        </w:rPr>
        <w:t>Armistice</w:t>
      </w:r>
      <w:r w:rsidRPr="00924AF7">
        <w:rPr>
          <w:sz w:val="20"/>
          <w:szCs w:val="20"/>
        </w:rPr>
        <w:t xml:space="preserve"> acquired the shares for investment for its own account in a transaction that did not involve a general solicitation</w:t>
      </w:r>
      <w:r w:rsidR="00E41BBA">
        <w:rPr>
          <w:sz w:val="20"/>
          <w:szCs w:val="20"/>
        </w:rPr>
        <w:t>.</w:t>
      </w:r>
    </w:p>
    <w:p w14:paraId="62DC9FB3" w14:textId="77777777" w:rsidR="00F2032D" w:rsidRPr="00924AF7" w:rsidRDefault="00F2032D" w:rsidP="00F2032D">
      <w:pPr>
        <w:jc w:val="both"/>
        <w:rPr>
          <w:sz w:val="20"/>
          <w:szCs w:val="20"/>
        </w:rPr>
      </w:pPr>
    </w:p>
    <w:p w14:paraId="44E76F7E" w14:textId="77777777" w:rsidR="0087113F" w:rsidRPr="00924AF7" w:rsidRDefault="004837DC" w:rsidP="00F2032D">
      <w:pPr>
        <w:jc w:val="both"/>
        <w:rPr>
          <w:sz w:val="20"/>
          <w:szCs w:val="20"/>
        </w:rPr>
      </w:pPr>
      <w:r w:rsidRPr="00924AF7">
        <w:rPr>
          <w:b/>
          <w:bCs/>
          <w:sz w:val="20"/>
          <w:szCs w:val="20"/>
        </w:rPr>
        <w:lastRenderedPageBreak/>
        <w:t>Item 16. Exhibits and Financial Statement Schedules.</w:t>
      </w:r>
    </w:p>
    <w:p w14:paraId="7DAD09F7" w14:textId="77777777" w:rsidR="0087113F" w:rsidRPr="00924AF7" w:rsidRDefault="004837DC">
      <w:pPr>
        <w:jc w:val="both"/>
        <w:rPr>
          <w:sz w:val="20"/>
          <w:szCs w:val="20"/>
        </w:rPr>
      </w:pPr>
      <w:r w:rsidRPr="00924AF7">
        <w:rPr>
          <w:sz w:val="20"/>
          <w:szCs w:val="20"/>
        </w:rPr>
        <w:t> </w:t>
      </w:r>
    </w:p>
    <w:p w14:paraId="726436B9" w14:textId="3D5138F4" w:rsidR="0087113F" w:rsidRPr="00924AF7" w:rsidRDefault="004837DC">
      <w:pPr>
        <w:ind w:left="720" w:hanging="720"/>
        <w:jc w:val="both"/>
        <w:rPr>
          <w:sz w:val="20"/>
          <w:szCs w:val="20"/>
        </w:rPr>
      </w:pPr>
      <w:r w:rsidRPr="00924AF7">
        <w:rPr>
          <w:b/>
          <w:bCs/>
          <w:sz w:val="20"/>
          <w:szCs w:val="20"/>
        </w:rPr>
        <w:t xml:space="preserve">(a) </w:t>
      </w:r>
      <w:r w:rsidRPr="00924AF7">
        <w:rPr>
          <w:b/>
          <w:bCs/>
          <w:i/>
          <w:iCs/>
          <w:sz w:val="20"/>
          <w:szCs w:val="20"/>
        </w:rPr>
        <w:t>Exhibit Inde</w:t>
      </w:r>
      <w:r w:rsidR="00B779B0">
        <w:rPr>
          <w:b/>
          <w:bCs/>
          <w:i/>
          <w:iCs/>
          <w:sz w:val="20"/>
          <w:szCs w:val="20"/>
        </w:rPr>
        <w:t>x</w:t>
      </w:r>
    </w:p>
    <w:p w14:paraId="099449ED" w14:textId="77777777" w:rsidR="0087113F" w:rsidRPr="00924AF7" w:rsidRDefault="0087113F">
      <w:pPr>
        <w:ind w:left="720" w:hanging="720"/>
        <w:jc w:val="both"/>
        <w:rPr>
          <w:sz w:val="20"/>
          <w:szCs w:val="20"/>
        </w:rPr>
      </w:pPr>
    </w:p>
    <w:p w14:paraId="18E4C02C" w14:textId="77777777" w:rsidR="005A27C7" w:rsidRPr="005A27C7" w:rsidRDefault="005A27C7" w:rsidP="005A27C7">
      <w:pPr>
        <w:ind w:left="1080" w:hanging="1080"/>
        <w:rPr>
          <w:bCs/>
          <w:sz w:val="20"/>
          <w:szCs w:val="20"/>
        </w:rPr>
      </w:pPr>
      <w:bookmarkStart w:id="87" w:name="_Hlk508101880"/>
      <w:bookmarkStart w:id="88" w:name="_Hlk508102643"/>
      <w:r w:rsidRPr="005A27C7">
        <w:rPr>
          <w:bCs/>
          <w:sz w:val="20"/>
          <w:szCs w:val="20"/>
        </w:rPr>
        <w:t>3.1</w:t>
      </w:r>
      <w:r w:rsidRPr="005A27C7">
        <w:rPr>
          <w:bCs/>
          <w:sz w:val="20"/>
          <w:szCs w:val="20"/>
        </w:rPr>
        <w:tab/>
      </w:r>
      <w:hyperlink r:id="rId25" w:history="1">
        <w:r w:rsidRPr="005A27C7">
          <w:rPr>
            <w:rStyle w:val="Hyperlink"/>
            <w:bCs/>
            <w:sz w:val="20"/>
            <w:szCs w:val="20"/>
          </w:rPr>
          <w:t>Certificate of Incorporation (3)</w:t>
        </w:r>
      </w:hyperlink>
    </w:p>
    <w:bookmarkEnd w:id="87"/>
    <w:p w14:paraId="1AAD1EDF" w14:textId="77777777" w:rsidR="005A27C7" w:rsidRPr="005A27C7" w:rsidRDefault="005A27C7" w:rsidP="005A27C7">
      <w:pPr>
        <w:ind w:left="1080" w:hanging="1080"/>
        <w:rPr>
          <w:bCs/>
          <w:sz w:val="20"/>
          <w:szCs w:val="20"/>
        </w:rPr>
      </w:pPr>
      <w:r w:rsidRPr="005A27C7">
        <w:rPr>
          <w:bCs/>
          <w:sz w:val="20"/>
          <w:szCs w:val="20"/>
        </w:rPr>
        <w:t>3.1.1</w:t>
      </w:r>
      <w:r w:rsidRPr="005A27C7">
        <w:rPr>
          <w:bCs/>
          <w:sz w:val="20"/>
          <w:szCs w:val="20"/>
        </w:rPr>
        <w:tab/>
      </w:r>
      <w:hyperlink r:id="rId26" w:history="1">
        <w:r w:rsidRPr="005A27C7">
          <w:rPr>
            <w:rStyle w:val="Hyperlink"/>
            <w:bCs/>
            <w:sz w:val="20"/>
            <w:szCs w:val="20"/>
          </w:rPr>
          <w:t xml:space="preserve">Certificate of Amendment to the Certificate of Incorporation of </w:t>
        </w:r>
        <w:proofErr w:type="spellStart"/>
        <w:r w:rsidRPr="005A27C7">
          <w:rPr>
            <w:rStyle w:val="Hyperlink"/>
            <w:bCs/>
            <w:sz w:val="20"/>
            <w:szCs w:val="20"/>
          </w:rPr>
          <w:t>GeoVax</w:t>
        </w:r>
        <w:proofErr w:type="spellEnd"/>
        <w:r w:rsidRPr="005A27C7">
          <w:rPr>
            <w:rStyle w:val="Hyperlink"/>
            <w:bCs/>
            <w:sz w:val="20"/>
            <w:szCs w:val="20"/>
          </w:rPr>
          <w:t xml:space="preserve"> Labs, Inc. filed April 13, 2010 (5)</w:t>
        </w:r>
      </w:hyperlink>
    </w:p>
    <w:p w14:paraId="7E85FE0A" w14:textId="77777777" w:rsidR="005A27C7" w:rsidRPr="005A27C7" w:rsidRDefault="005A27C7" w:rsidP="005A27C7">
      <w:pPr>
        <w:ind w:left="1080" w:hanging="1080"/>
        <w:rPr>
          <w:bCs/>
          <w:sz w:val="20"/>
          <w:szCs w:val="20"/>
        </w:rPr>
      </w:pPr>
      <w:r w:rsidRPr="005A27C7">
        <w:rPr>
          <w:bCs/>
          <w:sz w:val="20"/>
          <w:szCs w:val="20"/>
        </w:rPr>
        <w:t>3.1.2</w:t>
      </w:r>
      <w:r w:rsidRPr="005A27C7">
        <w:rPr>
          <w:bCs/>
          <w:sz w:val="20"/>
          <w:szCs w:val="20"/>
        </w:rPr>
        <w:tab/>
      </w:r>
      <w:hyperlink r:id="rId27" w:history="1">
        <w:r w:rsidRPr="005A27C7">
          <w:rPr>
            <w:rStyle w:val="Hyperlink"/>
            <w:bCs/>
            <w:sz w:val="20"/>
            <w:szCs w:val="20"/>
          </w:rPr>
          <w:t xml:space="preserve">Certificate of Amendment to the Certificate of Incorporation of </w:t>
        </w:r>
        <w:proofErr w:type="spellStart"/>
        <w:r w:rsidRPr="005A27C7">
          <w:rPr>
            <w:rStyle w:val="Hyperlink"/>
            <w:bCs/>
            <w:sz w:val="20"/>
            <w:szCs w:val="20"/>
          </w:rPr>
          <w:t>GeoVax</w:t>
        </w:r>
        <w:proofErr w:type="spellEnd"/>
        <w:r w:rsidRPr="005A27C7">
          <w:rPr>
            <w:rStyle w:val="Hyperlink"/>
            <w:bCs/>
            <w:sz w:val="20"/>
            <w:szCs w:val="20"/>
          </w:rPr>
          <w:t xml:space="preserve"> Labs, Inc. filed April 27, 2010 (6)</w:t>
        </w:r>
      </w:hyperlink>
    </w:p>
    <w:p w14:paraId="756FCC33" w14:textId="77777777" w:rsidR="005A27C7" w:rsidRPr="005A27C7" w:rsidRDefault="005A27C7" w:rsidP="005A27C7">
      <w:pPr>
        <w:ind w:left="1080" w:hanging="1080"/>
        <w:rPr>
          <w:bCs/>
          <w:sz w:val="20"/>
          <w:szCs w:val="20"/>
        </w:rPr>
      </w:pPr>
      <w:r w:rsidRPr="005A27C7">
        <w:rPr>
          <w:bCs/>
          <w:sz w:val="20"/>
          <w:szCs w:val="20"/>
        </w:rPr>
        <w:t>3.1.3</w:t>
      </w:r>
      <w:r w:rsidRPr="005A27C7">
        <w:rPr>
          <w:bCs/>
          <w:sz w:val="20"/>
          <w:szCs w:val="20"/>
        </w:rPr>
        <w:tab/>
      </w:r>
      <w:hyperlink r:id="rId28" w:history="1">
        <w:r w:rsidRPr="005A27C7">
          <w:rPr>
            <w:rStyle w:val="Hyperlink"/>
            <w:bCs/>
            <w:sz w:val="20"/>
            <w:szCs w:val="20"/>
          </w:rPr>
          <w:t xml:space="preserve">Certificate of Amendment to the Certificate of Incorporation of </w:t>
        </w:r>
        <w:proofErr w:type="spellStart"/>
        <w:r w:rsidRPr="005A27C7">
          <w:rPr>
            <w:rStyle w:val="Hyperlink"/>
            <w:bCs/>
            <w:sz w:val="20"/>
            <w:szCs w:val="20"/>
          </w:rPr>
          <w:t>GeoVax</w:t>
        </w:r>
        <w:proofErr w:type="spellEnd"/>
        <w:r w:rsidRPr="005A27C7">
          <w:rPr>
            <w:rStyle w:val="Hyperlink"/>
            <w:bCs/>
            <w:sz w:val="20"/>
            <w:szCs w:val="20"/>
          </w:rPr>
          <w:t xml:space="preserve"> Labs, Inc. filed August 2, 2013 (7)</w:t>
        </w:r>
      </w:hyperlink>
    </w:p>
    <w:p w14:paraId="5CF9C96B" w14:textId="77777777" w:rsidR="005A27C7" w:rsidRPr="005A27C7" w:rsidRDefault="005A27C7" w:rsidP="005A27C7">
      <w:pPr>
        <w:ind w:left="1080" w:hanging="1080"/>
        <w:rPr>
          <w:bCs/>
          <w:sz w:val="20"/>
          <w:szCs w:val="20"/>
        </w:rPr>
      </w:pPr>
      <w:r w:rsidRPr="005A27C7">
        <w:rPr>
          <w:bCs/>
          <w:sz w:val="20"/>
          <w:szCs w:val="20"/>
        </w:rPr>
        <w:t>3.1.4</w:t>
      </w:r>
      <w:r w:rsidRPr="005A27C7">
        <w:rPr>
          <w:bCs/>
          <w:sz w:val="20"/>
          <w:szCs w:val="20"/>
        </w:rPr>
        <w:tab/>
      </w:r>
      <w:hyperlink r:id="rId29" w:history="1">
        <w:r w:rsidRPr="005A27C7">
          <w:rPr>
            <w:rStyle w:val="Hyperlink"/>
            <w:bCs/>
            <w:sz w:val="20"/>
            <w:szCs w:val="20"/>
          </w:rPr>
          <w:t xml:space="preserve">Certificate of Amendment to the Certificate of Incorporation of </w:t>
        </w:r>
        <w:proofErr w:type="spellStart"/>
        <w:r w:rsidRPr="005A27C7">
          <w:rPr>
            <w:rStyle w:val="Hyperlink"/>
            <w:bCs/>
            <w:sz w:val="20"/>
            <w:szCs w:val="20"/>
          </w:rPr>
          <w:t>GeoVax</w:t>
        </w:r>
        <w:proofErr w:type="spellEnd"/>
        <w:r w:rsidRPr="005A27C7">
          <w:rPr>
            <w:rStyle w:val="Hyperlink"/>
            <w:bCs/>
            <w:sz w:val="20"/>
            <w:szCs w:val="20"/>
          </w:rPr>
          <w:t xml:space="preserve"> Labs, Inc. filed May 13, 2015 (8)</w:t>
        </w:r>
      </w:hyperlink>
    </w:p>
    <w:p w14:paraId="75B108AD" w14:textId="77777777" w:rsidR="005A27C7" w:rsidRPr="005A27C7" w:rsidRDefault="005A27C7" w:rsidP="005A27C7">
      <w:pPr>
        <w:ind w:left="1080" w:hanging="1080"/>
        <w:rPr>
          <w:bCs/>
          <w:sz w:val="20"/>
          <w:szCs w:val="20"/>
        </w:rPr>
      </w:pPr>
      <w:r w:rsidRPr="005A27C7">
        <w:rPr>
          <w:bCs/>
          <w:sz w:val="20"/>
          <w:szCs w:val="20"/>
        </w:rPr>
        <w:t>3.1.5</w:t>
      </w:r>
      <w:r w:rsidRPr="005A27C7">
        <w:rPr>
          <w:bCs/>
          <w:sz w:val="20"/>
          <w:szCs w:val="20"/>
        </w:rPr>
        <w:tab/>
      </w:r>
      <w:hyperlink r:id="rId30" w:history="1">
        <w:r w:rsidRPr="005A27C7">
          <w:rPr>
            <w:rStyle w:val="Hyperlink"/>
            <w:bCs/>
            <w:sz w:val="20"/>
            <w:szCs w:val="20"/>
          </w:rPr>
          <w:t xml:space="preserve">Certificate of Amendment to the Certificate of Incorporation of </w:t>
        </w:r>
        <w:proofErr w:type="spellStart"/>
        <w:r w:rsidRPr="005A27C7">
          <w:rPr>
            <w:rStyle w:val="Hyperlink"/>
            <w:bCs/>
            <w:sz w:val="20"/>
            <w:szCs w:val="20"/>
          </w:rPr>
          <w:t>GeoVax</w:t>
        </w:r>
        <w:proofErr w:type="spellEnd"/>
        <w:r w:rsidRPr="005A27C7">
          <w:rPr>
            <w:rStyle w:val="Hyperlink"/>
            <w:bCs/>
            <w:sz w:val="20"/>
            <w:szCs w:val="20"/>
          </w:rPr>
          <w:t xml:space="preserve"> Labs, Inc. filed June 14, 2016 (11)</w:t>
        </w:r>
      </w:hyperlink>
    </w:p>
    <w:p w14:paraId="23A6C9E3" w14:textId="77777777" w:rsidR="005A27C7" w:rsidRPr="005A27C7" w:rsidRDefault="005A27C7" w:rsidP="005A27C7">
      <w:pPr>
        <w:ind w:left="1080" w:hanging="1080"/>
        <w:rPr>
          <w:bCs/>
          <w:sz w:val="20"/>
          <w:szCs w:val="20"/>
        </w:rPr>
      </w:pPr>
      <w:r w:rsidRPr="005A27C7">
        <w:rPr>
          <w:bCs/>
          <w:sz w:val="20"/>
          <w:szCs w:val="20"/>
        </w:rPr>
        <w:t>3.1.6</w:t>
      </w:r>
      <w:r w:rsidRPr="005A27C7">
        <w:rPr>
          <w:bCs/>
          <w:sz w:val="20"/>
          <w:szCs w:val="20"/>
        </w:rPr>
        <w:tab/>
      </w:r>
      <w:hyperlink r:id="rId31" w:history="1">
        <w:r w:rsidRPr="005A27C7">
          <w:rPr>
            <w:rStyle w:val="Hyperlink"/>
            <w:bCs/>
            <w:sz w:val="20"/>
            <w:szCs w:val="20"/>
          </w:rPr>
          <w:t xml:space="preserve">Certificate of Amendment to the Certificate of Incorporation of </w:t>
        </w:r>
        <w:proofErr w:type="spellStart"/>
        <w:r w:rsidRPr="005A27C7">
          <w:rPr>
            <w:rStyle w:val="Hyperlink"/>
            <w:bCs/>
            <w:sz w:val="20"/>
            <w:szCs w:val="20"/>
          </w:rPr>
          <w:t>GeoVax</w:t>
        </w:r>
        <w:proofErr w:type="spellEnd"/>
        <w:r w:rsidRPr="005A27C7">
          <w:rPr>
            <w:rStyle w:val="Hyperlink"/>
            <w:bCs/>
            <w:sz w:val="20"/>
            <w:szCs w:val="20"/>
          </w:rPr>
          <w:t xml:space="preserve"> Labs, Inc. filed August 4, 2017 (12)</w:t>
        </w:r>
      </w:hyperlink>
    </w:p>
    <w:p w14:paraId="509BD8D0" w14:textId="77777777" w:rsidR="005A27C7" w:rsidRPr="005A27C7" w:rsidRDefault="005A27C7" w:rsidP="005A27C7">
      <w:pPr>
        <w:ind w:left="1080" w:hanging="1080"/>
        <w:rPr>
          <w:bCs/>
          <w:color w:val="0000FF"/>
          <w:sz w:val="20"/>
          <w:szCs w:val="20"/>
          <w:u w:val="single"/>
        </w:rPr>
      </w:pPr>
      <w:r w:rsidRPr="005A27C7">
        <w:rPr>
          <w:bCs/>
          <w:sz w:val="20"/>
          <w:szCs w:val="20"/>
        </w:rPr>
        <w:t>3.1.7</w:t>
      </w:r>
      <w:r w:rsidRPr="005A27C7">
        <w:rPr>
          <w:bCs/>
          <w:sz w:val="20"/>
          <w:szCs w:val="20"/>
        </w:rPr>
        <w:tab/>
      </w:r>
      <w:hyperlink r:id="rId32" w:history="1">
        <w:r w:rsidRPr="005A27C7">
          <w:rPr>
            <w:bCs/>
            <w:color w:val="0000FF"/>
            <w:sz w:val="20"/>
            <w:szCs w:val="20"/>
            <w:u w:val="single"/>
          </w:rPr>
          <w:t xml:space="preserve">Certificate of Amendment to the Certificate of Incorporation of </w:t>
        </w:r>
        <w:proofErr w:type="spellStart"/>
        <w:r w:rsidRPr="005A27C7">
          <w:rPr>
            <w:bCs/>
            <w:color w:val="0000FF"/>
            <w:sz w:val="20"/>
            <w:szCs w:val="20"/>
            <w:u w:val="single"/>
          </w:rPr>
          <w:t>GeoVax</w:t>
        </w:r>
        <w:proofErr w:type="spellEnd"/>
        <w:r w:rsidRPr="005A27C7">
          <w:rPr>
            <w:bCs/>
            <w:color w:val="0000FF"/>
            <w:sz w:val="20"/>
            <w:szCs w:val="20"/>
            <w:u w:val="single"/>
          </w:rPr>
          <w:t xml:space="preserve"> Labs, Inc. filed April 30, 2019 (15)</w:t>
        </w:r>
      </w:hyperlink>
    </w:p>
    <w:p w14:paraId="05D98B1E" w14:textId="77777777" w:rsidR="005A27C7" w:rsidRPr="005A27C7" w:rsidRDefault="005A27C7" w:rsidP="005A27C7">
      <w:pPr>
        <w:ind w:left="1080" w:hanging="1080"/>
        <w:rPr>
          <w:rStyle w:val="Hyperlink"/>
          <w:bCs/>
          <w:sz w:val="20"/>
          <w:szCs w:val="20"/>
        </w:rPr>
      </w:pPr>
      <w:r w:rsidRPr="005A27C7">
        <w:rPr>
          <w:bCs/>
          <w:sz w:val="20"/>
          <w:szCs w:val="20"/>
        </w:rPr>
        <w:t>3.1.8</w:t>
      </w:r>
      <w:r w:rsidRPr="005A27C7">
        <w:rPr>
          <w:bCs/>
          <w:sz w:val="20"/>
          <w:szCs w:val="20"/>
        </w:rPr>
        <w:tab/>
      </w:r>
      <w:hyperlink r:id="rId33" w:history="1">
        <w:r w:rsidRPr="005A27C7">
          <w:rPr>
            <w:rStyle w:val="Hyperlink"/>
            <w:bCs/>
            <w:sz w:val="20"/>
            <w:szCs w:val="20"/>
          </w:rPr>
          <w:t xml:space="preserve">Certificate of Amendment to the Certificate of Incorporation of </w:t>
        </w:r>
        <w:proofErr w:type="spellStart"/>
        <w:r w:rsidRPr="005A27C7">
          <w:rPr>
            <w:rStyle w:val="Hyperlink"/>
            <w:bCs/>
            <w:sz w:val="20"/>
            <w:szCs w:val="20"/>
          </w:rPr>
          <w:t>GeoVax</w:t>
        </w:r>
        <w:proofErr w:type="spellEnd"/>
        <w:r w:rsidRPr="005A27C7">
          <w:rPr>
            <w:rStyle w:val="Hyperlink"/>
            <w:bCs/>
            <w:sz w:val="20"/>
            <w:szCs w:val="20"/>
          </w:rPr>
          <w:t xml:space="preserve"> Labs, Inc. filed January 21, 2020 (17)</w:t>
        </w:r>
      </w:hyperlink>
    </w:p>
    <w:p w14:paraId="05BAB26D" w14:textId="77777777" w:rsidR="005A27C7" w:rsidRPr="005A27C7" w:rsidRDefault="005A27C7" w:rsidP="005A27C7">
      <w:pPr>
        <w:ind w:left="1080" w:hanging="1080"/>
        <w:rPr>
          <w:bCs/>
          <w:sz w:val="20"/>
          <w:szCs w:val="20"/>
        </w:rPr>
      </w:pPr>
      <w:r w:rsidRPr="005A27C7">
        <w:rPr>
          <w:bCs/>
          <w:sz w:val="20"/>
          <w:szCs w:val="20"/>
        </w:rPr>
        <w:t>3.1.9</w:t>
      </w:r>
      <w:r w:rsidRPr="005A27C7">
        <w:rPr>
          <w:bCs/>
          <w:sz w:val="20"/>
          <w:szCs w:val="20"/>
        </w:rPr>
        <w:tab/>
      </w:r>
      <w:hyperlink r:id="rId34" w:history="1">
        <w:r w:rsidRPr="005A27C7">
          <w:rPr>
            <w:rStyle w:val="Hyperlink"/>
            <w:bCs/>
            <w:sz w:val="20"/>
            <w:szCs w:val="20"/>
          </w:rPr>
          <w:t xml:space="preserve">Certificate of Amendment to the Certificate of Incorporation of </w:t>
        </w:r>
        <w:proofErr w:type="spellStart"/>
        <w:r w:rsidRPr="005A27C7">
          <w:rPr>
            <w:rStyle w:val="Hyperlink"/>
            <w:bCs/>
            <w:sz w:val="20"/>
            <w:szCs w:val="20"/>
          </w:rPr>
          <w:t>GeoVax</w:t>
        </w:r>
        <w:proofErr w:type="spellEnd"/>
        <w:r w:rsidRPr="005A27C7">
          <w:rPr>
            <w:rStyle w:val="Hyperlink"/>
            <w:bCs/>
            <w:sz w:val="20"/>
            <w:szCs w:val="20"/>
          </w:rPr>
          <w:t xml:space="preserve"> Labs, Inc. filed September 24, 2020 (24)</w:t>
        </w:r>
      </w:hyperlink>
    </w:p>
    <w:p w14:paraId="665BBFBC" w14:textId="77777777" w:rsidR="005A27C7" w:rsidRPr="005A27C7" w:rsidRDefault="005A27C7" w:rsidP="005A27C7">
      <w:pPr>
        <w:ind w:left="1080" w:hanging="1080"/>
        <w:rPr>
          <w:bCs/>
          <w:sz w:val="20"/>
          <w:szCs w:val="20"/>
        </w:rPr>
      </w:pPr>
      <w:r w:rsidRPr="005A27C7">
        <w:rPr>
          <w:bCs/>
          <w:sz w:val="20"/>
          <w:szCs w:val="20"/>
        </w:rPr>
        <w:t>3.2</w:t>
      </w:r>
      <w:r w:rsidRPr="005A27C7">
        <w:rPr>
          <w:bCs/>
          <w:sz w:val="20"/>
          <w:szCs w:val="20"/>
        </w:rPr>
        <w:tab/>
      </w:r>
      <w:hyperlink r:id="rId35" w:history="1">
        <w:r w:rsidRPr="005A27C7">
          <w:rPr>
            <w:rStyle w:val="Hyperlink"/>
            <w:bCs/>
            <w:sz w:val="20"/>
            <w:szCs w:val="20"/>
          </w:rPr>
          <w:t>Bylaws (3)</w:t>
        </w:r>
      </w:hyperlink>
    </w:p>
    <w:p w14:paraId="68D77BB7" w14:textId="77777777" w:rsidR="005A27C7" w:rsidRPr="005A27C7" w:rsidRDefault="005A27C7" w:rsidP="005A27C7">
      <w:pPr>
        <w:ind w:left="1080" w:hanging="1080"/>
        <w:rPr>
          <w:bCs/>
          <w:sz w:val="20"/>
          <w:szCs w:val="20"/>
        </w:rPr>
      </w:pPr>
      <w:r w:rsidRPr="005A27C7">
        <w:rPr>
          <w:bCs/>
          <w:sz w:val="20"/>
          <w:szCs w:val="20"/>
        </w:rPr>
        <w:t>4.1</w:t>
      </w:r>
      <w:r w:rsidRPr="005A27C7">
        <w:rPr>
          <w:bCs/>
          <w:sz w:val="20"/>
          <w:szCs w:val="20"/>
        </w:rPr>
        <w:tab/>
      </w:r>
      <w:hyperlink r:id="rId36" w:history="1">
        <w:r w:rsidRPr="005A27C7">
          <w:rPr>
            <w:rStyle w:val="Hyperlink"/>
            <w:bCs/>
            <w:sz w:val="20"/>
            <w:szCs w:val="20"/>
          </w:rPr>
          <w:t>Form of Stock Certificate representing the Company’s Common Stock, par value $0.001 per share (21)</w:t>
        </w:r>
      </w:hyperlink>
    </w:p>
    <w:p w14:paraId="2DB21551" w14:textId="77777777" w:rsidR="005A27C7" w:rsidRPr="005A27C7" w:rsidRDefault="005A27C7" w:rsidP="005A27C7">
      <w:pPr>
        <w:ind w:left="1080" w:hanging="1080"/>
        <w:rPr>
          <w:bCs/>
          <w:sz w:val="20"/>
          <w:szCs w:val="20"/>
        </w:rPr>
      </w:pPr>
      <w:r w:rsidRPr="005A27C7">
        <w:rPr>
          <w:bCs/>
          <w:sz w:val="20"/>
          <w:szCs w:val="20"/>
        </w:rPr>
        <w:t>4.1.1</w:t>
      </w:r>
      <w:r w:rsidRPr="005A27C7">
        <w:rPr>
          <w:bCs/>
          <w:sz w:val="20"/>
          <w:szCs w:val="20"/>
        </w:rPr>
        <w:tab/>
      </w:r>
      <w:hyperlink r:id="rId37" w:history="1">
        <w:r w:rsidRPr="005A27C7">
          <w:rPr>
            <w:rStyle w:val="Hyperlink"/>
            <w:bCs/>
            <w:sz w:val="20"/>
            <w:szCs w:val="20"/>
          </w:rPr>
          <w:t>Form of Common Stock Purchase Warrant (23)</w:t>
        </w:r>
      </w:hyperlink>
    </w:p>
    <w:p w14:paraId="23E8853E" w14:textId="77777777" w:rsidR="005A27C7" w:rsidRPr="005A27C7" w:rsidRDefault="005A27C7" w:rsidP="005A27C7">
      <w:pPr>
        <w:ind w:left="1080" w:hanging="1080"/>
        <w:rPr>
          <w:bCs/>
          <w:sz w:val="20"/>
          <w:szCs w:val="20"/>
        </w:rPr>
      </w:pPr>
      <w:r w:rsidRPr="005A27C7">
        <w:rPr>
          <w:bCs/>
          <w:sz w:val="20"/>
          <w:szCs w:val="20"/>
        </w:rPr>
        <w:t>4.1.2</w:t>
      </w:r>
      <w:r w:rsidRPr="005A27C7">
        <w:rPr>
          <w:bCs/>
          <w:sz w:val="20"/>
          <w:szCs w:val="20"/>
        </w:rPr>
        <w:tab/>
      </w:r>
      <w:hyperlink r:id="rId38" w:history="1">
        <w:r w:rsidRPr="005A27C7">
          <w:rPr>
            <w:rStyle w:val="Hyperlink"/>
            <w:bCs/>
            <w:sz w:val="20"/>
            <w:szCs w:val="20"/>
          </w:rPr>
          <w:t>Form of Representative’s Warrant Agreement (22)</w:t>
        </w:r>
      </w:hyperlink>
    </w:p>
    <w:p w14:paraId="2A4C5392" w14:textId="77777777" w:rsidR="005A27C7" w:rsidRPr="005A27C7" w:rsidRDefault="005A27C7" w:rsidP="005A27C7">
      <w:pPr>
        <w:ind w:left="1080" w:hanging="1080"/>
        <w:rPr>
          <w:bCs/>
          <w:sz w:val="20"/>
          <w:szCs w:val="20"/>
        </w:rPr>
      </w:pPr>
      <w:r w:rsidRPr="005A27C7">
        <w:rPr>
          <w:bCs/>
          <w:sz w:val="20"/>
          <w:szCs w:val="20"/>
        </w:rPr>
        <w:t>4.1.3</w:t>
      </w:r>
      <w:r w:rsidRPr="005A27C7">
        <w:rPr>
          <w:bCs/>
          <w:sz w:val="20"/>
          <w:szCs w:val="20"/>
        </w:rPr>
        <w:tab/>
      </w:r>
      <w:hyperlink r:id="rId39" w:history="1">
        <w:r w:rsidRPr="005A27C7">
          <w:rPr>
            <w:rStyle w:val="Hyperlink"/>
            <w:bCs/>
            <w:sz w:val="20"/>
            <w:szCs w:val="20"/>
          </w:rPr>
          <w:t>Form of Warrant Agent Agreement (22)</w:t>
        </w:r>
      </w:hyperlink>
    </w:p>
    <w:p w14:paraId="4D2EDCC8" w14:textId="77777777" w:rsidR="005A27C7" w:rsidRPr="005A27C7" w:rsidRDefault="005A27C7" w:rsidP="005A27C7">
      <w:pPr>
        <w:ind w:left="1080" w:hanging="1080"/>
        <w:rPr>
          <w:bCs/>
          <w:sz w:val="20"/>
          <w:szCs w:val="20"/>
        </w:rPr>
      </w:pPr>
      <w:r w:rsidRPr="005A27C7">
        <w:rPr>
          <w:bCs/>
          <w:sz w:val="20"/>
          <w:szCs w:val="20"/>
        </w:rPr>
        <w:t>4.1.4</w:t>
      </w:r>
      <w:r w:rsidRPr="005A27C7">
        <w:rPr>
          <w:bCs/>
          <w:sz w:val="20"/>
          <w:szCs w:val="20"/>
        </w:rPr>
        <w:tab/>
      </w:r>
      <w:hyperlink r:id="rId40" w:history="1">
        <w:r w:rsidRPr="005A27C7">
          <w:rPr>
            <w:rStyle w:val="Hyperlink"/>
            <w:bCs/>
            <w:sz w:val="20"/>
            <w:szCs w:val="20"/>
          </w:rPr>
          <w:t>Form of Warrant issued to certain Management Creditors (22)</w:t>
        </w:r>
      </w:hyperlink>
    </w:p>
    <w:p w14:paraId="19D8CF35" w14:textId="77777777" w:rsidR="005A27C7" w:rsidRPr="005A27C7" w:rsidRDefault="005A27C7" w:rsidP="005A27C7">
      <w:pPr>
        <w:ind w:left="1080" w:hanging="1080"/>
        <w:rPr>
          <w:bCs/>
          <w:sz w:val="20"/>
          <w:szCs w:val="20"/>
        </w:rPr>
      </w:pPr>
      <w:r w:rsidRPr="005A27C7">
        <w:rPr>
          <w:bCs/>
          <w:sz w:val="20"/>
          <w:szCs w:val="20"/>
        </w:rPr>
        <w:t>4.1.5</w:t>
      </w:r>
      <w:r w:rsidRPr="005A27C7">
        <w:rPr>
          <w:bCs/>
          <w:sz w:val="20"/>
          <w:szCs w:val="20"/>
        </w:rPr>
        <w:tab/>
      </w:r>
      <w:hyperlink r:id="rId41" w:history="1">
        <w:r w:rsidRPr="005A27C7">
          <w:rPr>
            <w:rStyle w:val="Hyperlink"/>
            <w:bCs/>
            <w:sz w:val="20"/>
            <w:szCs w:val="20"/>
          </w:rPr>
          <w:t>Form of Common Stock Purchase Warrant, dated June 26, 2020 (20)</w:t>
        </w:r>
      </w:hyperlink>
    </w:p>
    <w:p w14:paraId="2D91E2F8" w14:textId="77777777" w:rsidR="005A27C7" w:rsidRPr="005A27C7" w:rsidRDefault="005A27C7" w:rsidP="005A27C7">
      <w:pPr>
        <w:ind w:left="1080" w:hanging="1080"/>
        <w:rPr>
          <w:bCs/>
          <w:color w:val="0000FF"/>
          <w:sz w:val="20"/>
          <w:szCs w:val="20"/>
          <w:u w:val="single"/>
        </w:rPr>
      </w:pPr>
      <w:r w:rsidRPr="005A27C7">
        <w:rPr>
          <w:bCs/>
          <w:sz w:val="20"/>
          <w:szCs w:val="20"/>
        </w:rPr>
        <w:t>4.1.6</w:t>
      </w:r>
      <w:r w:rsidRPr="005A27C7">
        <w:rPr>
          <w:bCs/>
          <w:sz w:val="20"/>
          <w:szCs w:val="20"/>
        </w:rPr>
        <w:tab/>
      </w:r>
      <w:hyperlink r:id="rId42" w:history="1">
        <w:r w:rsidRPr="005A27C7">
          <w:rPr>
            <w:rStyle w:val="Hyperlink"/>
            <w:bCs/>
            <w:sz w:val="20"/>
            <w:szCs w:val="20"/>
          </w:rPr>
          <w:t>Form of Underwriters Warrant Agreement dated February 11, 2021 (27)</w:t>
        </w:r>
      </w:hyperlink>
    </w:p>
    <w:p w14:paraId="50BD1F35" w14:textId="77777777" w:rsidR="005A27C7" w:rsidRPr="005A27C7" w:rsidRDefault="005A27C7" w:rsidP="005A27C7">
      <w:pPr>
        <w:ind w:left="1080" w:hanging="1080"/>
        <w:rPr>
          <w:rStyle w:val="Hyperlink"/>
          <w:bCs/>
          <w:sz w:val="20"/>
          <w:szCs w:val="20"/>
        </w:rPr>
      </w:pPr>
      <w:r w:rsidRPr="005A27C7">
        <w:rPr>
          <w:bCs/>
          <w:sz w:val="20"/>
          <w:szCs w:val="20"/>
        </w:rPr>
        <w:t>4.1.7</w:t>
      </w:r>
      <w:r w:rsidRPr="005A27C7">
        <w:rPr>
          <w:bCs/>
          <w:sz w:val="20"/>
          <w:szCs w:val="20"/>
        </w:rPr>
        <w:tab/>
      </w:r>
      <w:hyperlink r:id="rId43" w:history="1">
        <w:r w:rsidRPr="005A27C7">
          <w:rPr>
            <w:rStyle w:val="Hyperlink"/>
            <w:bCs/>
            <w:sz w:val="20"/>
            <w:szCs w:val="20"/>
          </w:rPr>
          <w:t>Form of Common Stock Purchase Warrant, dated September 28, 2021 (29)</w:t>
        </w:r>
      </w:hyperlink>
    </w:p>
    <w:p w14:paraId="0263094D" w14:textId="77777777" w:rsidR="005A27C7" w:rsidRPr="005A27C7" w:rsidRDefault="005A27C7" w:rsidP="005A27C7">
      <w:pPr>
        <w:ind w:left="1080" w:hanging="1080"/>
        <w:rPr>
          <w:bCs/>
          <w:sz w:val="20"/>
          <w:szCs w:val="20"/>
        </w:rPr>
      </w:pPr>
      <w:r w:rsidRPr="005A27C7">
        <w:rPr>
          <w:bCs/>
          <w:sz w:val="20"/>
          <w:szCs w:val="20"/>
        </w:rPr>
        <w:t>4.1.8</w:t>
      </w:r>
      <w:r w:rsidRPr="005A27C7">
        <w:rPr>
          <w:bCs/>
          <w:sz w:val="20"/>
          <w:szCs w:val="20"/>
        </w:rPr>
        <w:tab/>
      </w:r>
      <w:hyperlink r:id="rId44" w:history="1">
        <w:r w:rsidRPr="005A27C7">
          <w:rPr>
            <w:rStyle w:val="Hyperlink"/>
            <w:bCs/>
            <w:sz w:val="20"/>
            <w:szCs w:val="20"/>
          </w:rPr>
          <w:t>Form of Pre-Funded Warrant Agreement (31)</w:t>
        </w:r>
      </w:hyperlink>
    </w:p>
    <w:p w14:paraId="2C6888AB" w14:textId="77777777" w:rsidR="005A27C7" w:rsidRDefault="005A27C7" w:rsidP="005A27C7">
      <w:pPr>
        <w:ind w:left="1080" w:hanging="1080"/>
        <w:rPr>
          <w:rStyle w:val="Hyperlink"/>
          <w:bCs/>
          <w:sz w:val="20"/>
          <w:szCs w:val="20"/>
        </w:rPr>
      </w:pPr>
      <w:r w:rsidRPr="005A27C7">
        <w:rPr>
          <w:bCs/>
          <w:sz w:val="20"/>
          <w:szCs w:val="20"/>
        </w:rPr>
        <w:t>4.1.9</w:t>
      </w:r>
      <w:r w:rsidRPr="005A27C7">
        <w:rPr>
          <w:bCs/>
          <w:sz w:val="20"/>
          <w:szCs w:val="20"/>
        </w:rPr>
        <w:tab/>
      </w:r>
      <w:hyperlink r:id="rId45" w:history="1">
        <w:r w:rsidRPr="005A27C7">
          <w:rPr>
            <w:rStyle w:val="Hyperlink"/>
            <w:bCs/>
            <w:sz w:val="20"/>
            <w:szCs w:val="20"/>
          </w:rPr>
          <w:t>Form of Common Warrant (31)</w:t>
        </w:r>
      </w:hyperlink>
    </w:p>
    <w:p w14:paraId="088DCF39" w14:textId="5C36993B" w:rsidR="00704FBD" w:rsidRDefault="00704FBD" w:rsidP="005A27C7">
      <w:pPr>
        <w:ind w:left="1080" w:hanging="1080"/>
        <w:rPr>
          <w:bCs/>
          <w:sz w:val="20"/>
          <w:szCs w:val="20"/>
        </w:rPr>
      </w:pPr>
      <w:r>
        <w:rPr>
          <w:bCs/>
          <w:sz w:val="20"/>
          <w:szCs w:val="20"/>
        </w:rPr>
        <w:t>4.1.10</w:t>
      </w:r>
      <w:r>
        <w:rPr>
          <w:bCs/>
          <w:sz w:val="20"/>
          <w:szCs w:val="20"/>
        </w:rPr>
        <w:tab/>
      </w:r>
      <w:hyperlink r:id="rId46" w:history="1">
        <w:r w:rsidRPr="00704FBD">
          <w:rPr>
            <w:rStyle w:val="Hyperlink"/>
            <w:bCs/>
            <w:sz w:val="20"/>
            <w:szCs w:val="20"/>
          </w:rPr>
          <w:t>Form of PIPE Pre-Funded Warrant (33)</w:t>
        </w:r>
      </w:hyperlink>
    </w:p>
    <w:p w14:paraId="7C9BAAB4" w14:textId="080C950D" w:rsidR="00704FBD" w:rsidRDefault="00704FBD" w:rsidP="005A27C7">
      <w:pPr>
        <w:ind w:left="1080" w:hanging="1080"/>
        <w:rPr>
          <w:bCs/>
          <w:sz w:val="20"/>
          <w:szCs w:val="20"/>
        </w:rPr>
      </w:pPr>
      <w:r>
        <w:rPr>
          <w:bCs/>
          <w:sz w:val="20"/>
          <w:szCs w:val="20"/>
        </w:rPr>
        <w:t>4.1.11</w:t>
      </w:r>
      <w:r>
        <w:rPr>
          <w:bCs/>
          <w:sz w:val="20"/>
          <w:szCs w:val="20"/>
        </w:rPr>
        <w:tab/>
      </w:r>
      <w:hyperlink r:id="rId47" w:history="1">
        <w:r w:rsidRPr="00704FBD">
          <w:rPr>
            <w:rStyle w:val="Hyperlink"/>
            <w:bCs/>
            <w:sz w:val="20"/>
            <w:szCs w:val="20"/>
          </w:rPr>
          <w:t>Form of PIPE Preferred Investment Option (33)</w:t>
        </w:r>
      </w:hyperlink>
    </w:p>
    <w:p w14:paraId="3AA90E2E" w14:textId="06D80C0D" w:rsidR="00704FBD" w:rsidRDefault="00704FBD" w:rsidP="005A27C7">
      <w:pPr>
        <w:ind w:left="1080" w:hanging="1080"/>
        <w:rPr>
          <w:bCs/>
          <w:sz w:val="20"/>
          <w:szCs w:val="20"/>
        </w:rPr>
      </w:pPr>
      <w:r>
        <w:rPr>
          <w:bCs/>
          <w:sz w:val="20"/>
          <w:szCs w:val="20"/>
        </w:rPr>
        <w:t>4.1.12</w:t>
      </w:r>
      <w:r>
        <w:rPr>
          <w:bCs/>
          <w:sz w:val="20"/>
          <w:szCs w:val="20"/>
        </w:rPr>
        <w:tab/>
      </w:r>
      <w:hyperlink r:id="rId48" w:history="1">
        <w:r w:rsidRPr="00704FBD">
          <w:rPr>
            <w:rStyle w:val="Hyperlink"/>
            <w:bCs/>
            <w:sz w:val="20"/>
            <w:szCs w:val="20"/>
          </w:rPr>
          <w:t>Form of RD Pre-Funded Warrant (33)</w:t>
        </w:r>
      </w:hyperlink>
    </w:p>
    <w:p w14:paraId="05687E67" w14:textId="590159CF" w:rsidR="00704FBD" w:rsidRDefault="00704FBD" w:rsidP="005A27C7">
      <w:pPr>
        <w:ind w:left="1080" w:hanging="1080"/>
        <w:rPr>
          <w:bCs/>
          <w:sz w:val="20"/>
          <w:szCs w:val="20"/>
        </w:rPr>
      </w:pPr>
      <w:r>
        <w:rPr>
          <w:bCs/>
          <w:sz w:val="20"/>
          <w:szCs w:val="20"/>
        </w:rPr>
        <w:t>4.1.13</w:t>
      </w:r>
      <w:r>
        <w:rPr>
          <w:bCs/>
          <w:sz w:val="20"/>
          <w:szCs w:val="20"/>
        </w:rPr>
        <w:tab/>
      </w:r>
      <w:hyperlink r:id="rId49" w:history="1">
        <w:r w:rsidRPr="00704FBD">
          <w:rPr>
            <w:rStyle w:val="Hyperlink"/>
            <w:bCs/>
            <w:sz w:val="20"/>
            <w:szCs w:val="20"/>
          </w:rPr>
          <w:t>Form of RD Preferred Investment Option (33)</w:t>
        </w:r>
      </w:hyperlink>
    </w:p>
    <w:p w14:paraId="414FDCB8" w14:textId="43537202" w:rsidR="005A27C7" w:rsidRPr="005A27C7" w:rsidRDefault="005A27C7" w:rsidP="005A27C7">
      <w:pPr>
        <w:ind w:left="1080" w:hanging="1080"/>
        <w:rPr>
          <w:bCs/>
          <w:sz w:val="20"/>
          <w:szCs w:val="20"/>
        </w:rPr>
      </w:pPr>
      <w:r>
        <w:rPr>
          <w:bCs/>
          <w:sz w:val="20"/>
          <w:szCs w:val="20"/>
        </w:rPr>
        <w:t>5.1</w:t>
      </w:r>
      <w:r w:rsidR="00576961">
        <w:rPr>
          <w:bCs/>
          <w:sz w:val="20"/>
          <w:szCs w:val="20"/>
        </w:rPr>
        <w:t xml:space="preserve"> </w:t>
      </w:r>
      <w:r>
        <w:rPr>
          <w:bCs/>
          <w:sz w:val="20"/>
          <w:szCs w:val="20"/>
        </w:rPr>
        <w:t>*</w:t>
      </w:r>
      <w:r>
        <w:rPr>
          <w:bCs/>
          <w:sz w:val="20"/>
          <w:szCs w:val="20"/>
        </w:rPr>
        <w:tab/>
      </w:r>
      <w:r w:rsidRPr="005A27C7">
        <w:rPr>
          <w:bCs/>
          <w:sz w:val="20"/>
          <w:szCs w:val="20"/>
        </w:rPr>
        <w:t xml:space="preserve">Opinion of </w:t>
      </w:r>
      <w:r w:rsidR="00924AF7">
        <w:rPr>
          <w:bCs/>
          <w:sz w:val="20"/>
          <w:szCs w:val="20"/>
        </w:rPr>
        <w:t>Womble Bond Dickinson (US) LLP</w:t>
      </w:r>
    </w:p>
    <w:p w14:paraId="2FD34C19" w14:textId="77777777" w:rsidR="005A27C7" w:rsidRPr="005A27C7" w:rsidRDefault="005A27C7" w:rsidP="005A27C7">
      <w:pPr>
        <w:ind w:left="1080" w:hanging="1080"/>
        <w:rPr>
          <w:bCs/>
          <w:sz w:val="20"/>
          <w:szCs w:val="20"/>
        </w:rPr>
      </w:pPr>
      <w:r w:rsidRPr="005A27C7">
        <w:rPr>
          <w:bCs/>
          <w:sz w:val="20"/>
          <w:szCs w:val="20"/>
        </w:rPr>
        <w:t>10.1 **</w:t>
      </w:r>
      <w:r w:rsidRPr="005A27C7">
        <w:rPr>
          <w:bCs/>
          <w:sz w:val="20"/>
          <w:szCs w:val="20"/>
        </w:rPr>
        <w:tab/>
      </w:r>
      <w:hyperlink r:id="rId50" w:history="1">
        <w:r w:rsidRPr="005A27C7">
          <w:rPr>
            <w:rStyle w:val="Hyperlink"/>
            <w:bCs/>
            <w:sz w:val="20"/>
            <w:szCs w:val="20"/>
          </w:rPr>
          <w:t xml:space="preserve">Employment Agreement between </w:t>
        </w:r>
        <w:proofErr w:type="spellStart"/>
        <w:r w:rsidRPr="005A27C7">
          <w:rPr>
            <w:rStyle w:val="Hyperlink"/>
            <w:bCs/>
            <w:sz w:val="20"/>
            <w:szCs w:val="20"/>
          </w:rPr>
          <w:t>GeoVax</w:t>
        </w:r>
        <w:proofErr w:type="spellEnd"/>
        <w:r w:rsidRPr="005A27C7">
          <w:rPr>
            <w:rStyle w:val="Hyperlink"/>
            <w:bCs/>
            <w:sz w:val="20"/>
            <w:szCs w:val="20"/>
          </w:rPr>
          <w:t xml:space="preserve"> Labs, Inc. and David A. Dodd (13)</w:t>
        </w:r>
      </w:hyperlink>
    </w:p>
    <w:p w14:paraId="581B18F9" w14:textId="77777777" w:rsidR="005A27C7" w:rsidRPr="005A27C7" w:rsidRDefault="005A27C7" w:rsidP="005A27C7">
      <w:pPr>
        <w:ind w:left="1080" w:hanging="1080"/>
        <w:rPr>
          <w:bCs/>
          <w:sz w:val="20"/>
          <w:szCs w:val="20"/>
        </w:rPr>
      </w:pPr>
      <w:r w:rsidRPr="005A27C7">
        <w:rPr>
          <w:bCs/>
          <w:sz w:val="20"/>
          <w:szCs w:val="20"/>
        </w:rPr>
        <w:t>10.2 **</w:t>
      </w:r>
      <w:r w:rsidRPr="005A27C7">
        <w:rPr>
          <w:bCs/>
          <w:sz w:val="20"/>
          <w:szCs w:val="20"/>
        </w:rPr>
        <w:tab/>
      </w:r>
      <w:hyperlink r:id="rId51" w:history="1">
        <w:r w:rsidRPr="005A27C7">
          <w:rPr>
            <w:rStyle w:val="Hyperlink"/>
            <w:bCs/>
            <w:sz w:val="20"/>
            <w:szCs w:val="20"/>
          </w:rPr>
          <w:t xml:space="preserve">Employment Agreement between </w:t>
        </w:r>
        <w:proofErr w:type="spellStart"/>
        <w:r w:rsidRPr="005A27C7">
          <w:rPr>
            <w:rStyle w:val="Hyperlink"/>
            <w:bCs/>
            <w:sz w:val="20"/>
            <w:szCs w:val="20"/>
          </w:rPr>
          <w:t>GeoVax</w:t>
        </w:r>
        <w:proofErr w:type="spellEnd"/>
        <w:r w:rsidRPr="005A27C7">
          <w:rPr>
            <w:rStyle w:val="Hyperlink"/>
            <w:bCs/>
            <w:sz w:val="20"/>
            <w:szCs w:val="20"/>
          </w:rPr>
          <w:t>, Inc. and Mark W. Reynolds (4)</w:t>
        </w:r>
      </w:hyperlink>
    </w:p>
    <w:p w14:paraId="2299E3A6" w14:textId="77777777" w:rsidR="005A27C7" w:rsidRPr="005A27C7" w:rsidRDefault="005A27C7" w:rsidP="005A27C7">
      <w:pPr>
        <w:ind w:left="1080" w:hanging="1080"/>
        <w:rPr>
          <w:bCs/>
          <w:color w:val="0000FF"/>
          <w:sz w:val="20"/>
          <w:szCs w:val="20"/>
          <w:u w:val="single"/>
        </w:rPr>
      </w:pPr>
      <w:r w:rsidRPr="005A27C7">
        <w:rPr>
          <w:bCs/>
          <w:sz w:val="20"/>
          <w:szCs w:val="20"/>
        </w:rPr>
        <w:t>10.2.1 **</w:t>
      </w:r>
      <w:r w:rsidRPr="005A27C7">
        <w:rPr>
          <w:bCs/>
          <w:sz w:val="20"/>
          <w:szCs w:val="20"/>
        </w:rPr>
        <w:tab/>
      </w:r>
      <w:hyperlink r:id="rId52" w:history="1">
        <w:r w:rsidRPr="005A27C7">
          <w:rPr>
            <w:rStyle w:val="Hyperlink"/>
            <w:bCs/>
            <w:sz w:val="20"/>
            <w:szCs w:val="20"/>
          </w:rPr>
          <w:t xml:space="preserve">Amendment No. 1 to Employment Agreement between </w:t>
        </w:r>
        <w:proofErr w:type="spellStart"/>
        <w:r w:rsidRPr="005A27C7">
          <w:rPr>
            <w:rStyle w:val="Hyperlink"/>
            <w:bCs/>
            <w:sz w:val="20"/>
            <w:szCs w:val="20"/>
          </w:rPr>
          <w:t>GeoVax</w:t>
        </w:r>
        <w:proofErr w:type="spellEnd"/>
        <w:r w:rsidRPr="005A27C7">
          <w:rPr>
            <w:rStyle w:val="Hyperlink"/>
            <w:bCs/>
            <w:sz w:val="20"/>
            <w:szCs w:val="20"/>
          </w:rPr>
          <w:t xml:space="preserve"> Labs, Inc. and Mark W. Reynolds (8)</w:t>
        </w:r>
      </w:hyperlink>
    </w:p>
    <w:p w14:paraId="69C7FFFC" w14:textId="4CD84D43" w:rsidR="00576961" w:rsidRPr="00576961" w:rsidRDefault="00576961" w:rsidP="00576961">
      <w:pPr>
        <w:ind w:left="1080" w:hanging="1080"/>
        <w:rPr>
          <w:sz w:val="20"/>
          <w:szCs w:val="20"/>
        </w:rPr>
      </w:pPr>
      <w:r w:rsidRPr="00576961">
        <w:rPr>
          <w:sz w:val="20"/>
          <w:szCs w:val="20"/>
        </w:rPr>
        <w:t>10.2.2 **</w:t>
      </w:r>
      <w:r w:rsidRPr="00576961">
        <w:rPr>
          <w:sz w:val="20"/>
          <w:szCs w:val="20"/>
        </w:rPr>
        <w:tab/>
      </w:r>
      <w:hyperlink r:id="rId53" w:history="1">
        <w:r w:rsidRPr="00576961">
          <w:rPr>
            <w:rStyle w:val="Hyperlink"/>
            <w:sz w:val="20"/>
            <w:szCs w:val="20"/>
          </w:rPr>
          <w:t xml:space="preserve">Employment Agreement between </w:t>
        </w:r>
        <w:proofErr w:type="spellStart"/>
        <w:r w:rsidRPr="00576961">
          <w:rPr>
            <w:rStyle w:val="Hyperlink"/>
            <w:sz w:val="20"/>
            <w:szCs w:val="20"/>
          </w:rPr>
          <w:t>GeoVax</w:t>
        </w:r>
        <w:proofErr w:type="spellEnd"/>
        <w:r w:rsidRPr="00576961">
          <w:rPr>
            <w:rStyle w:val="Hyperlink"/>
            <w:sz w:val="20"/>
            <w:szCs w:val="20"/>
          </w:rPr>
          <w:t>, Inc. and Mark J. Newman, PhD, as Amended and Restated March 9, 2022 (32)</w:t>
        </w:r>
      </w:hyperlink>
    </w:p>
    <w:p w14:paraId="065483C9" w14:textId="77777777" w:rsidR="001F6FF5" w:rsidRDefault="00576961" w:rsidP="001F6FF5">
      <w:pPr>
        <w:ind w:left="1080" w:hanging="1080"/>
        <w:rPr>
          <w:sz w:val="20"/>
          <w:szCs w:val="20"/>
        </w:rPr>
      </w:pPr>
      <w:r w:rsidRPr="00576961">
        <w:rPr>
          <w:sz w:val="20"/>
          <w:szCs w:val="20"/>
        </w:rPr>
        <w:t>10.2.3 **</w:t>
      </w:r>
      <w:r w:rsidRPr="00576961">
        <w:rPr>
          <w:sz w:val="20"/>
          <w:szCs w:val="20"/>
        </w:rPr>
        <w:tab/>
      </w:r>
      <w:hyperlink r:id="rId54" w:history="1">
        <w:r w:rsidRPr="00576961">
          <w:rPr>
            <w:rStyle w:val="Hyperlink"/>
            <w:sz w:val="20"/>
            <w:szCs w:val="20"/>
          </w:rPr>
          <w:t xml:space="preserve">Consulting Agreement by and between </w:t>
        </w:r>
        <w:proofErr w:type="spellStart"/>
        <w:r w:rsidRPr="00576961">
          <w:rPr>
            <w:rStyle w:val="Hyperlink"/>
            <w:sz w:val="20"/>
            <w:szCs w:val="20"/>
          </w:rPr>
          <w:t>GeoVax</w:t>
        </w:r>
        <w:proofErr w:type="spellEnd"/>
        <w:r w:rsidRPr="00576961">
          <w:rPr>
            <w:rStyle w:val="Hyperlink"/>
            <w:sz w:val="20"/>
            <w:szCs w:val="20"/>
          </w:rPr>
          <w:t>, Inc. and Kelly T. McKee, MD, dated December 22, 2021 (32)</w:t>
        </w:r>
      </w:hyperlink>
    </w:p>
    <w:p w14:paraId="04BF0CF5" w14:textId="70F872AE" w:rsidR="005A27C7" w:rsidRPr="001F6FF5" w:rsidRDefault="005A27C7" w:rsidP="001F6FF5">
      <w:pPr>
        <w:ind w:left="1080" w:hanging="1080"/>
        <w:rPr>
          <w:sz w:val="20"/>
          <w:szCs w:val="20"/>
        </w:rPr>
      </w:pPr>
      <w:r w:rsidRPr="005A27C7">
        <w:rPr>
          <w:sz w:val="20"/>
          <w:szCs w:val="20"/>
        </w:rPr>
        <w:t>10.5 **</w:t>
      </w:r>
      <w:r w:rsidR="00576961">
        <w:rPr>
          <w:sz w:val="20"/>
          <w:szCs w:val="20"/>
        </w:rPr>
        <w:tab/>
      </w:r>
      <w:hyperlink r:id="rId55" w:history="1">
        <w:proofErr w:type="spellStart"/>
        <w:r w:rsidRPr="005A27C7">
          <w:rPr>
            <w:rStyle w:val="Hyperlink"/>
            <w:sz w:val="20"/>
            <w:szCs w:val="20"/>
          </w:rPr>
          <w:t>GeoVax</w:t>
        </w:r>
        <w:proofErr w:type="spellEnd"/>
        <w:r w:rsidRPr="005A27C7">
          <w:rPr>
            <w:rStyle w:val="Hyperlink"/>
            <w:sz w:val="20"/>
            <w:szCs w:val="20"/>
          </w:rPr>
          <w:t xml:space="preserve"> Labs, Inc. 2020 Stock Incentive Plan, as amended and restated August 11, 2021 (19)</w:t>
        </w:r>
      </w:hyperlink>
    </w:p>
    <w:p w14:paraId="3060C894" w14:textId="77777777" w:rsidR="005A27C7" w:rsidRPr="005A27C7" w:rsidRDefault="005A27C7" w:rsidP="005A27C7">
      <w:pPr>
        <w:ind w:left="1080" w:hanging="1080"/>
        <w:rPr>
          <w:sz w:val="20"/>
          <w:szCs w:val="20"/>
        </w:rPr>
      </w:pPr>
      <w:r w:rsidRPr="005A27C7">
        <w:rPr>
          <w:sz w:val="20"/>
          <w:szCs w:val="20"/>
        </w:rPr>
        <w:t>10.5.1 **</w:t>
      </w:r>
      <w:r w:rsidRPr="005A27C7">
        <w:rPr>
          <w:sz w:val="20"/>
          <w:szCs w:val="20"/>
        </w:rPr>
        <w:tab/>
      </w:r>
      <w:hyperlink r:id="rId56" w:history="1">
        <w:r w:rsidRPr="005A27C7">
          <w:rPr>
            <w:rStyle w:val="Hyperlink"/>
            <w:sz w:val="20"/>
            <w:szCs w:val="20"/>
          </w:rPr>
          <w:t>Form of Non-Qualified Stock Option Agreement (28)</w:t>
        </w:r>
      </w:hyperlink>
    </w:p>
    <w:p w14:paraId="0BFBAABD" w14:textId="77777777" w:rsidR="005A27C7" w:rsidRPr="005A27C7" w:rsidRDefault="005A27C7" w:rsidP="005A27C7">
      <w:pPr>
        <w:ind w:left="1080" w:hanging="1080"/>
        <w:rPr>
          <w:color w:val="0000FF"/>
          <w:sz w:val="20"/>
          <w:szCs w:val="20"/>
          <w:u w:val="single"/>
        </w:rPr>
      </w:pPr>
      <w:r w:rsidRPr="005A27C7">
        <w:rPr>
          <w:sz w:val="20"/>
          <w:szCs w:val="20"/>
        </w:rPr>
        <w:t>10.6</w:t>
      </w:r>
      <w:r w:rsidRPr="005A27C7">
        <w:rPr>
          <w:sz w:val="20"/>
          <w:szCs w:val="20"/>
        </w:rPr>
        <w:tab/>
      </w:r>
      <w:hyperlink r:id="rId57" w:history="1">
        <w:r w:rsidRPr="005A27C7">
          <w:rPr>
            <w:rStyle w:val="Hyperlink"/>
            <w:sz w:val="20"/>
            <w:szCs w:val="20"/>
          </w:rPr>
          <w:t xml:space="preserve">License Agreement (as amended and restated) between </w:t>
        </w:r>
        <w:proofErr w:type="spellStart"/>
        <w:r w:rsidRPr="005A27C7">
          <w:rPr>
            <w:rStyle w:val="Hyperlink"/>
            <w:sz w:val="20"/>
            <w:szCs w:val="20"/>
          </w:rPr>
          <w:t>GeoVax</w:t>
        </w:r>
        <w:proofErr w:type="spellEnd"/>
        <w:r w:rsidRPr="005A27C7">
          <w:rPr>
            <w:rStyle w:val="Hyperlink"/>
            <w:sz w:val="20"/>
            <w:szCs w:val="20"/>
          </w:rPr>
          <w:t>, Inc. and Emory University (2)</w:t>
        </w:r>
      </w:hyperlink>
    </w:p>
    <w:p w14:paraId="50D1C763" w14:textId="77777777" w:rsidR="005A27C7" w:rsidRPr="005A27C7" w:rsidRDefault="005A27C7" w:rsidP="005A27C7">
      <w:pPr>
        <w:ind w:left="1080" w:hanging="1080"/>
        <w:rPr>
          <w:sz w:val="20"/>
          <w:szCs w:val="20"/>
        </w:rPr>
      </w:pPr>
      <w:r w:rsidRPr="005A27C7">
        <w:rPr>
          <w:sz w:val="20"/>
          <w:szCs w:val="20"/>
        </w:rPr>
        <w:t>10.7</w:t>
      </w:r>
      <w:r w:rsidRPr="005A27C7">
        <w:rPr>
          <w:sz w:val="20"/>
          <w:szCs w:val="20"/>
        </w:rPr>
        <w:tab/>
      </w:r>
      <w:hyperlink r:id="rId58" w:history="1">
        <w:r w:rsidRPr="005A27C7">
          <w:rPr>
            <w:rStyle w:val="Hyperlink"/>
            <w:sz w:val="20"/>
            <w:szCs w:val="20"/>
          </w:rPr>
          <w:t>Patent and Biological Materials License Agreement with the National Institute of Allergy and Infectious Diseases, dated October 22, 2020 (25)</w:t>
        </w:r>
      </w:hyperlink>
    </w:p>
    <w:p w14:paraId="1ADAF9AF" w14:textId="77777777" w:rsidR="005A27C7" w:rsidRPr="005A27C7" w:rsidRDefault="005A27C7" w:rsidP="005A27C7">
      <w:pPr>
        <w:ind w:left="1080" w:hanging="1080"/>
        <w:rPr>
          <w:sz w:val="20"/>
          <w:szCs w:val="20"/>
        </w:rPr>
      </w:pPr>
      <w:r w:rsidRPr="005A27C7">
        <w:rPr>
          <w:sz w:val="20"/>
          <w:szCs w:val="20"/>
        </w:rPr>
        <w:t>10.8</w:t>
      </w:r>
      <w:r w:rsidRPr="005A27C7">
        <w:rPr>
          <w:sz w:val="20"/>
          <w:szCs w:val="20"/>
        </w:rPr>
        <w:tab/>
      </w:r>
      <w:hyperlink r:id="rId59" w:history="1">
        <w:r w:rsidRPr="005A27C7">
          <w:rPr>
            <w:rStyle w:val="Hyperlink"/>
            <w:sz w:val="20"/>
            <w:szCs w:val="20"/>
          </w:rPr>
          <w:t>Patent and Biological Materials License Agreement for Internal Research Use with the National Institute of Allergy and Infectious Diseases, dated November 25, 2020 (26)</w:t>
        </w:r>
      </w:hyperlink>
    </w:p>
    <w:p w14:paraId="5DA96472" w14:textId="77777777" w:rsidR="005A27C7" w:rsidRPr="005A27C7" w:rsidRDefault="005A27C7" w:rsidP="005A27C7">
      <w:pPr>
        <w:ind w:left="1080" w:hanging="1080"/>
        <w:rPr>
          <w:sz w:val="20"/>
          <w:szCs w:val="20"/>
        </w:rPr>
      </w:pPr>
      <w:r w:rsidRPr="005A27C7">
        <w:rPr>
          <w:sz w:val="20"/>
          <w:szCs w:val="20"/>
        </w:rPr>
        <w:t>10.9</w:t>
      </w:r>
      <w:r w:rsidRPr="005A27C7">
        <w:rPr>
          <w:sz w:val="20"/>
          <w:szCs w:val="20"/>
        </w:rPr>
        <w:tab/>
      </w:r>
      <w:hyperlink r:id="rId60" w:history="1">
        <w:r w:rsidRPr="005A27C7">
          <w:rPr>
            <w:rStyle w:val="Hyperlink"/>
            <w:bCs/>
            <w:sz w:val="20"/>
            <w:szCs w:val="20"/>
          </w:rPr>
          <w:t xml:space="preserve">Office and Laboratory Lease between UCB, Inc. and </w:t>
        </w:r>
        <w:proofErr w:type="spellStart"/>
        <w:r w:rsidRPr="005A27C7">
          <w:rPr>
            <w:rStyle w:val="Hyperlink"/>
            <w:bCs/>
            <w:sz w:val="20"/>
            <w:szCs w:val="20"/>
          </w:rPr>
          <w:t>GeoVax</w:t>
        </w:r>
        <w:proofErr w:type="spellEnd"/>
        <w:r w:rsidRPr="005A27C7">
          <w:rPr>
            <w:rStyle w:val="Hyperlink"/>
            <w:bCs/>
            <w:sz w:val="20"/>
            <w:szCs w:val="20"/>
          </w:rPr>
          <w:t>, Inc. (18)</w:t>
        </w:r>
      </w:hyperlink>
    </w:p>
    <w:p w14:paraId="467F5A42" w14:textId="3E51856D" w:rsidR="005A27C7" w:rsidRPr="005A27C7" w:rsidRDefault="005A27C7" w:rsidP="005A27C7">
      <w:pPr>
        <w:ind w:left="1080" w:hanging="1080"/>
        <w:rPr>
          <w:sz w:val="20"/>
          <w:szCs w:val="20"/>
        </w:rPr>
      </w:pPr>
      <w:r w:rsidRPr="005A27C7">
        <w:rPr>
          <w:sz w:val="20"/>
          <w:szCs w:val="20"/>
        </w:rPr>
        <w:t>10.10</w:t>
      </w:r>
      <w:r w:rsidRPr="005A27C7">
        <w:rPr>
          <w:sz w:val="20"/>
          <w:szCs w:val="20"/>
        </w:rPr>
        <w:tab/>
      </w:r>
      <w:hyperlink r:id="rId61" w:history="1">
        <w:r w:rsidRPr="00576961">
          <w:rPr>
            <w:rStyle w:val="Hyperlink"/>
            <w:sz w:val="20"/>
            <w:szCs w:val="20"/>
          </w:rPr>
          <w:t xml:space="preserve">Summary of the </w:t>
        </w:r>
        <w:proofErr w:type="spellStart"/>
        <w:r w:rsidRPr="00576961">
          <w:rPr>
            <w:rStyle w:val="Hyperlink"/>
            <w:sz w:val="20"/>
            <w:szCs w:val="20"/>
          </w:rPr>
          <w:t>GeoVax</w:t>
        </w:r>
        <w:proofErr w:type="spellEnd"/>
        <w:r w:rsidRPr="00576961">
          <w:rPr>
            <w:rStyle w:val="Hyperlink"/>
            <w:sz w:val="20"/>
            <w:szCs w:val="20"/>
          </w:rPr>
          <w:t xml:space="preserve"> Labs, Inc. Director Compensation Plan (</w:t>
        </w:r>
        <w:r w:rsidR="00576961" w:rsidRPr="00576961">
          <w:rPr>
            <w:rStyle w:val="Hyperlink"/>
            <w:sz w:val="20"/>
            <w:szCs w:val="20"/>
          </w:rPr>
          <w:t>32</w:t>
        </w:r>
        <w:r w:rsidRPr="00576961">
          <w:rPr>
            <w:rStyle w:val="Hyperlink"/>
            <w:sz w:val="20"/>
            <w:szCs w:val="20"/>
          </w:rPr>
          <w:t>)</w:t>
        </w:r>
      </w:hyperlink>
    </w:p>
    <w:p w14:paraId="1EB65E96" w14:textId="77777777" w:rsidR="005A27C7" w:rsidRPr="005A27C7" w:rsidRDefault="005A27C7" w:rsidP="005A27C7">
      <w:pPr>
        <w:ind w:left="1080" w:hanging="1080"/>
        <w:rPr>
          <w:bCs/>
          <w:sz w:val="20"/>
          <w:szCs w:val="20"/>
        </w:rPr>
      </w:pPr>
      <w:r w:rsidRPr="005A27C7">
        <w:rPr>
          <w:bCs/>
          <w:sz w:val="20"/>
          <w:szCs w:val="20"/>
        </w:rPr>
        <w:lastRenderedPageBreak/>
        <w:t>10.1</w:t>
      </w:r>
      <w:r w:rsidR="00924AF7">
        <w:rPr>
          <w:bCs/>
          <w:sz w:val="20"/>
          <w:szCs w:val="20"/>
        </w:rPr>
        <w:t>1</w:t>
      </w:r>
      <w:r w:rsidRPr="005A27C7">
        <w:rPr>
          <w:bCs/>
          <w:sz w:val="20"/>
          <w:szCs w:val="20"/>
        </w:rPr>
        <w:tab/>
      </w:r>
      <w:hyperlink r:id="rId62" w:history="1">
        <w:r w:rsidRPr="005A27C7">
          <w:rPr>
            <w:rStyle w:val="Hyperlink"/>
            <w:bCs/>
            <w:sz w:val="20"/>
            <w:szCs w:val="20"/>
          </w:rPr>
          <w:t xml:space="preserve">Assignment and License Agreement by and between </w:t>
        </w:r>
        <w:proofErr w:type="spellStart"/>
        <w:r w:rsidRPr="005A27C7">
          <w:rPr>
            <w:rStyle w:val="Hyperlink"/>
            <w:bCs/>
            <w:sz w:val="20"/>
            <w:szCs w:val="20"/>
          </w:rPr>
          <w:t>GeoVax</w:t>
        </w:r>
        <w:proofErr w:type="spellEnd"/>
        <w:r w:rsidRPr="005A27C7">
          <w:rPr>
            <w:rStyle w:val="Hyperlink"/>
            <w:bCs/>
            <w:sz w:val="20"/>
            <w:szCs w:val="20"/>
          </w:rPr>
          <w:t>, Inc. and PNP Therapeutics, Inc. dated September 28, 2021 (29)</w:t>
        </w:r>
      </w:hyperlink>
    </w:p>
    <w:p w14:paraId="55575457" w14:textId="77777777" w:rsidR="005A27C7" w:rsidRPr="005A27C7" w:rsidRDefault="005A27C7" w:rsidP="005A27C7">
      <w:pPr>
        <w:ind w:left="1080" w:hanging="1080"/>
        <w:rPr>
          <w:bCs/>
          <w:sz w:val="20"/>
          <w:szCs w:val="20"/>
        </w:rPr>
      </w:pPr>
      <w:r w:rsidRPr="005A27C7">
        <w:rPr>
          <w:bCs/>
          <w:sz w:val="20"/>
          <w:szCs w:val="20"/>
        </w:rPr>
        <w:t>10.1</w:t>
      </w:r>
      <w:r w:rsidR="00924AF7">
        <w:rPr>
          <w:bCs/>
          <w:sz w:val="20"/>
          <w:szCs w:val="20"/>
        </w:rPr>
        <w:t>2</w:t>
      </w:r>
      <w:r w:rsidRPr="005A27C7">
        <w:rPr>
          <w:bCs/>
          <w:sz w:val="20"/>
          <w:szCs w:val="20"/>
        </w:rPr>
        <w:tab/>
      </w:r>
      <w:hyperlink r:id="rId63" w:history="1">
        <w:r w:rsidRPr="005A27C7">
          <w:rPr>
            <w:rStyle w:val="Hyperlink"/>
            <w:bCs/>
            <w:sz w:val="20"/>
            <w:szCs w:val="20"/>
          </w:rPr>
          <w:t xml:space="preserve">Exclusive License Agreement by and between </w:t>
        </w:r>
        <w:proofErr w:type="spellStart"/>
        <w:r w:rsidRPr="005A27C7">
          <w:rPr>
            <w:rStyle w:val="Hyperlink"/>
            <w:bCs/>
            <w:sz w:val="20"/>
            <w:szCs w:val="20"/>
          </w:rPr>
          <w:t>GeoVax</w:t>
        </w:r>
        <w:proofErr w:type="spellEnd"/>
        <w:r w:rsidRPr="005A27C7">
          <w:rPr>
            <w:rStyle w:val="Hyperlink"/>
            <w:bCs/>
            <w:sz w:val="20"/>
            <w:szCs w:val="20"/>
          </w:rPr>
          <w:t>, Inc. and City of Hope, dated November 9, 2021 (30)</w:t>
        </w:r>
      </w:hyperlink>
    </w:p>
    <w:p w14:paraId="124B821F" w14:textId="77777777" w:rsidR="005A27C7" w:rsidRPr="005A27C7" w:rsidRDefault="005A27C7" w:rsidP="005A27C7">
      <w:pPr>
        <w:ind w:left="1080" w:hanging="1080"/>
        <w:rPr>
          <w:bCs/>
          <w:sz w:val="20"/>
          <w:szCs w:val="20"/>
        </w:rPr>
      </w:pPr>
      <w:r w:rsidRPr="005A27C7">
        <w:rPr>
          <w:bCs/>
          <w:sz w:val="20"/>
          <w:szCs w:val="20"/>
        </w:rPr>
        <w:t>10.1</w:t>
      </w:r>
      <w:r w:rsidR="00924AF7">
        <w:rPr>
          <w:bCs/>
          <w:sz w:val="20"/>
          <w:szCs w:val="20"/>
        </w:rPr>
        <w:t>3</w:t>
      </w:r>
      <w:r w:rsidRPr="005A27C7">
        <w:rPr>
          <w:bCs/>
          <w:sz w:val="20"/>
          <w:szCs w:val="20"/>
        </w:rPr>
        <w:tab/>
      </w:r>
      <w:hyperlink r:id="rId64" w:history="1">
        <w:r w:rsidRPr="005A27C7">
          <w:rPr>
            <w:rStyle w:val="Hyperlink"/>
            <w:bCs/>
            <w:sz w:val="20"/>
            <w:szCs w:val="20"/>
          </w:rPr>
          <w:t>Securities Purchase Agreement, dated January 14, 2022 (31)</w:t>
        </w:r>
      </w:hyperlink>
    </w:p>
    <w:p w14:paraId="75CBA40B" w14:textId="77777777" w:rsidR="005A27C7" w:rsidRPr="005A27C7" w:rsidRDefault="005A27C7" w:rsidP="005A27C7">
      <w:pPr>
        <w:ind w:left="1080" w:hanging="1080"/>
        <w:rPr>
          <w:bCs/>
          <w:sz w:val="20"/>
          <w:szCs w:val="20"/>
        </w:rPr>
      </w:pPr>
      <w:r w:rsidRPr="005A27C7">
        <w:rPr>
          <w:bCs/>
          <w:sz w:val="20"/>
          <w:szCs w:val="20"/>
        </w:rPr>
        <w:t>10.1</w:t>
      </w:r>
      <w:r w:rsidR="00924AF7">
        <w:rPr>
          <w:bCs/>
          <w:sz w:val="20"/>
          <w:szCs w:val="20"/>
        </w:rPr>
        <w:t>4</w:t>
      </w:r>
      <w:r w:rsidRPr="005A27C7">
        <w:rPr>
          <w:bCs/>
          <w:sz w:val="20"/>
          <w:szCs w:val="20"/>
        </w:rPr>
        <w:tab/>
      </w:r>
      <w:hyperlink r:id="rId65" w:history="1">
        <w:r w:rsidRPr="005A27C7">
          <w:rPr>
            <w:rStyle w:val="Hyperlink"/>
            <w:bCs/>
            <w:sz w:val="20"/>
            <w:szCs w:val="20"/>
          </w:rPr>
          <w:t>Registration Rights Agreement, dated January 14, 2022 (31)</w:t>
        </w:r>
      </w:hyperlink>
    </w:p>
    <w:p w14:paraId="1420DD84" w14:textId="0800BF02" w:rsidR="001F6FF5" w:rsidRDefault="001F6FF5" w:rsidP="005A27C7">
      <w:pPr>
        <w:ind w:left="1080" w:hanging="1080"/>
        <w:rPr>
          <w:sz w:val="20"/>
          <w:szCs w:val="20"/>
        </w:rPr>
      </w:pPr>
      <w:r>
        <w:rPr>
          <w:sz w:val="20"/>
          <w:szCs w:val="20"/>
        </w:rPr>
        <w:t>10.15</w:t>
      </w:r>
      <w:r>
        <w:rPr>
          <w:sz w:val="20"/>
          <w:szCs w:val="20"/>
        </w:rPr>
        <w:tab/>
      </w:r>
      <w:hyperlink r:id="rId66" w:history="1">
        <w:r w:rsidRPr="00704FBD">
          <w:rPr>
            <w:rStyle w:val="Hyperlink"/>
            <w:sz w:val="20"/>
            <w:szCs w:val="20"/>
          </w:rPr>
          <w:t>Form of PIPE Securities Purchase Agreement, dated May 25, 2022 (33)</w:t>
        </w:r>
      </w:hyperlink>
    </w:p>
    <w:p w14:paraId="23D60074" w14:textId="7A77A7BE" w:rsidR="001F6FF5" w:rsidRDefault="001F6FF5" w:rsidP="005A27C7">
      <w:pPr>
        <w:ind w:left="1080" w:hanging="1080"/>
        <w:rPr>
          <w:sz w:val="20"/>
          <w:szCs w:val="20"/>
        </w:rPr>
      </w:pPr>
      <w:r>
        <w:rPr>
          <w:sz w:val="20"/>
          <w:szCs w:val="20"/>
        </w:rPr>
        <w:t>10.16</w:t>
      </w:r>
      <w:r>
        <w:rPr>
          <w:sz w:val="20"/>
          <w:szCs w:val="20"/>
        </w:rPr>
        <w:tab/>
      </w:r>
      <w:hyperlink r:id="rId67" w:history="1">
        <w:r w:rsidRPr="00704FBD">
          <w:rPr>
            <w:rStyle w:val="Hyperlink"/>
            <w:sz w:val="20"/>
            <w:szCs w:val="20"/>
          </w:rPr>
          <w:t>Form of RD Securities Purchase Agreement, dated May 25, 2022 (33)</w:t>
        </w:r>
      </w:hyperlink>
    </w:p>
    <w:p w14:paraId="3BE62459" w14:textId="090DE236" w:rsidR="001F6FF5" w:rsidRDefault="001F6FF5" w:rsidP="005A27C7">
      <w:pPr>
        <w:ind w:left="1080" w:hanging="1080"/>
        <w:rPr>
          <w:sz w:val="20"/>
          <w:szCs w:val="20"/>
        </w:rPr>
      </w:pPr>
      <w:r>
        <w:rPr>
          <w:sz w:val="20"/>
          <w:szCs w:val="20"/>
        </w:rPr>
        <w:t>10.17</w:t>
      </w:r>
      <w:r>
        <w:rPr>
          <w:sz w:val="20"/>
          <w:szCs w:val="20"/>
        </w:rPr>
        <w:tab/>
      </w:r>
      <w:hyperlink r:id="rId68" w:history="1">
        <w:r w:rsidRPr="00704FBD">
          <w:rPr>
            <w:rStyle w:val="Hyperlink"/>
            <w:sz w:val="20"/>
            <w:szCs w:val="20"/>
          </w:rPr>
          <w:t>Form of Registration Rights Agreement, dated May 25, 2022 (33)</w:t>
        </w:r>
      </w:hyperlink>
    </w:p>
    <w:p w14:paraId="20613076" w14:textId="070D4D8A" w:rsidR="005A27C7" w:rsidRPr="005A27C7" w:rsidRDefault="005A27C7" w:rsidP="005A27C7">
      <w:pPr>
        <w:ind w:left="1080" w:hanging="1080"/>
        <w:rPr>
          <w:sz w:val="20"/>
          <w:szCs w:val="20"/>
        </w:rPr>
      </w:pPr>
      <w:r w:rsidRPr="005A27C7">
        <w:rPr>
          <w:sz w:val="20"/>
          <w:szCs w:val="20"/>
        </w:rPr>
        <w:t>21.1</w:t>
      </w:r>
      <w:r w:rsidRPr="005A27C7">
        <w:rPr>
          <w:sz w:val="20"/>
          <w:szCs w:val="20"/>
        </w:rPr>
        <w:tab/>
      </w:r>
      <w:hyperlink r:id="rId69" w:history="1">
        <w:r w:rsidRPr="005A27C7">
          <w:rPr>
            <w:rStyle w:val="Hyperlink"/>
            <w:sz w:val="20"/>
            <w:szCs w:val="20"/>
          </w:rPr>
          <w:t>Subsidiaries of the Registrant (16)</w:t>
        </w:r>
      </w:hyperlink>
    </w:p>
    <w:p w14:paraId="4B8CD916" w14:textId="77777777" w:rsidR="005A27C7" w:rsidRDefault="005A27C7" w:rsidP="005A27C7">
      <w:pPr>
        <w:ind w:left="1080" w:hanging="1080"/>
        <w:rPr>
          <w:sz w:val="20"/>
          <w:szCs w:val="20"/>
        </w:rPr>
      </w:pPr>
      <w:r w:rsidRPr="005A27C7">
        <w:rPr>
          <w:sz w:val="20"/>
          <w:szCs w:val="20"/>
        </w:rPr>
        <w:t>23.1 *</w:t>
      </w:r>
      <w:r w:rsidRPr="005A27C7">
        <w:rPr>
          <w:sz w:val="20"/>
          <w:szCs w:val="20"/>
        </w:rPr>
        <w:tab/>
        <w:t xml:space="preserve">Consent of </w:t>
      </w:r>
      <w:proofErr w:type="spellStart"/>
      <w:r w:rsidRPr="005A27C7">
        <w:rPr>
          <w:sz w:val="20"/>
          <w:szCs w:val="20"/>
        </w:rPr>
        <w:t>Wipfli</w:t>
      </w:r>
      <w:proofErr w:type="spellEnd"/>
      <w:r w:rsidRPr="005A27C7">
        <w:rPr>
          <w:sz w:val="20"/>
          <w:szCs w:val="20"/>
        </w:rPr>
        <w:t xml:space="preserve"> LLP</w:t>
      </w:r>
    </w:p>
    <w:p w14:paraId="75710000" w14:textId="77777777" w:rsidR="005A27C7" w:rsidRDefault="005A27C7" w:rsidP="005A27C7">
      <w:pPr>
        <w:ind w:left="1080" w:hanging="1080"/>
        <w:rPr>
          <w:color w:val="000000"/>
          <w:sz w:val="20"/>
          <w:szCs w:val="20"/>
        </w:rPr>
      </w:pPr>
      <w:r w:rsidRPr="00924AF7">
        <w:rPr>
          <w:sz w:val="20"/>
          <w:szCs w:val="20"/>
        </w:rPr>
        <w:t>23.2 *</w:t>
      </w:r>
      <w:r w:rsidRPr="00924AF7">
        <w:rPr>
          <w:sz w:val="20"/>
          <w:szCs w:val="20"/>
        </w:rPr>
        <w:tab/>
      </w:r>
      <w:r w:rsidRPr="00924AF7">
        <w:rPr>
          <w:color w:val="000000"/>
          <w:sz w:val="20"/>
          <w:szCs w:val="20"/>
        </w:rPr>
        <w:t>Consent of Womble Bond Dickinson (US) LLP (included in Exhibit 5.1)</w:t>
      </w:r>
    </w:p>
    <w:p w14:paraId="0B19E621" w14:textId="77777777" w:rsidR="005A27C7" w:rsidRPr="005A27C7" w:rsidRDefault="005A27C7" w:rsidP="005A27C7">
      <w:pPr>
        <w:ind w:left="1080" w:hanging="1080"/>
        <w:rPr>
          <w:sz w:val="20"/>
          <w:szCs w:val="20"/>
        </w:rPr>
      </w:pPr>
      <w:r>
        <w:rPr>
          <w:sz w:val="20"/>
          <w:szCs w:val="20"/>
        </w:rPr>
        <w:t>24.1</w:t>
      </w:r>
      <w:r>
        <w:rPr>
          <w:sz w:val="20"/>
          <w:szCs w:val="20"/>
        </w:rPr>
        <w:tab/>
      </w:r>
      <w:r w:rsidRPr="005A27C7">
        <w:rPr>
          <w:sz w:val="20"/>
          <w:szCs w:val="20"/>
        </w:rPr>
        <w:t>Power of Attorney (included in the signature page t</w:t>
      </w:r>
      <w:r>
        <w:rPr>
          <w:sz w:val="20"/>
          <w:szCs w:val="20"/>
        </w:rPr>
        <w:t>o this Registration Statement).</w:t>
      </w:r>
      <w:r w:rsidRPr="005A27C7">
        <w:rPr>
          <w:sz w:val="20"/>
          <w:szCs w:val="20"/>
        </w:rPr>
        <w:t xml:space="preserve"> </w:t>
      </w:r>
    </w:p>
    <w:bookmarkEnd w:id="88"/>
    <w:p w14:paraId="7B9E49A4" w14:textId="77777777" w:rsidR="005A27C7" w:rsidRPr="005A27C7" w:rsidRDefault="005A27C7" w:rsidP="005A27C7">
      <w:pPr>
        <w:ind w:left="1080" w:hanging="1080"/>
        <w:rPr>
          <w:sz w:val="20"/>
          <w:szCs w:val="20"/>
        </w:rPr>
      </w:pPr>
      <w:r w:rsidRPr="005A27C7">
        <w:rPr>
          <w:sz w:val="20"/>
          <w:szCs w:val="20"/>
        </w:rPr>
        <w:t>101.INS</w:t>
      </w:r>
      <w:r w:rsidRPr="005A27C7">
        <w:rPr>
          <w:sz w:val="20"/>
          <w:szCs w:val="20"/>
        </w:rPr>
        <w:tab/>
        <w:t>Inline XBRL Instance Document (the Instance Document does not appear in the Interactive Data Files because its XBRL tags are embedded with the Inline XBRL Document) (1)</w:t>
      </w:r>
    </w:p>
    <w:p w14:paraId="027C07A0" w14:textId="77777777" w:rsidR="005A27C7" w:rsidRPr="005A27C7" w:rsidRDefault="005A27C7" w:rsidP="005A27C7">
      <w:pPr>
        <w:ind w:left="1080" w:hanging="1080"/>
        <w:rPr>
          <w:sz w:val="20"/>
          <w:szCs w:val="20"/>
        </w:rPr>
      </w:pPr>
      <w:r w:rsidRPr="005A27C7">
        <w:rPr>
          <w:sz w:val="20"/>
          <w:szCs w:val="20"/>
        </w:rPr>
        <w:t>101.SCH</w:t>
      </w:r>
      <w:r w:rsidRPr="005A27C7">
        <w:rPr>
          <w:sz w:val="20"/>
          <w:szCs w:val="20"/>
        </w:rPr>
        <w:tab/>
        <w:t>Inline XBRL Taxonomy Extension Schema Document (1)</w:t>
      </w:r>
    </w:p>
    <w:p w14:paraId="6B3D4017" w14:textId="77777777" w:rsidR="005A27C7" w:rsidRPr="005A27C7" w:rsidRDefault="005A27C7" w:rsidP="005A27C7">
      <w:pPr>
        <w:ind w:left="1080" w:hanging="1080"/>
        <w:rPr>
          <w:sz w:val="20"/>
          <w:szCs w:val="20"/>
        </w:rPr>
      </w:pPr>
      <w:r w:rsidRPr="005A27C7">
        <w:rPr>
          <w:sz w:val="20"/>
          <w:szCs w:val="20"/>
        </w:rPr>
        <w:t>101.CAL</w:t>
      </w:r>
      <w:r w:rsidRPr="005A27C7">
        <w:rPr>
          <w:sz w:val="20"/>
          <w:szCs w:val="20"/>
        </w:rPr>
        <w:tab/>
        <w:t xml:space="preserve">Inline XBRL Taxonomy Extension Calculation </w:t>
      </w:r>
      <w:proofErr w:type="spellStart"/>
      <w:r w:rsidRPr="005A27C7">
        <w:rPr>
          <w:sz w:val="20"/>
          <w:szCs w:val="20"/>
        </w:rPr>
        <w:t>Linkbase</w:t>
      </w:r>
      <w:proofErr w:type="spellEnd"/>
      <w:r w:rsidRPr="005A27C7">
        <w:rPr>
          <w:sz w:val="20"/>
          <w:szCs w:val="20"/>
        </w:rPr>
        <w:t xml:space="preserve"> Document (1)</w:t>
      </w:r>
    </w:p>
    <w:p w14:paraId="27D0B0B0" w14:textId="77777777" w:rsidR="005A27C7" w:rsidRPr="005A27C7" w:rsidRDefault="005A27C7" w:rsidP="005A27C7">
      <w:pPr>
        <w:ind w:left="1080" w:hanging="1080"/>
        <w:rPr>
          <w:sz w:val="20"/>
          <w:szCs w:val="20"/>
        </w:rPr>
      </w:pPr>
      <w:r w:rsidRPr="005A27C7">
        <w:rPr>
          <w:sz w:val="20"/>
          <w:szCs w:val="20"/>
        </w:rPr>
        <w:t>101.DEF</w:t>
      </w:r>
      <w:r w:rsidRPr="005A27C7">
        <w:rPr>
          <w:sz w:val="20"/>
          <w:szCs w:val="20"/>
        </w:rPr>
        <w:tab/>
        <w:t xml:space="preserve">Inline XBRL Taxonomy Extension Definition </w:t>
      </w:r>
      <w:proofErr w:type="spellStart"/>
      <w:r w:rsidRPr="005A27C7">
        <w:rPr>
          <w:sz w:val="20"/>
          <w:szCs w:val="20"/>
        </w:rPr>
        <w:t>Linkbase</w:t>
      </w:r>
      <w:proofErr w:type="spellEnd"/>
      <w:r w:rsidRPr="005A27C7">
        <w:rPr>
          <w:sz w:val="20"/>
          <w:szCs w:val="20"/>
        </w:rPr>
        <w:t xml:space="preserve"> Document (1)</w:t>
      </w:r>
    </w:p>
    <w:p w14:paraId="0C1723F0" w14:textId="77777777" w:rsidR="005A27C7" w:rsidRPr="005A27C7" w:rsidRDefault="005A27C7" w:rsidP="005A27C7">
      <w:pPr>
        <w:ind w:left="1080" w:hanging="1080"/>
        <w:rPr>
          <w:sz w:val="20"/>
          <w:szCs w:val="20"/>
        </w:rPr>
      </w:pPr>
      <w:r w:rsidRPr="005A27C7">
        <w:rPr>
          <w:sz w:val="20"/>
          <w:szCs w:val="20"/>
        </w:rPr>
        <w:t>101.LAB</w:t>
      </w:r>
      <w:r w:rsidRPr="005A27C7">
        <w:rPr>
          <w:sz w:val="20"/>
          <w:szCs w:val="20"/>
        </w:rPr>
        <w:tab/>
        <w:t xml:space="preserve">Inline XBRL Taxonomy Extension Label </w:t>
      </w:r>
      <w:proofErr w:type="spellStart"/>
      <w:r w:rsidRPr="005A27C7">
        <w:rPr>
          <w:sz w:val="20"/>
          <w:szCs w:val="20"/>
        </w:rPr>
        <w:t>Linkbase</w:t>
      </w:r>
      <w:proofErr w:type="spellEnd"/>
      <w:r w:rsidRPr="005A27C7">
        <w:rPr>
          <w:sz w:val="20"/>
          <w:szCs w:val="20"/>
        </w:rPr>
        <w:t xml:space="preserve"> Document (1)</w:t>
      </w:r>
    </w:p>
    <w:p w14:paraId="6ECA530D" w14:textId="5B1985AD" w:rsidR="005A27C7" w:rsidRDefault="005A27C7" w:rsidP="005A27C7">
      <w:pPr>
        <w:ind w:left="1080" w:hanging="1080"/>
        <w:rPr>
          <w:sz w:val="20"/>
          <w:szCs w:val="20"/>
        </w:rPr>
      </w:pPr>
      <w:r w:rsidRPr="005A27C7">
        <w:rPr>
          <w:sz w:val="20"/>
          <w:szCs w:val="20"/>
        </w:rPr>
        <w:t>101.PRE</w:t>
      </w:r>
      <w:r w:rsidRPr="005A27C7">
        <w:rPr>
          <w:sz w:val="20"/>
          <w:szCs w:val="20"/>
        </w:rPr>
        <w:tab/>
        <w:t xml:space="preserve">Inline XBRL Taxonomy Extension Presentation </w:t>
      </w:r>
      <w:proofErr w:type="spellStart"/>
      <w:r w:rsidRPr="005A27C7">
        <w:rPr>
          <w:sz w:val="20"/>
          <w:szCs w:val="20"/>
        </w:rPr>
        <w:t>Linkbase</w:t>
      </w:r>
      <w:proofErr w:type="spellEnd"/>
      <w:r w:rsidRPr="005A27C7">
        <w:rPr>
          <w:sz w:val="20"/>
          <w:szCs w:val="20"/>
        </w:rPr>
        <w:t xml:space="preserve"> Document (1)</w:t>
      </w:r>
    </w:p>
    <w:p w14:paraId="7D2A1E80" w14:textId="17591A16" w:rsidR="001E7430" w:rsidRPr="005A27C7" w:rsidRDefault="001E7430" w:rsidP="005A27C7">
      <w:pPr>
        <w:ind w:left="1080" w:hanging="1080"/>
        <w:rPr>
          <w:sz w:val="20"/>
          <w:szCs w:val="20"/>
        </w:rPr>
      </w:pPr>
      <w:r>
        <w:rPr>
          <w:sz w:val="20"/>
          <w:szCs w:val="20"/>
        </w:rPr>
        <w:t>107 *</w:t>
      </w:r>
      <w:r>
        <w:rPr>
          <w:sz w:val="20"/>
          <w:szCs w:val="20"/>
        </w:rPr>
        <w:tab/>
        <w:t>Filing fee table</w:t>
      </w:r>
    </w:p>
    <w:p w14:paraId="62E101A5" w14:textId="77777777" w:rsidR="005A27C7" w:rsidRPr="005A27C7" w:rsidRDefault="005A27C7" w:rsidP="005A27C7">
      <w:pPr>
        <w:rPr>
          <w:sz w:val="20"/>
          <w:szCs w:val="20"/>
        </w:rPr>
      </w:pPr>
      <w:r w:rsidRPr="005A27C7">
        <w:rPr>
          <w:sz w:val="20"/>
          <w:szCs w:val="20"/>
        </w:rPr>
        <w:t>___________________</w:t>
      </w:r>
    </w:p>
    <w:p w14:paraId="6D0914BE" w14:textId="77777777" w:rsidR="005A27C7" w:rsidRPr="005A27C7" w:rsidRDefault="005A27C7" w:rsidP="005A27C7">
      <w:pPr>
        <w:rPr>
          <w:sz w:val="20"/>
          <w:szCs w:val="20"/>
        </w:rPr>
      </w:pPr>
      <w:r w:rsidRPr="00924AF7">
        <w:rPr>
          <w:sz w:val="20"/>
          <w:szCs w:val="20"/>
        </w:rPr>
        <w:t>*</w:t>
      </w:r>
      <w:r w:rsidRPr="00924AF7">
        <w:rPr>
          <w:sz w:val="20"/>
          <w:szCs w:val="20"/>
        </w:rPr>
        <w:tab/>
        <w:t>Filed herewith.</w:t>
      </w:r>
    </w:p>
    <w:p w14:paraId="106DBC41" w14:textId="77777777" w:rsidR="005A27C7" w:rsidRPr="005A27C7" w:rsidRDefault="005A27C7" w:rsidP="005A27C7">
      <w:pPr>
        <w:rPr>
          <w:sz w:val="20"/>
          <w:szCs w:val="20"/>
        </w:rPr>
      </w:pPr>
      <w:r w:rsidRPr="005A27C7">
        <w:rPr>
          <w:sz w:val="20"/>
          <w:szCs w:val="20"/>
        </w:rPr>
        <w:t>**</w:t>
      </w:r>
      <w:r w:rsidRPr="005A27C7">
        <w:rPr>
          <w:sz w:val="20"/>
          <w:szCs w:val="20"/>
        </w:rPr>
        <w:tab/>
        <w:t>Indicates a management contract or compensatory plan or arrangement.</w:t>
      </w:r>
    </w:p>
    <w:p w14:paraId="5CDBCD92" w14:textId="77777777" w:rsidR="005A27C7" w:rsidRPr="005A27C7" w:rsidRDefault="005A27C7" w:rsidP="005A27C7">
      <w:pPr>
        <w:ind w:left="720" w:hanging="720"/>
        <w:rPr>
          <w:sz w:val="20"/>
          <w:szCs w:val="20"/>
        </w:rPr>
      </w:pPr>
      <w:r w:rsidRPr="005A27C7">
        <w:rPr>
          <w:sz w:val="20"/>
          <w:szCs w:val="20"/>
        </w:rPr>
        <w:t>(1)</w:t>
      </w:r>
      <w:r w:rsidRPr="005A27C7">
        <w:rPr>
          <w:sz w:val="20"/>
          <w:szCs w:val="20"/>
        </w:rPr>
        <w:tab/>
        <w:t>These interactive data files shall not be deemed filed or a part of a registration statement or prospectus for purposes of Sections 11 or 12 of the Securities Act of 1933, as amended, or Section 18 of the Securities Exchange Act of 1934, as amended, or otherwise subject to liability under these sections.</w:t>
      </w:r>
    </w:p>
    <w:p w14:paraId="776A5093" w14:textId="77777777" w:rsidR="005A27C7" w:rsidRPr="005A27C7" w:rsidRDefault="005A27C7" w:rsidP="005A27C7">
      <w:pPr>
        <w:ind w:left="720" w:hanging="720"/>
        <w:rPr>
          <w:sz w:val="20"/>
          <w:szCs w:val="20"/>
        </w:rPr>
      </w:pPr>
      <w:bookmarkStart w:id="89" w:name="_Hlk508102677"/>
      <w:r w:rsidRPr="005A27C7">
        <w:rPr>
          <w:sz w:val="20"/>
          <w:szCs w:val="20"/>
        </w:rPr>
        <w:t>(2)</w:t>
      </w:r>
      <w:r w:rsidRPr="005A27C7">
        <w:rPr>
          <w:sz w:val="20"/>
          <w:szCs w:val="20"/>
        </w:rPr>
        <w:tab/>
        <w:t>Incorporated by reference from the registrant’s Current Report on Form 8-K filed October 4, 2006.</w:t>
      </w:r>
    </w:p>
    <w:p w14:paraId="44A1FEE1" w14:textId="77777777" w:rsidR="005A27C7" w:rsidRPr="005A27C7" w:rsidRDefault="005A27C7" w:rsidP="005A27C7">
      <w:pPr>
        <w:ind w:left="720" w:hanging="720"/>
        <w:rPr>
          <w:sz w:val="20"/>
          <w:szCs w:val="20"/>
        </w:rPr>
      </w:pPr>
      <w:r w:rsidRPr="005A27C7">
        <w:rPr>
          <w:sz w:val="20"/>
          <w:szCs w:val="20"/>
        </w:rPr>
        <w:t>(3)</w:t>
      </w:r>
      <w:r w:rsidRPr="005A27C7">
        <w:rPr>
          <w:sz w:val="20"/>
          <w:szCs w:val="20"/>
        </w:rPr>
        <w:tab/>
        <w:t>Incorporated by reference from the registrant’s Current Report on Form 8-K filed June 23, 2008.</w:t>
      </w:r>
    </w:p>
    <w:p w14:paraId="15BBD1BC" w14:textId="77777777" w:rsidR="005A27C7" w:rsidRPr="005A27C7" w:rsidRDefault="005A27C7" w:rsidP="005A27C7">
      <w:pPr>
        <w:ind w:left="720" w:hanging="720"/>
        <w:rPr>
          <w:sz w:val="20"/>
          <w:szCs w:val="20"/>
        </w:rPr>
      </w:pPr>
      <w:bookmarkStart w:id="90" w:name="_Hlk90286213"/>
      <w:r w:rsidRPr="005A27C7">
        <w:rPr>
          <w:sz w:val="20"/>
          <w:szCs w:val="20"/>
        </w:rPr>
        <w:t>(4)</w:t>
      </w:r>
      <w:r w:rsidRPr="005A27C7">
        <w:rPr>
          <w:sz w:val="20"/>
          <w:szCs w:val="20"/>
        </w:rPr>
        <w:tab/>
        <w:t>Incorporated by reference from the registrant’s Annual Report on Form 10-K filed March 8, 2010.</w:t>
      </w:r>
    </w:p>
    <w:bookmarkEnd w:id="90"/>
    <w:p w14:paraId="6169E486" w14:textId="77777777" w:rsidR="005A27C7" w:rsidRPr="005A27C7" w:rsidRDefault="005A27C7" w:rsidP="005A27C7">
      <w:pPr>
        <w:ind w:left="720" w:hanging="720"/>
        <w:rPr>
          <w:sz w:val="20"/>
          <w:szCs w:val="20"/>
        </w:rPr>
      </w:pPr>
      <w:r w:rsidRPr="005A27C7">
        <w:rPr>
          <w:sz w:val="20"/>
          <w:szCs w:val="20"/>
        </w:rPr>
        <w:t>(5)</w:t>
      </w:r>
      <w:r w:rsidRPr="005A27C7">
        <w:rPr>
          <w:sz w:val="20"/>
          <w:szCs w:val="20"/>
        </w:rPr>
        <w:tab/>
        <w:t>Incorporated by reference from the registrant’s Current Report on Form 8-K filed April 14, 2010.</w:t>
      </w:r>
    </w:p>
    <w:p w14:paraId="3670D09B" w14:textId="77777777" w:rsidR="005A27C7" w:rsidRPr="005A27C7" w:rsidRDefault="005A27C7" w:rsidP="005A27C7">
      <w:pPr>
        <w:ind w:left="720" w:hanging="720"/>
        <w:rPr>
          <w:sz w:val="20"/>
          <w:szCs w:val="20"/>
        </w:rPr>
      </w:pPr>
      <w:r w:rsidRPr="005A27C7">
        <w:rPr>
          <w:sz w:val="20"/>
          <w:szCs w:val="20"/>
        </w:rPr>
        <w:t>(6)</w:t>
      </w:r>
      <w:r w:rsidRPr="005A27C7">
        <w:rPr>
          <w:sz w:val="20"/>
          <w:szCs w:val="20"/>
        </w:rPr>
        <w:tab/>
        <w:t>Incorporated by reference from the registrant’s Current Report on Form 8-K filed April 28, 2010.</w:t>
      </w:r>
    </w:p>
    <w:p w14:paraId="20FFA1AD" w14:textId="77777777" w:rsidR="005A27C7" w:rsidRPr="005A27C7" w:rsidRDefault="005A27C7" w:rsidP="005A27C7">
      <w:pPr>
        <w:ind w:left="720" w:hanging="720"/>
        <w:rPr>
          <w:sz w:val="20"/>
          <w:szCs w:val="20"/>
        </w:rPr>
      </w:pPr>
      <w:r w:rsidRPr="005A27C7">
        <w:rPr>
          <w:sz w:val="20"/>
          <w:szCs w:val="20"/>
        </w:rPr>
        <w:t>(7)</w:t>
      </w:r>
      <w:r w:rsidRPr="005A27C7">
        <w:rPr>
          <w:sz w:val="20"/>
          <w:szCs w:val="20"/>
        </w:rPr>
        <w:tab/>
        <w:t>Incorporated by reference from the registrant’s Current Report on Form 8-K filed August 2, 2013.</w:t>
      </w:r>
    </w:p>
    <w:p w14:paraId="09EA3BBF" w14:textId="77777777" w:rsidR="005A27C7" w:rsidRPr="005A27C7" w:rsidRDefault="005A27C7" w:rsidP="005A27C7">
      <w:pPr>
        <w:ind w:left="720" w:hanging="720"/>
        <w:rPr>
          <w:sz w:val="20"/>
          <w:szCs w:val="20"/>
        </w:rPr>
      </w:pPr>
      <w:r w:rsidRPr="005A27C7">
        <w:rPr>
          <w:sz w:val="20"/>
          <w:szCs w:val="20"/>
        </w:rPr>
        <w:t>(8)</w:t>
      </w:r>
      <w:r w:rsidRPr="005A27C7">
        <w:rPr>
          <w:sz w:val="20"/>
          <w:szCs w:val="20"/>
        </w:rPr>
        <w:tab/>
        <w:t>Incorporated by reference from the registrant’s Current Report on Form 8-K filed October 23, 2013.</w:t>
      </w:r>
    </w:p>
    <w:p w14:paraId="7A02D651" w14:textId="77777777" w:rsidR="005A27C7" w:rsidRPr="005A27C7" w:rsidRDefault="005A27C7" w:rsidP="005A27C7">
      <w:pPr>
        <w:ind w:left="720" w:hanging="720"/>
        <w:rPr>
          <w:sz w:val="20"/>
          <w:szCs w:val="20"/>
        </w:rPr>
      </w:pPr>
      <w:r w:rsidRPr="005A27C7">
        <w:rPr>
          <w:sz w:val="20"/>
          <w:szCs w:val="20"/>
        </w:rPr>
        <w:t>(9)</w:t>
      </w:r>
      <w:r w:rsidRPr="005A27C7">
        <w:rPr>
          <w:sz w:val="20"/>
          <w:szCs w:val="20"/>
        </w:rPr>
        <w:tab/>
        <w:t>[Not Used]</w:t>
      </w:r>
    </w:p>
    <w:p w14:paraId="59E4C9A6" w14:textId="77777777" w:rsidR="005A27C7" w:rsidRPr="005A27C7" w:rsidRDefault="005A27C7" w:rsidP="005A27C7">
      <w:pPr>
        <w:ind w:left="720" w:hanging="720"/>
        <w:rPr>
          <w:sz w:val="20"/>
          <w:szCs w:val="20"/>
        </w:rPr>
      </w:pPr>
      <w:r w:rsidRPr="005A27C7">
        <w:rPr>
          <w:sz w:val="20"/>
          <w:szCs w:val="20"/>
        </w:rPr>
        <w:t>(10)</w:t>
      </w:r>
      <w:r w:rsidRPr="005A27C7">
        <w:rPr>
          <w:sz w:val="20"/>
          <w:szCs w:val="20"/>
        </w:rPr>
        <w:tab/>
        <w:t>Incorporated by reference from the registrant’s Current Report on Form 8-K filed May 14, 2015.</w:t>
      </w:r>
    </w:p>
    <w:p w14:paraId="3918D89F" w14:textId="77777777" w:rsidR="005A27C7" w:rsidRPr="005A27C7" w:rsidRDefault="005A27C7" w:rsidP="005A27C7">
      <w:pPr>
        <w:rPr>
          <w:sz w:val="20"/>
          <w:szCs w:val="20"/>
        </w:rPr>
      </w:pPr>
      <w:r w:rsidRPr="005A27C7">
        <w:rPr>
          <w:sz w:val="20"/>
          <w:szCs w:val="20"/>
        </w:rPr>
        <w:t>(11)</w:t>
      </w:r>
      <w:r w:rsidRPr="005A27C7">
        <w:rPr>
          <w:sz w:val="20"/>
          <w:szCs w:val="20"/>
        </w:rPr>
        <w:tab/>
        <w:t>Incorporated by reference from the registrant’s Current Report on Form 8-K filed June 16, 2016.</w:t>
      </w:r>
    </w:p>
    <w:p w14:paraId="093B1425" w14:textId="77777777" w:rsidR="005A27C7" w:rsidRPr="005A27C7" w:rsidRDefault="005A27C7" w:rsidP="005A27C7">
      <w:pPr>
        <w:rPr>
          <w:sz w:val="20"/>
          <w:szCs w:val="20"/>
        </w:rPr>
      </w:pPr>
      <w:r w:rsidRPr="005A27C7">
        <w:rPr>
          <w:sz w:val="20"/>
          <w:szCs w:val="20"/>
        </w:rPr>
        <w:t>(12)</w:t>
      </w:r>
      <w:r w:rsidRPr="005A27C7">
        <w:rPr>
          <w:sz w:val="20"/>
          <w:szCs w:val="20"/>
        </w:rPr>
        <w:tab/>
        <w:t>Incorporated by reference from the registrant’s Current Report on Form 8-K filed August 4, 2017.</w:t>
      </w:r>
    </w:p>
    <w:p w14:paraId="3A8094C0" w14:textId="77777777" w:rsidR="005A27C7" w:rsidRPr="005A27C7" w:rsidRDefault="005A27C7" w:rsidP="005A27C7">
      <w:pPr>
        <w:rPr>
          <w:sz w:val="20"/>
          <w:szCs w:val="20"/>
        </w:rPr>
      </w:pPr>
      <w:bookmarkStart w:id="91" w:name="_Hlk2669651"/>
      <w:r w:rsidRPr="005A27C7">
        <w:rPr>
          <w:sz w:val="20"/>
          <w:szCs w:val="20"/>
        </w:rPr>
        <w:t>(13)</w:t>
      </w:r>
      <w:r w:rsidRPr="005A27C7">
        <w:rPr>
          <w:sz w:val="20"/>
          <w:szCs w:val="20"/>
        </w:rPr>
        <w:tab/>
        <w:t>Incorporated by reference from the registrant’s Current Report on Form 8-K filed September 7, 2018.</w:t>
      </w:r>
    </w:p>
    <w:bookmarkEnd w:id="89"/>
    <w:bookmarkEnd w:id="91"/>
    <w:p w14:paraId="71D76443" w14:textId="77777777" w:rsidR="005A27C7" w:rsidRPr="005A27C7" w:rsidRDefault="005A27C7" w:rsidP="005A27C7">
      <w:pPr>
        <w:rPr>
          <w:sz w:val="20"/>
          <w:szCs w:val="20"/>
        </w:rPr>
      </w:pPr>
      <w:r w:rsidRPr="005A27C7">
        <w:rPr>
          <w:sz w:val="20"/>
          <w:szCs w:val="20"/>
        </w:rPr>
        <w:t>(14)</w:t>
      </w:r>
      <w:r w:rsidRPr="005A27C7">
        <w:rPr>
          <w:sz w:val="20"/>
          <w:szCs w:val="20"/>
        </w:rPr>
        <w:tab/>
        <w:t>Incorporated by reference from the registrant’s Annual Report on Form 10-K filed March 26, 2019.</w:t>
      </w:r>
    </w:p>
    <w:p w14:paraId="6F2E485C" w14:textId="77777777" w:rsidR="005A27C7" w:rsidRPr="005A27C7" w:rsidRDefault="005A27C7" w:rsidP="005A27C7">
      <w:pPr>
        <w:rPr>
          <w:sz w:val="20"/>
          <w:szCs w:val="20"/>
        </w:rPr>
      </w:pPr>
      <w:r w:rsidRPr="005A27C7">
        <w:rPr>
          <w:sz w:val="20"/>
          <w:szCs w:val="20"/>
        </w:rPr>
        <w:t>(15)</w:t>
      </w:r>
      <w:r w:rsidRPr="005A27C7">
        <w:rPr>
          <w:sz w:val="20"/>
          <w:szCs w:val="20"/>
        </w:rPr>
        <w:tab/>
        <w:t>Incorporated by reference from the registrant’s Current Report on Form 8-K filed April 30, 2019</w:t>
      </w:r>
    </w:p>
    <w:p w14:paraId="5D9AF286" w14:textId="77777777" w:rsidR="005A27C7" w:rsidRPr="005A27C7" w:rsidRDefault="005A27C7" w:rsidP="005A27C7">
      <w:pPr>
        <w:rPr>
          <w:sz w:val="20"/>
          <w:szCs w:val="20"/>
        </w:rPr>
      </w:pPr>
      <w:r w:rsidRPr="005A27C7">
        <w:rPr>
          <w:sz w:val="20"/>
          <w:szCs w:val="20"/>
        </w:rPr>
        <w:t>(16)</w:t>
      </w:r>
      <w:r w:rsidRPr="005A27C7">
        <w:rPr>
          <w:sz w:val="20"/>
          <w:szCs w:val="20"/>
        </w:rPr>
        <w:tab/>
        <w:t>Incorporated by reference from the registrant’s Quarterly Report on Form 10-Q filed November 7, 2019.</w:t>
      </w:r>
    </w:p>
    <w:p w14:paraId="1C56D753" w14:textId="77777777" w:rsidR="005A27C7" w:rsidRPr="005A27C7" w:rsidRDefault="005A27C7" w:rsidP="005A27C7">
      <w:pPr>
        <w:rPr>
          <w:sz w:val="20"/>
          <w:szCs w:val="20"/>
        </w:rPr>
      </w:pPr>
      <w:r w:rsidRPr="005A27C7">
        <w:rPr>
          <w:sz w:val="20"/>
          <w:szCs w:val="20"/>
        </w:rPr>
        <w:t>(17)</w:t>
      </w:r>
      <w:r w:rsidRPr="005A27C7">
        <w:rPr>
          <w:sz w:val="20"/>
          <w:szCs w:val="20"/>
        </w:rPr>
        <w:tab/>
        <w:t>Incorporated by reference from the registrant’s Current Report on Form 8-K filed January 21, 2020.</w:t>
      </w:r>
    </w:p>
    <w:p w14:paraId="4A8F3A0F" w14:textId="77777777" w:rsidR="005A27C7" w:rsidRPr="005A27C7" w:rsidRDefault="005A27C7" w:rsidP="005A27C7">
      <w:pPr>
        <w:ind w:left="720" w:hanging="720"/>
        <w:rPr>
          <w:sz w:val="20"/>
          <w:szCs w:val="20"/>
        </w:rPr>
      </w:pPr>
      <w:r w:rsidRPr="005A27C7">
        <w:rPr>
          <w:sz w:val="20"/>
          <w:szCs w:val="20"/>
        </w:rPr>
        <w:t>(18)</w:t>
      </w:r>
      <w:r w:rsidRPr="005A27C7">
        <w:rPr>
          <w:sz w:val="20"/>
          <w:szCs w:val="20"/>
        </w:rPr>
        <w:tab/>
        <w:t>Incorporated by reference from the registrant’s Annual Report on Form 10-K filed March 24, 2020.</w:t>
      </w:r>
    </w:p>
    <w:p w14:paraId="73B3200C" w14:textId="77777777" w:rsidR="005A27C7" w:rsidRPr="005A27C7" w:rsidRDefault="005A27C7" w:rsidP="005A27C7">
      <w:pPr>
        <w:ind w:left="720" w:hanging="720"/>
        <w:rPr>
          <w:sz w:val="20"/>
          <w:szCs w:val="20"/>
        </w:rPr>
      </w:pPr>
      <w:r w:rsidRPr="005A27C7">
        <w:rPr>
          <w:sz w:val="20"/>
          <w:szCs w:val="20"/>
        </w:rPr>
        <w:t>(19)</w:t>
      </w:r>
      <w:r w:rsidRPr="005A27C7">
        <w:rPr>
          <w:sz w:val="20"/>
          <w:szCs w:val="20"/>
        </w:rPr>
        <w:tab/>
      </w:r>
      <w:bookmarkStart w:id="92" w:name="_Hlk63427691"/>
      <w:r w:rsidRPr="005A27C7">
        <w:rPr>
          <w:sz w:val="20"/>
          <w:szCs w:val="20"/>
        </w:rPr>
        <w:t>Incorporated by reference from the registrant’s Quarterly Report on Form 10-Q filed November 12, 202</w:t>
      </w:r>
      <w:bookmarkEnd w:id="92"/>
      <w:r w:rsidRPr="005A27C7">
        <w:rPr>
          <w:sz w:val="20"/>
          <w:szCs w:val="20"/>
        </w:rPr>
        <w:t>1.</w:t>
      </w:r>
    </w:p>
    <w:p w14:paraId="39E15AF4" w14:textId="77777777" w:rsidR="005A27C7" w:rsidRPr="005A27C7" w:rsidRDefault="005A27C7" w:rsidP="005A27C7">
      <w:pPr>
        <w:ind w:left="720" w:hanging="720"/>
        <w:rPr>
          <w:sz w:val="20"/>
          <w:szCs w:val="20"/>
        </w:rPr>
      </w:pPr>
      <w:bookmarkStart w:id="93" w:name="_Hlk90286714"/>
      <w:r w:rsidRPr="005A27C7">
        <w:rPr>
          <w:sz w:val="20"/>
          <w:szCs w:val="20"/>
        </w:rPr>
        <w:t>(20)</w:t>
      </w:r>
      <w:r w:rsidRPr="005A27C7">
        <w:rPr>
          <w:sz w:val="20"/>
          <w:szCs w:val="20"/>
        </w:rPr>
        <w:tab/>
        <w:t>Incorporated by reference from the registrant’s Current Report on Form 8-K filed June 26, 2020.</w:t>
      </w:r>
    </w:p>
    <w:bookmarkEnd w:id="93"/>
    <w:p w14:paraId="156B2061" w14:textId="77777777" w:rsidR="005A27C7" w:rsidRPr="005A27C7" w:rsidRDefault="005A27C7" w:rsidP="005A27C7">
      <w:pPr>
        <w:ind w:left="720" w:hanging="720"/>
        <w:rPr>
          <w:sz w:val="20"/>
          <w:szCs w:val="20"/>
        </w:rPr>
      </w:pPr>
      <w:r w:rsidRPr="005A27C7">
        <w:rPr>
          <w:sz w:val="20"/>
          <w:szCs w:val="20"/>
        </w:rPr>
        <w:t>(21)</w:t>
      </w:r>
      <w:r w:rsidRPr="005A27C7">
        <w:rPr>
          <w:sz w:val="20"/>
          <w:szCs w:val="20"/>
        </w:rPr>
        <w:tab/>
        <w:t>Incorporated by reference from the Amendment No. 2 to registrant’s Registration Statement on Form S-1 (File No. 333-239958) filed August 26, 2020.</w:t>
      </w:r>
    </w:p>
    <w:p w14:paraId="49C5E5A1" w14:textId="77777777" w:rsidR="005A27C7" w:rsidRPr="005A27C7" w:rsidRDefault="005A27C7" w:rsidP="005A27C7">
      <w:pPr>
        <w:ind w:left="720" w:hanging="720"/>
        <w:rPr>
          <w:sz w:val="20"/>
          <w:szCs w:val="20"/>
        </w:rPr>
      </w:pPr>
      <w:r w:rsidRPr="005A27C7">
        <w:rPr>
          <w:sz w:val="20"/>
          <w:szCs w:val="20"/>
        </w:rPr>
        <w:t>(22)</w:t>
      </w:r>
      <w:r w:rsidRPr="005A27C7">
        <w:rPr>
          <w:sz w:val="20"/>
          <w:szCs w:val="20"/>
        </w:rPr>
        <w:tab/>
        <w:t>Incorporated by reference from the Amendment No. 3 to registrant’s Registration Statement on Form S-1 (File No. 333-239958) filed September 8, 2020</w:t>
      </w:r>
    </w:p>
    <w:p w14:paraId="48073AC3" w14:textId="77777777" w:rsidR="005A27C7" w:rsidRPr="005A27C7" w:rsidRDefault="005A27C7" w:rsidP="005A27C7">
      <w:pPr>
        <w:ind w:left="720" w:hanging="720"/>
        <w:rPr>
          <w:sz w:val="20"/>
          <w:szCs w:val="20"/>
        </w:rPr>
      </w:pPr>
      <w:r w:rsidRPr="005A27C7">
        <w:rPr>
          <w:sz w:val="20"/>
          <w:szCs w:val="20"/>
        </w:rPr>
        <w:t>(23)</w:t>
      </w:r>
      <w:r w:rsidRPr="005A27C7">
        <w:rPr>
          <w:sz w:val="20"/>
          <w:szCs w:val="20"/>
        </w:rPr>
        <w:tab/>
        <w:t>Incorporated by reference from the Amendment No. 4 to registrant’s Registration Statement on Form S-1 (File No. 333-239958) filed September 23, 2020.</w:t>
      </w:r>
    </w:p>
    <w:p w14:paraId="58662C8C" w14:textId="77777777" w:rsidR="005A27C7" w:rsidRPr="005A27C7" w:rsidRDefault="005A27C7" w:rsidP="005A27C7">
      <w:pPr>
        <w:rPr>
          <w:sz w:val="20"/>
          <w:szCs w:val="20"/>
        </w:rPr>
      </w:pPr>
      <w:r w:rsidRPr="005A27C7">
        <w:rPr>
          <w:sz w:val="20"/>
          <w:szCs w:val="20"/>
        </w:rPr>
        <w:t>(24)</w:t>
      </w:r>
      <w:r w:rsidRPr="005A27C7">
        <w:rPr>
          <w:sz w:val="20"/>
          <w:szCs w:val="20"/>
        </w:rPr>
        <w:tab/>
        <w:t>Incorporated by reference from the registrant’s Current Report on Form 8-K filed September 25, 2020.</w:t>
      </w:r>
    </w:p>
    <w:p w14:paraId="62C7CB4D" w14:textId="77777777" w:rsidR="005A27C7" w:rsidRPr="005A27C7" w:rsidRDefault="005A27C7" w:rsidP="005A27C7">
      <w:pPr>
        <w:ind w:left="720" w:hanging="720"/>
        <w:rPr>
          <w:sz w:val="20"/>
          <w:szCs w:val="20"/>
        </w:rPr>
      </w:pPr>
      <w:r w:rsidRPr="005A27C7">
        <w:rPr>
          <w:sz w:val="20"/>
          <w:szCs w:val="20"/>
        </w:rPr>
        <w:t>(25)</w:t>
      </w:r>
      <w:r w:rsidRPr="005A27C7">
        <w:rPr>
          <w:sz w:val="20"/>
          <w:szCs w:val="20"/>
        </w:rPr>
        <w:tab/>
        <w:t xml:space="preserve">Incorporated by reference from the registrant’s Current Report on Form 8-K filed October 26, 2020. Pursuant to Item 601(b)(10) of Regulation S-K, certain confidential portions of this exhibit have been </w:t>
      </w:r>
      <w:r w:rsidRPr="005A27C7">
        <w:rPr>
          <w:sz w:val="20"/>
          <w:szCs w:val="20"/>
        </w:rPr>
        <w:lastRenderedPageBreak/>
        <w:t>omitted as the Company has determined (i) the omitted information is not material and (ii) the omitted information would likely cause competitive harm to the Company if publicly disclosed.</w:t>
      </w:r>
    </w:p>
    <w:p w14:paraId="25CF3E03" w14:textId="77777777" w:rsidR="005A27C7" w:rsidRPr="005A27C7" w:rsidRDefault="005A27C7" w:rsidP="005A27C7">
      <w:pPr>
        <w:ind w:left="720" w:hanging="720"/>
        <w:rPr>
          <w:sz w:val="20"/>
          <w:szCs w:val="20"/>
        </w:rPr>
      </w:pPr>
      <w:r w:rsidRPr="005A27C7">
        <w:rPr>
          <w:sz w:val="20"/>
          <w:szCs w:val="20"/>
        </w:rPr>
        <w:t>(26)</w:t>
      </w:r>
      <w:r w:rsidRPr="005A27C7">
        <w:rPr>
          <w:sz w:val="20"/>
          <w:szCs w:val="20"/>
        </w:rPr>
        <w:tab/>
        <w:t>Incorporated by reference from the registrant’s Current Report on Form 8-K filed November 30, 2020. Pursuant to Item 601(b)(10) of Regulation S-K, certain confidential portions of this exhibit have been omitted as the Company has determined (i) the omitted information is not material and (ii) the omitted information would likely cause competitive harm to the Company if publicly disclosed.</w:t>
      </w:r>
    </w:p>
    <w:p w14:paraId="1A8AC84B" w14:textId="77777777" w:rsidR="005A27C7" w:rsidRPr="005A27C7" w:rsidRDefault="005A27C7" w:rsidP="005A27C7">
      <w:pPr>
        <w:ind w:left="720" w:hanging="720"/>
        <w:rPr>
          <w:sz w:val="20"/>
          <w:szCs w:val="20"/>
        </w:rPr>
      </w:pPr>
      <w:r w:rsidRPr="005A27C7">
        <w:rPr>
          <w:sz w:val="20"/>
          <w:szCs w:val="20"/>
        </w:rPr>
        <w:t>(27)</w:t>
      </w:r>
      <w:r w:rsidRPr="005A27C7">
        <w:rPr>
          <w:sz w:val="20"/>
          <w:szCs w:val="20"/>
        </w:rPr>
        <w:tab/>
        <w:t>Incorporated by reference from the registrant’s Current Report on Form 8-K filed February 11, 2021.</w:t>
      </w:r>
    </w:p>
    <w:p w14:paraId="5932987F" w14:textId="77777777" w:rsidR="005A27C7" w:rsidRPr="005A27C7" w:rsidRDefault="005A27C7" w:rsidP="005A27C7">
      <w:pPr>
        <w:ind w:left="720" w:hanging="720"/>
        <w:rPr>
          <w:sz w:val="20"/>
          <w:szCs w:val="20"/>
        </w:rPr>
      </w:pPr>
      <w:bookmarkStart w:id="94" w:name="_Hlk104822095"/>
      <w:r w:rsidRPr="005A27C7">
        <w:rPr>
          <w:sz w:val="20"/>
          <w:szCs w:val="20"/>
        </w:rPr>
        <w:t>(28)</w:t>
      </w:r>
      <w:r w:rsidRPr="005A27C7">
        <w:rPr>
          <w:sz w:val="20"/>
          <w:szCs w:val="20"/>
        </w:rPr>
        <w:tab/>
        <w:t>Incorporated by reference from the registrant’s Annual Report on Form 10-K filed March 23, 2021.</w:t>
      </w:r>
    </w:p>
    <w:bookmarkEnd w:id="94"/>
    <w:p w14:paraId="05112345" w14:textId="77777777" w:rsidR="005A27C7" w:rsidRPr="005A27C7" w:rsidRDefault="005A27C7" w:rsidP="005A27C7">
      <w:pPr>
        <w:ind w:left="720" w:hanging="720"/>
        <w:rPr>
          <w:sz w:val="20"/>
          <w:szCs w:val="20"/>
        </w:rPr>
      </w:pPr>
      <w:r w:rsidRPr="005A27C7">
        <w:rPr>
          <w:sz w:val="20"/>
          <w:szCs w:val="20"/>
        </w:rPr>
        <w:t>(29)</w:t>
      </w:r>
      <w:r w:rsidRPr="005A27C7">
        <w:rPr>
          <w:sz w:val="20"/>
          <w:szCs w:val="20"/>
        </w:rPr>
        <w:tab/>
        <w:t>Incorporated by reference from the registrant’s Current Report on Form 8-K filed September 29, 2021. Pursuant to Item 601(b)(10) of Regulation S-K, certain confidential portions of this exhibit have been omitted as (i) the Company has determined the omitted information is not material and (ii) the Company customarily and actually treats the omitted information as private or confidential.</w:t>
      </w:r>
    </w:p>
    <w:p w14:paraId="7D82CD74" w14:textId="77777777" w:rsidR="005A27C7" w:rsidRPr="005A27C7" w:rsidRDefault="005A27C7" w:rsidP="005A27C7">
      <w:pPr>
        <w:ind w:left="720" w:hanging="720"/>
        <w:rPr>
          <w:sz w:val="20"/>
          <w:szCs w:val="20"/>
        </w:rPr>
      </w:pPr>
      <w:r w:rsidRPr="005A27C7">
        <w:rPr>
          <w:sz w:val="20"/>
          <w:szCs w:val="20"/>
        </w:rPr>
        <w:t>(30)</w:t>
      </w:r>
      <w:r w:rsidRPr="005A27C7">
        <w:rPr>
          <w:sz w:val="20"/>
          <w:szCs w:val="20"/>
        </w:rPr>
        <w:tab/>
        <w:t>Incorporated by reference from the registrant’s Current Report on Form 8-K filed November 10, 2021. Pursuant to Item 601(b)(10) of Regulation S-K, certain confidential portions of this exhibit have been omitted as (i) the Company has determined the omitted information is not material and (ii) the Company customarily and actually treats the omitted information as private or confidential.</w:t>
      </w:r>
    </w:p>
    <w:p w14:paraId="1E10CE9C" w14:textId="77777777" w:rsidR="005A27C7" w:rsidRPr="005A27C7" w:rsidRDefault="005A27C7" w:rsidP="005A27C7">
      <w:pPr>
        <w:ind w:left="720" w:hanging="720"/>
        <w:rPr>
          <w:sz w:val="20"/>
          <w:szCs w:val="20"/>
        </w:rPr>
      </w:pPr>
      <w:bookmarkStart w:id="95" w:name="_Hlk104822420"/>
      <w:r w:rsidRPr="005A27C7">
        <w:rPr>
          <w:sz w:val="20"/>
          <w:szCs w:val="20"/>
        </w:rPr>
        <w:t>(31)</w:t>
      </w:r>
      <w:r w:rsidRPr="005A27C7">
        <w:rPr>
          <w:sz w:val="20"/>
          <w:szCs w:val="20"/>
        </w:rPr>
        <w:tab/>
        <w:t>Incorporated by reference from the registrant’s Current Report on Form 8-K filed January 20, 2022.</w:t>
      </w:r>
    </w:p>
    <w:bookmarkEnd w:id="95"/>
    <w:p w14:paraId="3DEA9423" w14:textId="380B753D" w:rsidR="00576961" w:rsidRPr="005A27C7" w:rsidRDefault="00576961" w:rsidP="00576961">
      <w:pPr>
        <w:ind w:left="720" w:hanging="720"/>
        <w:rPr>
          <w:sz w:val="20"/>
          <w:szCs w:val="20"/>
        </w:rPr>
      </w:pPr>
      <w:r w:rsidRPr="005A27C7">
        <w:rPr>
          <w:sz w:val="20"/>
          <w:szCs w:val="20"/>
        </w:rPr>
        <w:t>(</w:t>
      </w:r>
      <w:r>
        <w:rPr>
          <w:sz w:val="20"/>
          <w:szCs w:val="20"/>
        </w:rPr>
        <w:t>32</w:t>
      </w:r>
      <w:r w:rsidRPr="005A27C7">
        <w:rPr>
          <w:sz w:val="20"/>
          <w:szCs w:val="20"/>
        </w:rPr>
        <w:t>)</w:t>
      </w:r>
      <w:r w:rsidRPr="005A27C7">
        <w:rPr>
          <w:sz w:val="20"/>
          <w:szCs w:val="20"/>
        </w:rPr>
        <w:tab/>
        <w:t xml:space="preserve">Incorporated by reference from the registrant’s Annual Report on Form 10-K filed March </w:t>
      </w:r>
      <w:r>
        <w:rPr>
          <w:sz w:val="20"/>
          <w:szCs w:val="20"/>
        </w:rPr>
        <w:t>9</w:t>
      </w:r>
      <w:r w:rsidRPr="005A27C7">
        <w:rPr>
          <w:sz w:val="20"/>
          <w:szCs w:val="20"/>
        </w:rPr>
        <w:t>, 202</w:t>
      </w:r>
      <w:r>
        <w:rPr>
          <w:sz w:val="20"/>
          <w:szCs w:val="20"/>
        </w:rPr>
        <w:t>2</w:t>
      </w:r>
      <w:r w:rsidRPr="005A27C7">
        <w:rPr>
          <w:sz w:val="20"/>
          <w:szCs w:val="20"/>
        </w:rPr>
        <w:t>.</w:t>
      </w:r>
    </w:p>
    <w:p w14:paraId="4AC7E917" w14:textId="76126CEE" w:rsidR="001F6FF5" w:rsidRPr="005A27C7" w:rsidRDefault="001F6FF5" w:rsidP="001F6FF5">
      <w:pPr>
        <w:ind w:left="720" w:hanging="720"/>
        <w:rPr>
          <w:sz w:val="20"/>
          <w:szCs w:val="20"/>
        </w:rPr>
      </w:pPr>
      <w:r w:rsidRPr="005A27C7">
        <w:rPr>
          <w:sz w:val="20"/>
          <w:szCs w:val="20"/>
        </w:rPr>
        <w:t>(3</w:t>
      </w:r>
      <w:r>
        <w:rPr>
          <w:sz w:val="20"/>
          <w:szCs w:val="20"/>
        </w:rPr>
        <w:t>3</w:t>
      </w:r>
      <w:r w:rsidRPr="005A27C7">
        <w:rPr>
          <w:sz w:val="20"/>
          <w:szCs w:val="20"/>
        </w:rPr>
        <w:t>)</w:t>
      </w:r>
      <w:r w:rsidRPr="005A27C7">
        <w:rPr>
          <w:sz w:val="20"/>
          <w:szCs w:val="20"/>
        </w:rPr>
        <w:tab/>
        <w:t xml:space="preserve">Incorporated by reference from the registrant’s Current Report on Form 8-K filed </w:t>
      </w:r>
      <w:r>
        <w:rPr>
          <w:sz w:val="20"/>
          <w:szCs w:val="20"/>
        </w:rPr>
        <w:t>May</w:t>
      </w:r>
      <w:r w:rsidRPr="005A27C7">
        <w:rPr>
          <w:sz w:val="20"/>
          <w:szCs w:val="20"/>
        </w:rPr>
        <w:t xml:space="preserve"> 2</w:t>
      </w:r>
      <w:r>
        <w:rPr>
          <w:sz w:val="20"/>
          <w:szCs w:val="20"/>
        </w:rPr>
        <w:t>7</w:t>
      </w:r>
      <w:r w:rsidRPr="005A27C7">
        <w:rPr>
          <w:sz w:val="20"/>
          <w:szCs w:val="20"/>
        </w:rPr>
        <w:t>, 2022.</w:t>
      </w:r>
    </w:p>
    <w:p w14:paraId="05D2E6B4" w14:textId="6B41D655" w:rsidR="0087113F" w:rsidRPr="00924AF7" w:rsidRDefault="0087113F">
      <w:pPr>
        <w:jc w:val="both"/>
        <w:rPr>
          <w:sz w:val="20"/>
          <w:szCs w:val="20"/>
        </w:rPr>
      </w:pPr>
    </w:p>
    <w:p w14:paraId="2A915C8A" w14:textId="77777777" w:rsidR="007E3CF9" w:rsidRDefault="007E3CF9">
      <w:pPr>
        <w:jc w:val="both"/>
        <w:rPr>
          <w:sz w:val="20"/>
          <w:szCs w:val="20"/>
        </w:rPr>
      </w:pPr>
    </w:p>
    <w:p w14:paraId="3EFF6BBD" w14:textId="3C1FC9E6" w:rsidR="0087113F" w:rsidRPr="008F2094" w:rsidRDefault="004837DC">
      <w:pPr>
        <w:jc w:val="both"/>
        <w:rPr>
          <w:sz w:val="20"/>
          <w:szCs w:val="20"/>
        </w:rPr>
      </w:pPr>
      <w:r w:rsidRPr="008F2094">
        <w:rPr>
          <w:b/>
          <w:bCs/>
          <w:sz w:val="20"/>
          <w:szCs w:val="20"/>
        </w:rPr>
        <w:t>Item 17. Undertakings</w:t>
      </w:r>
    </w:p>
    <w:p w14:paraId="67D51503" w14:textId="77777777" w:rsidR="0087113F" w:rsidRPr="008F2094" w:rsidRDefault="004837DC">
      <w:pPr>
        <w:jc w:val="both"/>
        <w:rPr>
          <w:sz w:val="20"/>
          <w:szCs w:val="20"/>
        </w:rPr>
      </w:pPr>
      <w:r w:rsidRPr="008F2094">
        <w:rPr>
          <w:sz w:val="20"/>
          <w:szCs w:val="20"/>
        </w:rPr>
        <w:t> </w:t>
      </w:r>
    </w:p>
    <w:tbl>
      <w:tblPr>
        <w:tblW w:w="5000" w:type="pct"/>
        <w:tblCellMar>
          <w:left w:w="0" w:type="dxa"/>
          <w:right w:w="0" w:type="dxa"/>
        </w:tblCellMar>
        <w:tblLook w:val="04A0" w:firstRow="1" w:lastRow="0" w:firstColumn="1" w:lastColumn="0" w:noHBand="0" w:noVBand="1"/>
      </w:tblPr>
      <w:tblGrid>
        <w:gridCol w:w="520"/>
        <w:gridCol w:w="8840"/>
      </w:tblGrid>
      <w:tr w:rsidR="0087113F" w:rsidRPr="008F2094" w14:paraId="6BAE3ED9" w14:textId="77777777">
        <w:trPr>
          <w:cantSplit/>
        </w:trPr>
        <w:tc>
          <w:tcPr>
            <w:tcW w:w="0" w:type="auto"/>
            <w:tcMar>
              <w:top w:w="0" w:type="dxa"/>
              <w:left w:w="0" w:type="dxa"/>
              <w:bottom w:w="0" w:type="dxa"/>
              <w:right w:w="0" w:type="dxa"/>
            </w:tcMar>
            <w:hideMark/>
          </w:tcPr>
          <w:p w14:paraId="74940EBF" w14:textId="77777777" w:rsidR="0087113F" w:rsidRPr="008F2094" w:rsidRDefault="004837DC">
            <w:pPr>
              <w:rPr>
                <w:color w:val="000000"/>
                <w:sz w:val="20"/>
                <w:szCs w:val="20"/>
              </w:rPr>
            </w:pPr>
            <w:r w:rsidRPr="008F2094">
              <w:rPr>
                <w:color w:val="000000"/>
                <w:sz w:val="20"/>
                <w:szCs w:val="20"/>
              </w:rPr>
              <w:t>(a)</w:t>
            </w:r>
          </w:p>
        </w:tc>
        <w:tc>
          <w:tcPr>
            <w:tcW w:w="0" w:type="auto"/>
            <w:tcMar>
              <w:top w:w="0" w:type="dxa"/>
              <w:left w:w="0" w:type="dxa"/>
              <w:bottom w:w="0" w:type="dxa"/>
              <w:right w:w="0" w:type="dxa"/>
            </w:tcMar>
            <w:hideMark/>
          </w:tcPr>
          <w:p w14:paraId="6F069C7C" w14:textId="77777777" w:rsidR="0087113F" w:rsidRPr="008F2094" w:rsidRDefault="004837DC">
            <w:pPr>
              <w:rPr>
                <w:color w:val="000000"/>
                <w:sz w:val="20"/>
                <w:szCs w:val="20"/>
              </w:rPr>
            </w:pPr>
            <w:r w:rsidRPr="008F2094">
              <w:rPr>
                <w:color w:val="000000"/>
                <w:sz w:val="20"/>
                <w:szCs w:val="20"/>
              </w:rPr>
              <w:t>The undersigned Registrant hereby undertakes:</w:t>
            </w:r>
          </w:p>
        </w:tc>
      </w:tr>
    </w:tbl>
    <w:p w14:paraId="16AE0A23" w14:textId="77777777" w:rsidR="0087113F" w:rsidRPr="008F2094" w:rsidRDefault="004837DC">
      <w:pPr>
        <w:rPr>
          <w:sz w:val="20"/>
          <w:szCs w:val="20"/>
        </w:rPr>
      </w:pPr>
      <w:r w:rsidRPr="008F2094">
        <w:rPr>
          <w:sz w:val="20"/>
          <w:szCs w:val="20"/>
        </w:rPr>
        <w:t> </w:t>
      </w:r>
    </w:p>
    <w:tbl>
      <w:tblPr>
        <w:tblW w:w="5000" w:type="pct"/>
        <w:tblCellMar>
          <w:left w:w="0" w:type="dxa"/>
          <w:right w:w="0" w:type="dxa"/>
        </w:tblCellMar>
        <w:tblLook w:val="04A0" w:firstRow="1" w:lastRow="0" w:firstColumn="1" w:lastColumn="0" w:noHBand="0" w:noVBand="1"/>
      </w:tblPr>
      <w:tblGrid>
        <w:gridCol w:w="50"/>
        <w:gridCol w:w="234"/>
        <w:gridCol w:w="9076"/>
      </w:tblGrid>
      <w:tr w:rsidR="0087113F" w:rsidRPr="008F2094" w14:paraId="1C3E27D3" w14:textId="77777777">
        <w:trPr>
          <w:cantSplit/>
        </w:trPr>
        <w:tc>
          <w:tcPr>
            <w:tcW w:w="0" w:type="auto"/>
            <w:tcMar>
              <w:top w:w="0" w:type="dxa"/>
              <w:left w:w="0" w:type="dxa"/>
              <w:bottom w:w="0" w:type="dxa"/>
              <w:right w:w="0" w:type="dxa"/>
            </w:tcMar>
            <w:hideMark/>
          </w:tcPr>
          <w:p w14:paraId="2DC7AB92" w14:textId="77777777" w:rsidR="0087113F" w:rsidRPr="008F2094" w:rsidRDefault="004837DC">
            <w:pPr>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600DC51F" w14:textId="77777777" w:rsidR="0087113F" w:rsidRPr="008F2094" w:rsidRDefault="004837DC">
            <w:pPr>
              <w:rPr>
                <w:color w:val="000000"/>
                <w:sz w:val="20"/>
                <w:szCs w:val="20"/>
              </w:rPr>
            </w:pPr>
            <w:r w:rsidRPr="008F2094">
              <w:rPr>
                <w:color w:val="000000"/>
                <w:sz w:val="20"/>
                <w:szCs w:val="20"/>
              </w:rPr>
              <w:t>(1)</w:t>
            </w:r>
          </w:p>
        </w:tc>
        <w:tc>
          <w:tcPr>
            <w:tcW w:w="0" w:type="auto"/>
            <w:tcMar>
              <w:top w:w="0" w:type="dxa"/>
              <w:left w:w="0" w:type="dxa"/>
              <w:bottom w:w="0" w:type="dxa"/>
              <w:right w:w="0" w:type="dxa"/>
            </w:tcMar>
            <w:hideMark/>
          </w:tcPr>
          <w:p w14:paraId="0B50223D" w14:textId="77777777" w:rsidR="0087113F" w:rsidRPr="008F2094" w:rsidRDefault="004837DC">
            <w:pPr>
              <w:jc w:val="both"/>
              <w:rPr>
                <w:color w:val="000000"/>
                <w:sz w:val="20"/>
                <w:szCs w:val="20"/>
              </w:rPr>
            </w:pPr>
            <w:r w:rsidRPr="008F2094">
              <w:rPr>
                <w:color w:val="000000"/>
                <w:sz w:val="20"/>
                <w:szCs w:val="20"/>
              </w:rPr>
              <w:t>To file, during any period in which offers or sales are being made, a post-effective amendment to this registration statement:</w:t>
            </w:r>
          </w:p>
        </w:tc>
      </w:tr>
    </w:tbl>
    <w:p w14:paraId="178A7CD5" w14:textId="77777777" w:rsidR="0087113F" w:rsidRPr="008F2094" w:rsidRDefault="004837DC">
      <w:pPr>
        <w:rPr>
          <w:sz w:val="20"/>
          <w:szCs w:val="20"/>
        </w:rPr>
      </w:pPr>
      <w:r w:rsidRPr="008F2094">
        <w:rPr>
          <w:sz w:val="20"/>
          <w:szCs w:val="20"/>
        </w:rPr>
        <w:t> </w:t>
      </w:r>
    </w:p>
    <w:tbl>
      <w:tblPr>
        <w:tblW w:w="5000" w:type="pct"/>
        <w:tblCellMar>
          <w:left w:w="0" w:type="dxa"/>
          <w:right w:w="0" w:type="dxa"/>
        </w:tblCellMar>
        <w:tblLook w:val="04A0" w:firstRow="1" w:lastRow="0" w:firstColumn="1" w:lastColumn="0" w:noHBand="0" w:noVBand="1"/>
      </w:tblPr>
      <w:tblGrid>
        <w:gridCol w:w="50"/>
        <w:gridCol w:w="300"/>
        <w:gridCol w:w="9010"/>
      </w:tblGrid>
      <w:tr w:rsidR="0087113F" w:rsidRPr="008F2094" w14:paraId="42D9602A" w14:textId="77777777">
        <w:trPr>
          <w:cantSplit/>
        </w:trPr>
        <w:tc>
          <w:tcPr>
            <w:tcW w:w="0" w:type="auto"/>
            <w:tcMar>
              <w:top w:w="0" w:type="dxa"/>
              <w:left w:w="0" w:type="dxa"/>
              <w:bottom w:w="0" w:type="dxa"/>
              <w:right w:w="0" w:type="dxa"/>
            </w:tcMar>
            <w:hideMark/>
          </w:tcPr>
          <w:p w14:paraId="36E3AD2E" w14:textId="77777777" w:rsidR="0087113F" w:rsidRPr="008F2094" w:rsidRDefault="004837DC">
            <w:pPr>
              <w:jc w:val="both"/>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57778138" w14:textId="77777777" w:rsidR="0087113F" w:rsidRPr="008F2094" w:rsidRDefault="004837DC">
            <w:pPr>
              <w:jc w:val="both"/>
              <w:rPr>
                <w:color w:val="000000"/>
                <w:sz w:val="20"/>
                <w:szCs w:val="20"/>
              </w:rPr>
            </w:pPr>
            <w:r w:rsidRPr="008F2094">
              <w:rPr>
                <w:color w:val="000000"/>
                <w:sz w:val="20"/>
                <w:szCs w:val="20"/>
              </w:rPr>
              <w:t>(i)</w:t>
            </w:r>
          </w:p>
        </w:tc>
        <w:tc>
          <w:tcPr>
            <w:tcW w:w="0" w:type="auto"/>
            <w:tcMar>
              <w:top w:w="0" w:type="dxa"/>
              <w:left w:w="0" w:type="dxa"/>
              <w:bottom w:w="0" w:type="dxa"/>
              <w:right w:w="0" w:type="dxa"/>
            </w:tcMar>
            <w:hideMark/>
          </w:tcPr>
          <w:p w14:paraId="1EA53470" w14:textId="77777777" w:rsidR="0087113F" w:rsidRPr="008F2094" w:rsidRDefault="004837DC">
            <w:pPr>
              <w:jc w:val="both"/>
              <w:rPr>
                <w:color w:val="000000"/>
                <w:sz w:val="20"/>
                <w:szCs w:val="20"/>
              </w:rPr>
            </w:pPr>
            <w:r w:rsidRPr="008F2094">
              <w:rPr>
                <w:color w:val="000000"/>
                <w:sz w:val="20"/>
                <w:szCs w:val="20"/>
              </w:rPr>
              <w:t>To include any prospectus required by section 10(a)(3) of the Securities Act of 1933;</w:t>
            </w:r>
          </w:p>
        </w:tc>
      </w:tr>
      <w:tr w:rsidR="0087113F" w:rsidRPr="008F2094" w14:paraId="33BCB6FD" w14:textId="77777777">
        <w:trPr>
          <w:cantSplit/>
        </w:trPr>
        <w:tc>
          <w:tcPr>
            <w:tcW w:w="0" w:type="auto"/>
            <w:tcMar>
              <w:top w:w="0" w:type="dxa"/>
              <w:left w:w="0" w:type="dxa"/>
              <w:bottom w:w="0" w:type="dxa"/>
              <w:right w:w="0" w:type="dxa"/>
            </w:tcMar>
            <w:hideMark/>
          </w:tcPr>
          <w:p w14:paraId="284AFCEE" w14:textId="77777777" w:rsidR="0087113F" w:rsidRPr="008F2094" w:rsidRDefault="004837DC">
            <w:pPr>
              <w:jc w:val="both"/>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5FD60FD9" w14:textId="77777777" w:rsidR="0087113F" w:rsidRPr="008F2094" w:rsidRDefault="004837DC">
            <w:pPr>
              <w:jc w:val="both"/>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322AEC6C" w14:textId="77777777" w:rsidR="0087113F" w:rsidRPr="008F2094" w:rsidRDefault="004837DC">
            <w:pPr>
              <w:jc w:val="both"/>
              <w:rPr>
                <w:color w:val="000000"/>
                <w:sz w:val="20"/>
                <w:szCs w:val="20"/>
              </w:rPr>
            </w:pPr>
            <w:r w:rsidRPr="008F2094">
              <w:rPr>
                <w:color w:val="000000"/>
                <w:sz w:val="20"/>
                <w:szCs w:val="20"/>
              </w:rPr>
              <w:t> </w:t>
            </w:r>
          </w:p>
        </w:tc>
      </w:tr>
      <w:tr w:rsidR="0087113F" w:rsidRPr="008F2094" w14:paraId="667DAED6" w14:textId="77777777">
        <w:trPr>
          <w:cantSplit/>
        </w:trPr>
        <w:tc>
          <w:tcPr>
            <w:tcW w:w="0" w:type="auto"/>
            <w:tcMar>
              <w:top w:w="0" w:type="dxa"/>
              <w:left w:w="0" w:type="dxa"/>
              <w:bottom w:w="0" w:type="dxa"/>
              <w:right w:w="0" w:type="dxa"/>
            </w:tcMar>
            <w:hideMark/>
          </w:tcPr>
          <w:p w14:paraId="69C4D3E3" w14:textId="77777777" w:rsidR="0087113F" w:rsidRPr="008F2094" w:rsidRDefault="004837DC">
            <w:pPr>
              <w:jc w:val="both"/>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3F018C59" w14:textId="77777777" w:rsidR="0087113F" w:rsidRPr="008F2094" w:rsidRDefault="004837DC">
            <w:pPr>
              <w:jc w:val="both"/>
              <w:rPr>
                <w:color w:val="000000"/>
                <w:sz w:val="20"/>
                <w:szCs w:val="20"/>
              </w:rPr>
            </w:pPr>
            <w:r w:rsidRPr="008F2094">
              <w:rPr>
                <w:color w:val="000000"/>
                <w:sz w:val="20"/>
                <w:szCs w:val="20"/>
              </w:rPr>
              <w:t>(ii)</w:t>
            </w:r>
          </w:p>
        </w:tc>
        <w:tc>
          <w:tcPr>
            <w:tcW w:w="0" w:type="auto"/>
            <w:tcMar>
              <w:top w:w="0" w:type="dxa"/>
              <w:left w:w="0" w:type="dxa"/>
              <w:bottom w:w="0" w:type="dxa"/>
              <w:right w:w="0" w:type="dxa"/>
            </w:tcMar>
            <w:hideMark/>
          </w:tcPr>
          <w:p w14:paraId="397206DA" w14:textId="77777777" w:rsidR="0087113F" w:rsidRPr="008F2094" w:rsidRDefault="004837DC">
            <w:pPr>
              <w:jc w:val="both"/>
              <w:rPr>
                <w:color w:val="000000"/>
                <w:sz w:val="20"/>
                <w:szCs w:val="20"/>
              </w:rPr>
            </w:pPr>
            <w:r w:rsidRPr="008F2094">
              <w:rPr>
                <w:color w:val="000000"/>
                <w:sz w:val="20"/>
                <w:szCs w:val="20"/>
              </w:rPr>
              <w:t>To reflect in the prospectus any facts or events arising after the effective date of the registration statement (or the most recent post- effective amendment thereof) which, individually or in the aggregate, represent a fundamental change in the information set forth in the registration statement. Notwithstanding the foregoing, any increase or decrease in volume of securities offered (if the total dollar value of securities offered would not exceed that which was registered) and any deviation from the low or high end of the estimated maximum offering range may be reflected in the form of prospectus filed with the Commission pursuant to Rule 424(b) if, in the aggregate, the changes in volume and price represent no more than 20% change in the maximum aggregate offering price set forth in the “Calculation of Registration Fee” table in the effective registration statement;</w:t>
            </w:r>
          </w:p>
        </w:tc>
      </w:tr>
      <w:tr w:rsidR="0087113F" w:rsidRPr="008F2094" w14:paraId="2A6FDB41" w14:textId="77777777">
        <w:trPr>
          <w:cantSplit/>
        </w:trPr>
        <w:tc>
          <w:tcPr>
            <w:tcW w:w="0" w:type="auto"/>
            <w:tcMar>
              <w:top w:w="0" w:type="dxa"/>
              <w:left w:w="0" w:type="dxa"/>
              <w:bottom w:w="0" w:type="dxa"/>
              <w:right w:w="0" w:type="dxa"/>
            </w:tcMar>
            <w:hideMark/>
          </w:tcPr>
          <w:p w14:paraId="7EA9392E" w14:textId="77777777" w:rsidR="0087113F" w:rsidRPr="008F2094" w:rsidRDefault="004837DC">
            <w:pPr>
              <w:jc w:val="both"/>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3D039A10" w14:textId="77777777" w:rsidR="0087113F" w:rsidRPr="008F2094" w:rsidRDefault="004837DC">
            <w:pPr>
              <w:jc w:val="both"/>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4E3A377F" w14:textId="77777777" w:rsidR="0087113F" w:rsidRPr="008F2094" w:rsidRDefault="004837DC">
            <w:pPr>
              <w:jc w:val="both"/>
              <w:rPr>
                <w:color w:val="000000"/>
                <w:sz w:val="20"/>
                <w:szCs w:val="20"/>
              </w:rPr>
            </w:pPr>
            <w:r w:rsidRPr="008F2094">
              <w:rPr>
                <w:color w:val="000000"/>
                <w:sz w:val="20"/>
                <w:szCs w:val="20"/>
              </w:rPr>
              <w:t> </w:t>
            </w:r>
          </w:p>
        </w:tc>
      </w:tr>
      <w:tr w:rsidR="0087113F" w:rsidRPr="003147F5" w14:paraId="3B5CF350" w14:textId="77777777">
        <w:trPr>
          <w:cantSplit/>
        </w:trPr>
        <w:tc>
          <w:tcPr>
            <w:tcW w:w="0" w:type="auto"/>
            <w:tcMar>
              <w:top w:w="0" w:type="dxa"/>
              <w:left w:w="0" w:type="dxa"/>
              <w:bottom w:w="0" w:type="dxa"/>
              <w:right w:w="0" w:type="dxa"/>
            </w:tcMar>
            <w:hideMark/>
          </w:tcPr>
          <w:p w14:paraId="203B1778" w14:textId="77777777" w:rsidR="0087113F" w:rsidRPr="008F2094" w:rsidRDefault="004837DC">
            <w:pPr>
              <w:jc w:val="both"/>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16001BAE" w14:textId="77777777" w:rsidR="0087113F" w:rsidRPr="008F2094" w:rsidRDefault="004837DC">
            <w:pPr>
              <w:jc w:val="both"/>
              <w:rPr>
                <w:color w:val="000000"/>
                <w:sz w:val="20"/>
                <w:szCs w:val="20"/>
              </w:rPr>
            </w:pPr>
            <w:r w:rsidRPr="008F2094">
              <w:rPr>
                <w:color w:val="000000"/>
                <w:sz w:val="20"/>
                <w:szCs w:val="20"/>
              </w:rPr>
              <w:t>(iii)</w:t>
            </w:r>
          </w:p>
        </w:tc>
        <w:tc>
          <w:tcPr>
            <w:tcW w:w="0" w:type="auto"/>
            <w:tcMar>
              <w:top w:w="0" w:type="dxa"/>
              <w:left w:w="0" w:type="dxa"/>
              <w:bottom w:w="0" w:type="dxa"/>
              <w:right w:w="0" w:type="dxa"/>
            </w:tcMar>
            <w:hideMark/>
          </w:tcPr>
          <w:p w14:paraId="1D32A7D2" w14:textId="77777777" w:rsidR="0087113F" w:rsidRPr="008F2094" w:rsidRDefault="004837DC">
            <w:pPr>
              <w:jc w:val="both"/>
              <w:rPr>
                <w:color w:val="000000"/>
                <w:sz w:val="20"/>
                <w:szCs w:val="20"/>
              </w:rPr>
            </w:pPr>
            <w:r w:rsidRPr="008F2094">
              <w:rPr>
                <w:color w:val="000000"/>
                <w:sz w:val="20"/>
                <w:szCs w:val="20"/>
              </w:rPr>
              <w:t>To include any material information with respect to the plan of distribution not previously disclosed in the registration statement or any material change to such information in the registration statement;</w:t>
            </w:r>
          </w:p>
        </w:tc>
      </w:tr>
    </w:tbl>
    <w:p w14:paraId="77EF1D99" w14:textId="77777777" w:rsidR="0087113F" w:rsidRPr="008F2094" w:rsidRDefault="004837DC" w:rsidP="007E3CF9">
      <w:pPr>
        <w:ind w:left="450"/>
        <w:jc w:val="both"/>
        <w:rPr>
          <w:sz w:val="20"/>
          <w:szCs w:val="20"/>
        </w:rPr>
      </w:pPr>
      <w:r w:rsidRPr="008F2094">
        <w:rPr>
          <w:sz w:val="20"/>
          <w:szCs w:val="20"/>
        </w:rPr>
        <w:t> </w:t>
      </w:r>
    </w:p>
    <w:p w14:paraId="2B4F791C" w14:textId="77777777" w:rsidR="0087113F" w:rsidRPr="008F2094" w:rsidRDefault="004837DC" w:rsidP="007E3CF9">
      <w:pPr>
        <w:ind w:left="360"/>
        <w:jc w:val="both"/>
        <w:rPr>
          <w:sz w:val="20"/>
          <w:szCs w:val="20"/>
        </w:rPr>
      </w:pPr>
      <w:r w:rsidRPr="008F2094">
        <w:rPr>
          <w:sz w:val="20"/>
          <w:szCs w:val="20"/>
        </w:rPr>
        <w:t>Provided, however, that paragraphs (a)(1)(i), (a)(1)(ii) and (a)(1)(iii) above do not apply if the information required to be included in a post-effective amendment by those paragraphs is contained in reports filed with or furnished to the SEC by the registrant pursuant to Section 13 or 15(d) of the Securities Exchange Act of 1934 that are incorporated by reference in the registration statement.</w:t>
      </w:r>
    </w:p>
    <w:p w14:paraId="22E5EAD6" w14:textId="77777777" w:rsidR="0087113F" w:rsidRPr="008F2094" w:rsidRDefault="004837DC">
      <w:pPr>
        <w:ind w:left="1440"/>
        <w:jc w:val="both"/>
        <w:rPr>
          <w:sz w:val="20"/>
          <w:szCs w:val="20"/>
        </w:rPr>
      </w:pPr>
      <w:r w:rsidRPr="008F2094">
        <w:rPr>
          <w:sz w:val="20"/>
          <w:szCs w:val="20"/>
        </w:rPr>
        <w:t> </w:t>
      </w:r>
    </w:p>
    <w:tbl>
      <w:tblPr>
        <w:tblW w:w="5000" w:type="pct"/>
        <w:tblCellMar>
          <w:left w:w="0" w:type="dxa"/>
          <w:right w:w="0" w:type="dxa"/>
        </w:tblCellMar>
        <w:tblLook w:val="04A0" w:firstRow="1" w:lastRow="0" w:firstColumn="1" w:lastColumn="0" w:noHBand="0" w:noVBand="1"/>
      </w:tblPr>
      <w:tblGrid>
        <w:gridCol w:w="50"/>
        <w:gridCol w:w="245"/>
        <w:gridCol w:w="9065"/>
      </w:tblGrid>
      <w:tr w:rsidR="0087113F" w:rsidRPr="003147F5" w14:paraId="686A51EC" w14:textId="77777777">
        <w:trPr>
          <w:cantSplit/>
        </w:trPr>
        <w:tc>
          <w:tcPr>
            <w:tcW w:w="0" w:type="auto"/>
            <w:tcMar>
              <w:top w:w="0" w:type="dxa"/>
              <w:left w:w="0" w:type="dxa"/>
              <w:bottom w:w="0" w:type="dxa"/>
              <w:right w:w="0" w:type="dxa"/>
            </w:tcMar>
            <w:hideMark/>
          </w:tcPr>
          <w:p w14:paraId="696EC80A" w14:textId="77777777" w:rsidR="0087113F" w:rsidRPr="008F2094" w:rsidRDefault="004837DC">
            <w:pPr>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59FD1F97" w14:textId="77777777" w:rsidR="0087113F" w:rsidRPr="008F2094" w:rsidRDefault="004837DC">
            <w:pPr>
              <w:rPr>
                <w:color w:val="000000"/>
                <w:sz w:val="20"/>
                <w:szCs w:val="20"/>
              </w:rPr>
            </w:pPr>
            <w:r w:rsidRPr="008F2094">
              <w:rPr>
                <w:color w:val="000000"/>
                <w:sz w:val="20"/>
                <w:szCs w:val="20"/>
              </w:rPr>
              <w:t>(2)</w:t>
            </w:r>
          </w:p>
        </w:tc>
        <w:tc>
          <w:tcPr>
            <w:tcW w:w="0" w:type="auto"/>
            <w:tcMar>
              <w:top w:w="0" w:type="dxa"/>
              <w:left w:w="0" w:type="dxa"/>
              <w:bottom w:w="0" w:type="dxa"/>
              <w:right w:w="0" w:type="dxa"/>
            </w:tcMar>
            <w:hideMark/>
          </w:tcPr>
          <w:p w14:paraId="5EB1DCA3" w14:textId="77777777" w:rsidR="0087113F" w:rsidRPr="008F2094" w:rsidRDefault="004837DC" w:rsidP="008F2094">
            <w:pPr>
              <w:jc w:val="both"/>
              <w:rPr>
                <w:color w:val="000000"/>
                <w:sz w:val="20"/>
                <w:szCs w:val="20"/>
              </w:rPr>
            </w:pPr>
            <w:r w:rsidRPr="008F2094">
              <w:rPr>
                <w:color w:val="000000"/>
                <w:sz w:val="20"/>
                <w:szCs w:val="20"/>
              </w:rPr>
              <w:t xml:space="preserve">That for the purpose of determining any liability under the Securities Act of 1933, each </w:t>
            </w:r>
            <w:r w:rsidR="008F2094" w:rsidRPr="008F2094">
              <w:rPr>
                <w:color w:val="000000"/>
                <w:sz w:val="20"/>
                <w:szCs w:val="20"/>
              </w:rPr>
              <w:t xml:space="preserve">such </w:t>
            </w:r>
            <w:r w:rsidRPr="008F2094">
              <w:rPr>
                <w:color w:val="000000"/>
                <w:sz w:val="20"/>
                <w:szCs w:val="20"/>
              </w:rPr>
              <w:t>post-effective amendment shall be deemed to be a new registration statement relating to the securities offered therein, and this offering of such securities at that time shall be deemed to be the initial bona fide offering thereof.</w:t>
            </w:r>
          </w:p>
        </w:tc>
      </w:tr>
      <w:tr w:rsidR="0087113F" w:rsidRPr="003147F5" w14:paraId="7D2D3B26" w14:textId="77777777">
        <w:trPr>
          <w:cantSplit/>
        </w:trPr>
        <w:tc>
          <w:tcPr>
            <w:tcW w:w="0" w:type="auto"/>
            <w:tcMar>
              <w:top w:w="0" w:type="dxa"/>
              <w:left w:w="0" w:type="dxa"/>
              <w:bottom w:w="0" w:type="dxa"/>
              <w:right w:w="0" w:type="dxa"/>
            </w:tcMar>
            <w:hideMark/>
          </w:tcPr>
          <w:p w14:paraId="51D5BC7A" w14:textId="77777777" w:rsidR="0087113F" w:rsidRPr="008F2094" w:rsidRDefault="004837DC">
            <w:pPr>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0FAC63D3" w14:textId="77777777" w:rsidR="0087113F" w:rsidRPr="008F2094" w:rsidRDefault="004837DC">
            <w:pPr>
              <w:rPr>
                <w:color w:val="000000"/>
                <w:sz w:val="20"/>
                <w:szCs w:val="20"/>
              </w:rPr>
            </w:pPr>
            <w:r w:rsidRPr="008F2094">
              <w:rPr>
                <w:color w:val="000000"/>
                <w:sz w:val="20"/>
                <w:szCs w:val="20"/>
              </w:rPr>
              <w:t> </w:t>
            </w:r>
          </w:p>
        </w:tc>
        <w:tc>
          <w:tcPr>
            <w:tcW w:w="0" w:type="auto"/>
            <w:tcMar>
              <w:top w:w="0" w:type="dxa"/>
              <w:left w:w="0" w:type="dxa"/>
              <w:bottom w:w="0" w:type="dxa"/>
              <w:right w:w="0" w:type="dxa"/>
            </w:tcMar>
            <w:hideMark/>
          </w:tcPr>
          <w:p w14:paraId="637E3E69" w14:textId="77777777" w:rsidR="0087113F" w:rsidRPr="008F2094" w:rsidRDefault="004837DC">
            <w:pPr>
              <w:rPr>
                <w:color w:val="000000"/>
                <w:sz w:val="20"/>
                <w:szCs w:val="20"/>
              </w:rPr>
            </w:pPr>
            <w:r w:rsidRPr="008F2094">
              <w:rPr>
                <w:color w:val="000000"/>
                <w:sz w:val="20"/>
                <w:szCs w:val="20"/>
              </w:rPr>
              <w:t> </w:t>
            </w:r>
          </w:p>
        </w:tc>
      </w:tr>
      <w:tr w:rsidR="0087113F" w:rsidRPr="003147F5" w14:paraId="0EBF0688" w14:textId="77777777">
        <w:trPr>
          <w:cantSplit/>
        </w:trPr>
        <w:tc>
          <w:tcPr>
            <w:tcW w:w="0" w:type="auto"/>
            <w:tcMar>
              <w:top w:w="0" w:type="dxa"/>
              <w:left w:w="0" w:type="dxa"/>
              <w:bottom w:w="0" w:type="dxa"/>
              <w:right w:w="0" w:type="dxa"/>
            </w:tcMar>
            <w:hideMark/>
          </w:tcPr>
          <w:p w14:paraId="4B432E6B"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6B58A466" w14:textId="77777777" w:rsidR="0087113F" w:rsidRPr="00124229" w:rsidRDefault="004837DC">
            <w:pPr>
              <w:rPr>
                <w:color w:val="000000"/>
                <w:sz w:val="20"/>
                <w:szCs w:val="20"/>
              </w:rPr>
            </w:pPr>
            <w:r w:rsidRPr="00124229">
              <w:rPr>
                <w:color w:val="000000"/>
                <w:sz w:val="20"/>
                <w:szCs w:val="20"/>
              </w:rPr>
              <w:t>(3)</w:t>
            </w:r>
          </w:p>
        </w:tc>
        <w:tc>
          <w:tcPr>
            <w:tcW w:w="0" w:type="auto"/>
            <w:tcMar>
              <w:top w:w="0" w:type="dxa"/>
              <w:left w:w="0" w:type="dxa"/>
              <w:bottom w:w="0" w:type="dxa"/>
              <w:right w:w="0" w:type="dxa"/>
            </w:tcMar>
            <w:hideMark/>
          </w:tcPr>
          <w:p w14:paraId="42A7BB9D" w14:textId="77777777" w:rsidR="0087113F" w:rsidRPr="00124229" w:rsidRDefault="004837DC">
            <w:pPr>
              <w:jc w:val="both"/>
              <w:rPr>
                <w:color w:val="000000"/>
                <w:sz w:val="20"/>
                <w:szCs w:val="20"/>
              </w:rPr>
            </w:pPr>
            <w:r w:rsidRPr="00124229">
              <w:rPr>
                <w:color w:val="000000"/>
                <w:sz w:val="20"/>
                <w:szCs w:val="20"/>
              </w:rPr>
              <w:t>To remove from registration by means of a post-effective amendment any of the securities being registered which remain unsold at the termination of the offering.</w:t>
            </w:r>
          </w:p>
          <w:p w14:paraId="37D558DE" w14:textId="77777777" w:rsidR="00124229" w:rsidRPr="00124229" w:rsidRDefault="00124229">
            <w:pPr>
              <w:jc w:val="both"/>
              <w:rPr>
                <w:color w:val="000000"/>
                <w:sz w:val="20"/>
                <w:szCs w:val="20"/>
              </w:rPr>
            </w:pPr>
          </w:p>
        </w:tc>
      </w:tr>
      <w:tr w:rsidR="00124229" w:rsidRPr="003147F5" w14:paraId="4EAEC43A" w14:textId="77777777">
        <w:trPr>
          <w:cantSplit/>
        </w:trPr>
        <w:tc>
          <w:tcPr>
            <w:tcW w:w="0" w:type="auto"/>
            <w:tcMar>
              <w:top w:w="0" w:type="dxa"/>
              <w:left w:w="0" w:type="dxa"/>
              <w:bottom w:w="0" w:type="dxa"/>
              <w:right w:w="0" w:type="dxa"/>
            </w:tcMar>
            <w:hideMark/>
          </w:tcPr>
          <w:p w14:paraId="516A46A1" w14:textId="77777777" w:rsidR="00124229" w:rsidRPr="00124229" w:rsidRDefault="00124229" w:rsidP="00124229">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7524634E" w14:textId="77777777" w:rsidR="00124229" w:rsidRPr="00124229" w:rsidRDefault="00124229" w:rsidP="00124229">
            <w:pPr>
              <w:rPr>
                <w:color w:val="000000"/>
                <w:sz w:val="20"/>
                <w:szCs w:val="20"/>
              </w:rPr>
            </w:pPr>
            <w:r w:rsidRPr="00124229">
              <w:rPr>
                <w:color w:val="000000"/>
                <w:sz w:val="20"/>
                <w:szCs w:val="20"/>
              </w:rPr>
              <w:t>(4)</w:t>
            </w:r>
          </w:p>
        </w:tc>
        <w:tc>
          <w:tcPr>
            <w:tcW w:w="0" w:type="auto"/>
            <w:tcMar>
              <w:top w:w="0" w:type="dxa"/>
              <w:left w:w="0" w:type="dxa"/>
              <w:bottom w:w="0" w:type="dxa"/>
              <w:right w:w="0" w:type="dxa"/>
            </w:tcMar>
            <w:hideMark/>
          </w:tcPr>
          <w:p w14:paraId="100298DB" w14:textId="77777777" w:rsidR="00124229" w:rsidRPr="00124229" w:rsidRDefault="00124229" w:rsidP="00124229">
            <w:pPr>
              <w:jc w:val="both"/>
              <w:rPr>
                <w:color w:val="000000"/>
                <w:sz w:val="20"/>
                <w:szCs w:val="20"/>
              </w:rPr>
            </w:pPr>
            <w:r w:rsidRPr="00124229">
              <w:rPr>
                <w:color w:val="000000"/>
                <w:sz w:val="20"/>
                <w:szCs w:val="20"/>
              </w:rPr>
              <w:t>That, for the purpose of determining liability under the Securities Act of 1933 to any purchaser:</w:t>
            </w:r>
          </w:p>
        </w:tc>
      </w:tr>
      <w:tr w:rsidR="00124229" w:rsidRPr="003147F5" w14:paraId="24FC0579" w14:textId="77777777">
        <w:trPr>
          <w:cantSplit/>
        </w:trPr>
        <w:tc>
          <w:tcPr>
            <w:tcW w:w="0" w:type="auto"/>
            <w:tcMar>
              <w:top w:w="0" w:type="dxa"/>
              <w:left w:w="0" w:type="dxa"/>
              <w:bottom w:w="0" w:type="dxa"/>
              <w:right w:w="0" w:type="dxa"/>
            </w:tcMar>
          </w:tcPr>
          <w:p w14:paraId="21AAC787" w14:textId="77777777" w:rsidR="00124229" w:rsidRPr="00124229" w:rsidRDefault="00124229" w:rsidP="00124229">
            <w:pPr>
              <w:rPr>
                <w:color w:val="000000"/>
                <w:sz w:val="20"/>
                <w:szCs w:val="20"/>
              </w:rPr>
            </w:pPr>
          </w:p>
        </w:tc>
        <w:tc>
          <w:tcPr>
            <w:tcW w:w="0" w:type="auto"/>
            <w:tcMar>
              <w:top w:w="0" w:type="dxa"/>
              <w:left w:w="0" w:type="dxa"/>
              <w:bottom w:w="0" w:type="dxa"/>
              <w:right w:w="0" w:type="dxa"/>
            </w:tcMar>
          </w:tcPr>
          <w:p w14:paraId="2FB55372" w14:textId="77777777" w:rsidR="00124229" w:rsidRPr="00124229" w:rsidRDefault="00124229" w:rsidP="00124229">
            <w:pPr>
              <w:rPr>
                <w:color w:val="000000"/>
                <w:sz w:val="20"/>
                <w:szCs w:val="20"/>
              </w:rPr>
            </w:pPr>
          </w:p>
        </w:tc>
        <w:tc>
          <w:tcPr>
            <w:tcW w:w="0" w:type="auto"/>
            <w:tcMar>
              <w:top w:w="0" w:type="dxa"/>
              <w:left w:w="0" w:type="dxa"/>
              <w:bottom w:w="0" w:type="dxa"/>
              <w:right w:w="0" w:type="dxa"/>
            </w:tcMar>
          </w:tcPr>
          <w:p w14:paraId="5A4F083D" w14:textId="77777777" w:rsidR="00124229" w:rsidRPr="00124229" w:rsidRDefault="00124229" w:rsidP="00124229">
            <w:pPr>
              <w:jc w:val="both"/>
              <w:rPr>
                <w:color w:val="000000"/>
                <w:sz w:val="20"/>
                <w:szCs w:val="20"/>
              </w:rPr>
            </w:pPr>
          </w:p>
        </w:tc>
      </w:tr>
      <w:tr w:rsidR="00124229" w:rsidRPr="003147F5" w14:paraId="4B694B8C" w14:textId="77777777">
        <w:trPr>
          <w:cantSplit/>
        </w:trPr>
        <w:tc>
          <w:tcPr>
            <w:tcW w:w="0" w:type="auto"/>
            <w:tcMar>
              <w:top w:w="0" w:type="dxa"/>
              <w:left w:w="0" w:type="dxa"/>
              <w:bottom w:w="0" w:type="dxa"/>
              <w:right w:w="0" w:type="dxa"/>
            </w:tcMar>
          </w:tcPr>
          <w:p w14:paraId="736AA95A" w14:textId="77777777" w:rsidR="00124229" w:rsidRPr="00124229" w:rsidRDefault="00124229" w:rsidP="00124229">
            <w:pPr>
              <w:rPr>
                <w:color w:val="000000"/>
                <w:sz w:val="20"/>
                <w:szCs w:val="20"/>
              </w:rPr>
            </w:pPr>
          </w:p>
        </w:tc>
        <w:tc>
          <w:tcPr>
            <w:tcW w:w="0" w:type="auto"/>
            <w:tcMar>
              <w:top w:w="0" w:type="dxa"/>
              <w:left w:w="0" w:type="dxa"/>
              <w:bottom w:w="0" w:type="dxa"/>
              <w:right w:w="0" w:type="dxa"/>
            </w:tcMar>
          </w:tcPr>
          <w:p w14:paraId="5DEFDCF3" w14:textId="77777777" w:rsidR="00124229" w:rsidRPr="00124229" w:rsidRDefault="00124229" w:rsidP="00124229">
            <w:pPr>
              <w:rPr>
                <w:color w:val="000000"/>
                <w:sz w:val="20"/>
                <w:szCs w:val="20"/>
              </w:rPr>
            </w:pPr>
            <w:r w:rsidRPr="00124229">
              <w:rPr>
                <w:color w:val="000000"/>
                <w:sz w:val="20"/>
                <w:szCs w:val="20"/>
              </w:rPr>
              <w:t>(i)</w:t>
            </w:r>
          </w:p>
        </w:tc>
        <w:tc>
          <w:tcPr>
            <w:tcW w:w="0" w:type="auto"/>
            <w:tcMar>
              <w:top w:w="0" w:type="dxa"/>
              <w:left w:w="0" w:type="dxa"/>
              <w:bottom w:w="0" w:type="dxa"/>
              <w:right w:w="0" w:type="dxa"/>
            </w:tcMar>
          </w:tcPr>
          <w:p w14:paraId="55FC4ED6" w14:textId="77777777" w:rsidR="00124229" w:rsidRPr="00124229" w:rsidRDefault="00124229" w:rsidP="00124229">
            <w:pPr>
              <w:jc w:val="both"/>
              <w:rPr>
                <w:color w:val="000000"/>
                <w:sz w:val="20"/>
                <w:szCs w:val="20"/>
              </w:rPr>
            </w:pPr>
            <w:r w:rsidRPr="00124229">
              <w:rPr>
                <w:color w:val="000000"/>
                <w:sz w:val="20"/>
                <w:szCs w:val="20"/>
              </w:rPr>
              <w:t>Each prospectus filed by the registrant pursuant to Rule 424(b)(3) (§ 230.424(b)(3) of this chapter) shall be deemed to be part of the registration statement as of the date the filed prospectus was deemed part of and included in the registration statement; and</w:t>
            </w:r>
          </w:p>
        </w:tc>
      </w:tr>
      <w:tr w:rsidR="00124229" w:rsidRPr="003147F5" w14:paraId="7155B06B" w14:textId="77777777">
        <w:trPr>
          <w:cantSplit/>
        </w:trPr>
        <w:tc>
          <w:tcPr>
            <w:tcW w:w="0" w:type="auto"/>
            <w:tcMar>
              <w:top w:w="0" w:type="dxa"/>
              <w:left w:w="0" w:type="dxa"/>
              <w:bottom w:w="0" w:type="dxa"/>
              <w:right w:w="0" w:type="dxa"/>
            </w:tcMar>
          </w:tcPr>
          <w:p w14:paraId="2184119A" w14:textId="77777777" w:rsidR="00124229" w:rsidRPr="003147F5" w:rsidRDefault="00124229" w:rsidP="00124229">
            <w:pPr>
              <w:rPr>
                <w:color w:val="000000"/>
                <w:sz w:val="20"/>
                <w:szCs w:val="20"/>
                <w:highlight w:val="yellow"/>
              </w:rPr>
            </w:pPr>
          </w:p>
        </w:tc>
        <w:tc>
          <w:tcPr>
            <w:tcW w:w="0" w:type="auto"/>
            <w:tcMar>
              <w:top w:w="0" w:type="dxa"/>
              <w:left w:w="0" w:type="dxa"/>
              <w:bottom w:w="0" w:type="dxa"/>
              <w:right w:w="0" w:type="dxa"/>
            </w:tcMar>
          </w:tcPr>
          <w:p w14:paraId="62A40F52" w14:textId="77777777" w:rsidR="00124229" w:rsidRPr="003147F5" w:rsidRDefault="00124229" w:rsidP="00124229">
            <w:pPr>
              <w:rPr>
                <w:color w:val="000000"/>
                <w:sz w:val="20"/>
                <w:szCs w:val="20"/>
                <w:highlight w:val="yellow"/>
              </w:rPr>
            </w:pPr>
          </w:p>
        </w:tc>
        <w:tc>
          <w:tcPr>
            <w:tcW w:w="0" w:type="auto"/>
            <w:tcMar>
              <w:top w:w="0" w:type="dxa"/>
              <w:left w:w="0" w:type="dxa"/>
              <w:bottom w:w="0" w:type="dxa"/>
              <w:right w:w="0" w:type="dxa"/>
            </w:tcMar>
          </w:tcPr>
          <w:p w14:paraId="4AEC967A" w14:textId="77777777" w:rsidR="00124229" w:rsidRPr="00124229" w:rsidRDefault="00124229" w:rsidP="00124229">
            <w:pPr>
              <w:jc w:val="both"/>
              <w:rPr>
                <w:color w:val="000000"/>
                <w:sz w:val="20"/>
                <w:szCs w:val="20"/>
              </w:rPr>
            </w:pPr>
          </w:p>
        </w:tc>
      </w:tr>
      <w:tr w:rsidR="00124229" w:rsidRPr="00124229" w14:paraId="18EC6802" w14:textId="77777777">
        <w:trPr>
          <w:cantSplit/>
        </w:trPr>
        <w:tc>
          <w:tcPr>
            <w:tcW w:w="0" w:type="auto"/>
            <w:tcMar>
              <w:top w:w="0" w:type="dxa"/>
              <w:left w:w="0" w:type="dxa"/>
              <w:bottom w:w="0" w:type="dxa"/>
              <w:right w:w="0" w:type="dxa"/>
            </w:tcMar>
          </w:tcPr>
          <w:p w14:paraId="7F5DDA80" w14:textId="77777777" w:rsidR="00124229" w:rsidRPr="00124229" w:rsidRDefault="00124229" w:rsidP="00124229">
            <w:pPr>
              <w:rPr>
                <w:color w:val="000000"/>
                <w:sz w:val="20"/>
                <w:szCs w:val="20"/>
              </w:rPr>
            </w:pPr>
          </w:p>
        </w:tc>
        <w:tc>
          <w:tcPr>
            <w:tcW w:w="0" w:type="auto"/>
            <w:tcMar>
              <w:top w:w="0" w:type="dxa"/>
              <w:left w:w="0" w:type="dxa"/>
              <w:bottom w:w="0" w:type="dxa"/>
              <w:right w:w="0" w:type="dxa"/>
            </w:tcMar>
          </w:tcPr>
          <w:p w14:paraId="4E94546A" w14:textId="77777777" w:rsidR="00124229" w:rsidRPr="00124229" w:rsidRDefault="00124229" w:rsidP="00124229">
            <w:pPr>
              <w:rPr>
                <w:color w:val="000000"/>
                <w:sz w:val="20"/>
                <w:szCs w:val="20"/>
              </w:rPr>
            </w:pPr>
            <w:r w:rsidRPr="00124229">
              <w:rPr>
                <w:color w:val="000000"/>
                <w:sz w:val="20"/>
                <w:szCs w:val="20"/>
              </w:rPr>
              <w:t>(ii)</w:t>
            </w:r>
          </w:p>
        </w:tc>
        <w:tc>
          <w:tcPr>
            <w:tcW w:w="0" w:type="auto"/>
            <w:tcMar>
              <w:top w:w="0" w:type="dxa"/>
              <w:left w:w="0" w:type="dxa"/>
              <w:bottom w:w="0" w:type="dxa"/>
              <w:right w:w="0" w:type="dxa"/>
            </w:tcMar>
          </w:tcPr>
          <w:p w14:paraId="2B774059" w14:textId="77777777" w:rsidR="00124229" w:rsidRPr="00124229" w:rsidRDefault="00124229" w:rsidP="00124229">
            <w:pPr>
              <w:jc w:val="both"/>
              <w:rPr>
                <w:color w:val="000000"/>
                <w:sz w:val="20"/>
                <w:szCs w:val="20"/>
              </w:rPr>
            </w:pPr>
            <w:r w:rsidRPr="00124229">
              <w:rPr>
                <w:color w:val="000000"/>
                <w:sz w:val="20"/>
                <w:szCs w:val="20"/>
              </w:rPr>
              <w:t xml:space="preserve"> Each prospectus required to be filed pursuant to Rule 424(b)(2), (b)(5), or (b)(7) as part of a registration statement in reliance on Rule 430B relating to an offering made pursuant to Rule 415(a)(1)(i), (vii), or (x) for the purpose of providing the information required by section 10(a) of the Securities Act of 1933 shall be deemed to be part of and included in the registration statement as of the earlier of the date such form of prospectus is first used after effectiveness or the date of the first contract of sale of securities in the offering described in the prospectus. As provided in Rule 430B, for liability purposes of the issuer and any person that is at that date an underwriter, such date shall be deemed to be a new effective date of the registration statement relating to the securities in the registration statement to which that prospectus relates, and the offering of such securities at that time shall be deemed to be the initial bona fide offering thereof. Provided, however, that no statement made in a registration statement or prospectus that is part of the registration statement or made in a document incorporated or deemed incorporated by reference into the registration statement or prospectus that is part of the registration statement will, as to a purchaser with a time of contract of sale prior to such effective date, supersede or modify any statement that was made in the registration statement or prospectus that was part of the registration statement or made in any such document immediately prior to such effective date.</w:t>
            </w:r>
          </w:p>
        </w:tc>
      </w:tr>
      <w:tr w:rsidR="00124229" w:rsidRPr="00124229" w14:paraId="0381E367" w14:textId="77777777">
        <w:trPr>
          <w:cantSplit/>
        </w:trPr>
        <w:tc>
          <w:tcPr>
            <w:tcW w:w="0" w:type="auto"/>
            <w:tcMar>
              <w:top w:w="0" w:type="dxa"/>
              <w:left w:w="0" w:type="dxa"/>
              <w:bottom w:w="0" w:type="dxa"/>
              <w:right w:w="0" w:type="dxa"/>
            </w:tcMar>
          </w:tcPr>
          <w:p w14:paraId="405EC7C1" w14:textId="77777777" w:rsidR="00124229" w:rsidRPr="00124229" w:rsidRDefault="00124229">
            <w:pPr>
              <w:rPr>
                <w:color w:val="000000"/>
                <w:sz w:val="20"/>
                <w:szCs w:val="20"/>
              </w:rPr>
            </w:pPr>
          </w:p>
        </w:tc>
        <w:tc>
          <w:tcPr>
            <w:tcW w:w="0" w:type="auto"/>
            <w:tcMar>
              <w:top w:w="0" w:type="dxa"/>
              <w:left w:w="0" w:type="dxa"/>
              <w:bottom w:w="0" w:type="dxa"/>
              <w:right w:w="0" w:type="dxa"/>
            </w:tcMar>
          </w:tcPr>
          <w:p w14:paraId="0F220557" w14:textId="77777777" w:rsidR="00124229" w:rsidRPr="00124229" w:rsidRDefault="00124229">
            <w:pPr>
              <w:rPr>
                <w:color w:val="000000"/>
                <w:sz w:val="20"/>
                <w:szCs w:val="20"/>
              </w:rPr>
            </w:pPr>
          </w:p>
        </w:tc>
        <w:tc>
          <w:tcPr>
            <w:tcW w:w="0" w:type="auto"/>
            <w:tcMar>
              <w:top w:w="0" w:type="dxa"/>
              <w:left w:w="0" w:type="dxa"/>
              <w:bottom w:w="0" w:type="dxa"/>
              <w:right w:w="0" w:type="dxa"/>
            </w:tcMar>
          </w:tcPr>
          <w:p w14:paraId="2733A65C" w14:textId="77777777" w:rsidR="00124229" w:rsidRPr="00124229" w:rsidRDefault="00124229">
            <w:pPr>
              <w:rPr>
                <w:color w:val="000000"/>
                <w:sz w:val="20"/>
                <w:szCs w:val="20"/>
              </w:rPr>
            </w:pPr>
          </w:p>
        </w:tc>
      </w:tr>
      <w:tr w:rsidR="0087113F" w:rsidRPr="00124229" w14:paraId="0D209823" w14:textId="77777777">
        <w:trPr>
          <w:cantSplit/>
        </w:trPr>
        <w:tc>
          <w:tcPr>
            <w:tcW w:w="0" w:type="auto"/>
            <w:tcMar>
              <w:top w:w="0" w:type="dxa"/>
              <w:left w:w="0" w:type="dxa"/>
              <w:bottom w:w="0" w:type="dxa"/>
              <w:right w:w="0" w:type="dxa"/>
            </w:tcMar>
            <w:hideMark/>
          </w:tcPr>
          <w:p w14:paraId="28FDA0F0"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2513EBB5" w14:textId="77777777" w:rsidR="0087113F" w:rsidRPr="00124229" w:rsidRDefault="004837DC" w:rsidP="00124229">
            <w:pPr>
              <w:rPr>
                <w:color w:val="000000"/>
                <w:sz w:val="20"/>
                <w:szCs w:val="20"/>
              </w:rPr>
            </w:pPr>
            <w:r w:rsidRPr="00124229">
              <w:rPr>
                <w:color w:val="000000"/>
                <w:sz w:val="20"/>
                <w:szCs w:val="20"/>
              </w:rPr>
              <w:t>(</w:t>
            </w:r>
            <w:r w:rsidR="00124229" w:rsidRPr="00124229">
              <w:rPr>
                <w:color w:val="000000"/>
                <w:sz w:val="20"/>
                <w:szCs w:val="20"/>
              </w:rPr>
              <w:t>5</w:t>
            </w:r>
            <w:r w:rsidRPr="00124229">
              <w:rPr>
                <w:color w:val="000000"/>
                <w:sz w:val="20"/>
                <w:szCs w:val="20"/>
              </w:rPr>
              <w:t>)</w:t>
            </w:r>
          </w:p>
        </w:tc>
        <w:tc>
          <w:tcPr>
            <w:tcW w:w="0" w:type="auto"/>
            <w:tcMar>
              <w:top w:w="0" w:type="dxa"/>
              <w:left w:w="0" w:type="dxa"/>
              <w:bottom w:w="0" w:type="dxa"/>
              <w:right w:w="0" w:type="dxa"/>
            </w:tcMar>
            <w:hideMark/>
          </w:tcPr>
          <w:p w14:paraId="08465467" w14:textId="77777777" w:rsidR="0087113F" w:rsidRPr="00124229" w:rsidRDefault="004837DC">
            <w:pPr>
              <w:jc w:val="both"/>
              <w:rPr>
                <w:color w:val="000000"/>
                <w:sz w:val="20"/>
                <w:szCs w:val="20"/>
              </w:rPr>
            </w:pPr>
            <w:r w:rsidRPr="00124229">
              <w:rPr>
                <w:color w:val="000000"/>
                <w:sz w:val="20"/>
                <w:szCs w:val="20"/>
              </w:rPr>
              <w:t>That, for the purpose of determining liability under the Securities Act of 1933 to any purchaser in the initial distribution of the securities, the undersigned Registrant undertakes that in a primary offering of securities of the undersigned Registrant pursuant to this registration statement, regardless of the method used to sell the securities to the purchaser, if the securities are offered or sold to such purchaser by means of any of the following communications, the undersigned Registrant will be a seller to the purchaser and will be considered to offer or sell such securities to such purchaser:</w:t>
            </w:r>
          </w:p>
        </w:tc>
      </w:tr>
    </w:tbl>
    <w:p w14:paraId="36792A57" w14:textId="77777777" w:rsidR="0087113F" w:rsidRPr="00124229" w:rsidRDefault="004837DC">
      <w:pPr>
        <w:rPr>
          <w:sz w:val="20"/>
          <w:szCs w:val="20"/>
        </w:rPr>
      </w:pPr>
      <w:r w:rsidRPr="00124229">
        <w:rPr>
          <w:sz w:val="20"/>
          <w:szCs w:val="20"/>
        </w:rPr>
        <w:t> </w:t>
      </w:r>
    </w:p>
    <w:tbl>
      <w:tblPr>
        <w:tblW w:w="5000" w:type="pct"/>
        <w:tblCellMar>
          <w:left w:w="0" w:type="dxa"/>
          <w:right w:w="0" w:type="dxa"/>
        </w:tblCellMar>
        <w:tblLook w:val="04A0" w:firstRow="1" w:lastRow="0" w:firstColumn="1" w:lastColumn="0" w:noHBand="0" w:noVBand="1"/>
      </w:tblPr>
      <w:tblGrid>
        <w:gridCol w:w="50"/>
        <w:gridCol w:w="245"/>
        <w:gridCol w:w="9065"/>
      </w:tblGrid>
      <w:tr w:rsidR="0087113F" w:rsidRPr="00124229" w14:paraId="5D1B2670" w14:textId="77777777">
        <w:trPr>
          <w:cantSplit/>
        </w:trPr>
        <w:tc>
          <w:tcPr>
            <w:tcW w:w="0" w:type="auto"/>
            <w:tcMar>
              <w:top w:w="0" w:type="dxa"/>
              <w:left w:w="0" w:type="dxa"/>
              <w:bottom w:w="0" w:type="dxa"/>
              <w:right w:w="0" w:type="dxa"/>
            </w:tcMar>
            <w:hideMark/>
          </w:tcPr>
          <w:p w14:paraId="615A2B36"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5B38AE20" w14:textId="77777777" w:rsidR="0087113F" w:rsidRPr="00124229" w:rsidRDefault="004837DC">
            <w:pPr>
              <w:rPr>
                <w:color w:val="000000"/>
                <w:sz w:val="20"/>
                <w:szCs w:val="20"/>
              </w:rPr>
            </w:pPr>
            <w:r w:rsidRPr="00124229">
              <w:rPr>
                <w:color w:val="000000"/>
                <w:sz w:val="20"/>
                <w:szCs w:val="20"/>
              </w:rPr>
              <w:t>(i)</w:t>
            </w:r>
          </w:p>
        </w:tc>
        <w:tc>
          <w:tcPr>
            <w:tcW w:w="0" w:type="auto"/>
            <w:tcMar>
              <w:top w:w="0" w:type="dxa"/>
              <w:left w:w="0" w:type="dxa"/>
              <w:bottom w:w="0" w:type="dxa"/>
              <w:right w:w="0" w:type="dxa"/>
            </w:tcMar>
            <w:hideMark/>
          </w:tcPr>
          <w:p w14:paraId="287CF6F7" w14:textId="77777777" w:rsidR="0087113F" w:rsidRPr="00124229" w:rsidRDefault="004837DC">
            <w:pPr>
              <w:jc w:val="both"/>
              <w:rPr>
                <w:color w:val="000000"/>
                <w:sz w:val="20"/>
                <w:szCs w:val="20"/>
              </w:rPr>
            </w:pPr>
            <w:r w:rsidRPr="00124229">
              <w:rPr>
                <w:color w:val="000000"/>
                <w:sz w:val="20"/>
                <w:szCs w:val="20"/>
              </w:rPr>
              <w:t>Any preliminary prospectus or prospectus of the undersigned Registrant relating to the offering required to be filed pursuant to Rule 424;</w:t>
            </w:r>
          </w:p>
        </w:tc>
      </w:tr>
      <w:tr w:rsidR="0087113F" w:rsidRPr="00124229" w14:paraId="369D50B5" w14:textId="77777777">
        <w:trPr>
          <w:cantSplit/>
        </w:trPr>
        <w:tc>
          <w:tcPr>
            <w:tcW w:w="0" w:type="auto"/>
            <w:tcMar>
              <w:top w:w="0" w:type="dxa"/>
              <w:left w:w="0" w:type="dxa"/>
              <w:bottom w:w="0" w:type="dxa"/>
              <w:right w:w="0" w:type="dxa"/>
            </w:tcMar>
            <w:hideMark/>
          </w:tcPr>
          <w:p w14:paraId="759E862E"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5D8E7757"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3D851C59" w14:textId="77777777" w:rsidR="0087113F" w:rsidRPr="00124229" w:rsidRDefault="004837DC">
            <w:pPr>
              <w:rPr>
                <w:color w:val="000000"/>
                <w:sz w:val="20"/>
                <w:szCs w:val="20"/>
              </w:rPr>
            </w:pPr>
            <w:r w:rsidRPr="00124229">
              <w:rPr>
                <w:color w:val="000000"/>
                <w:sz w:val="20"/>
                <w:szCs w:val="20"/>
              </w:rPr>
              <w:t> </w:t>
            </w:r>
          </w:p>
        </w:tc>
      </w:tr>
      <w:tr w:rsidR="0087113F" w:rsidRPr="00124229" w14:paraId="4C418B2A" w14:textId="77777777">
        <w:trPr>
          <w:cantSplit/>
        </w:trPr>
        <w:tc>
          <w:tcPr>
            <w:tcW w:w="0" w:type="auto"/>
            <w:tcMar>
              <w:top w:w="0" w:type="dxa"/>
              <w:left w:w="0" w:type="dxa"/>
              <w:bottom w:w="0" w:type="dxa"/>
              <w:right w:w="0" w:type="dxa"/>
            </w:tcMar>
            <w:hideMark/>
          </w:tcPr>
          <w:p w14:paraId="4C2E0971"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1D2D1E27" w14:textId="77777777" w:rsidR="0087113F" w:rsidRPr="00124229" w:rsidRDefault="004837DC">
            <w:pPr>
              <w:rPr>
                <w:color w:val="000000"/>
                <w:sz w:val="20"/>
                <w:szCs w:val="20"/>
              </w:rPr>
            </w:pPr>
            <w:r w:rsidRPr="00124229">
              <w:rPr>
                <w:color w:val="000000"/>
                <w:sz w:val="20"/>
                <w:szCs w:val="20"/>
              </w:rPr>
              <w:t>(ii)</w:t>
            </w:r>
          </w:p>
        </w:tc>
        <w:tc>
          <w:tcPr>
            <w:tcW w:w="0" w:type="auto"/>
            <w:tcMar>
              <w:top w:w="0" w:type="dxa"/>
              <w:left w:w="0" w:type="dxa"/>
              <w:bottom w:w="0" w:type="dxa"/>
              <w:right w:w="0" w:type="dxa"/>
            </w:tcMar>
            <w:hideMark/>
          </w:tcPr>
          <w:p w14:paraId="66EA796F" w14:textId="77777777" w:rsidR="0087113F" w:rsidRPr="00124229" w:rsidRDefault="004837DC">
            <w:pPr>
              <w:jc w:val="both"/>
              <w:rPr>
                <w:color w:val="000000"/>
                <w:sz w:val="20"/>
                <w:szCs w:val="20"/>
              </w:rPr>
            </w:pPr>
            <w:r w:rsidRPr="00124229">
              <w:rPr>
                <w:color w:val="000000"/>
                <w:sz w:val="20"/>
                <w:szCs w:val="20"/>
              </w:rPr>
              <w:t>Any free writing prospectus relating to the offering prepared by or on behalf of the undersigned Registrant or used or referred to by the undersigned Registrant;</w:t>
            </w:r>
          </w:p>
        </w:tc>
      </w:tr>
    </w:tbl>
    <w:p w14:paraId="09849D0F" w14:textId="77777777" w:rsidR="0087113F" w:rsidRPr="00124229" w:rsidRDefault="004837DC">
      <w:r w:rsidRPr="00124229">
        <w:t> </w:t>
      </w:r>
    </w:p>
    <w:tbl>
      <w:tblPr>
        <w:tblW w:w="5000" w:type="pct"/>
        <w:tblCellMar>
          <w:left w:w="0" w:type="dxa"/>
          <w:right w:w="0" w:type="dxa"/>
        </w:tblCellMar>
        <w:tblLook w:val="04A0" w:firstRow="1" w:lastRow="0" w:firstColumn="1" w:lastColumn="0" w:noHBand="0" w:noVBand="1"/>
      </w:tblPr>
      <w:tblGrid>
        <w:gridCol w:w="50"/>
        <w:gridCol w:w="300"/>
        <w:gridCol w:w="9010"/>
      </w:tblGrid>
      <w:tr w:rsidR="0087113F" w:rsidRPr="00124229" w14:paraId="3C35416C" w14:textId="77777777">
        <w:trPr>
          <w:cantSplit/>
        </w:trPr>
        <w:tc>
          <w:tcPr>
            <w:tcW w:w="0" w:type="auto"/>
            <w:tcMar>
              <w:top w:w="0" w:type="dxa"/>
              <w:left w:w="0" w:type="dxa"/>
              <w:bottom w:w="0" w:type="dxa"/>
              <w:right w:w="0" w:type="dxa"/>
            </w:tcMar>
            <w:hideMark/>
          </w:tcPr>
          <w:p w14:paraId="3F89F0E9"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29EBF7C8" w14:textId="77777777" w:rsidR="0087113F" w:rsidRPr="00124229" w:rsidRDefault="004837DC">
            <w:pPr>
              <w:rPr>
                <w:color w:val="000000"/>
                <w:sz w:val="20"/>
                <w:szCs w:val="20"/>
              </w:rPr>
            </w:pPr>
            <w:r w:rsidRPr="00124229">
              <w:rPr>
                <w:color w:val="000000"/>
                <w:sz w:val="20"/>
                <w:szCs w:val="20"/>
              </w:rPr>
              <w:t>(iii)</w:t>
            </w:r>
          </w:p>
        </w:tc>
        <w:tc>
          <w:tcPr>
            <w:tcW w:w="0" w:type="auto"/>
            <w:tcMar>
              <w:top w:w="0" w:type="dxa"/>
              <w:left w:w="0" w:type="dxa"/>
              <w:bottom w:w="0" w:type="dxa"/>
              <w:right w:w="0" w:type="dxa"/>
            </w:tcMar>
            <w:hideMark/>
          </w:tcPr>
          <w:p w14:paraId="5C8D8507" w14:textId="77777777" w:rsidR="0087113F" w:rsidRPr="00124229" w:rsidRDefault="004837DC">
            <w:pPr>
              <w:jc w:val="both"/>
              <w:rPr>
                <w:color w:val="000000"/>
                <w:sz w:val="20"/>
                <w:szCs w:val="20"/>
              </w:rPr>
            </w:pPr>
            <w:r w:rsidRPr="00124229">
              <w:rPr>
                <w:color w:val="000000"/>
                <w:sz w:val="20"/>
                <w:szCs w:val="20"/>
              </w:rPr>
              <w:t>The portion of any other free writing prospectus relating to the offering containing material information about the undersigned Registrant or its securities provided by or on behalf of the undersigned Registrant; and</w:t>
            </w:r>
          </w:p>
        </w:tc>
      </w:tr>
      <w:tr w:rsidR="0087113F" w:rsidRPr="00124229" w14:paraId="767FAF26" w14:textId="77777777">
        <w:trPr>
          <w:cantSplit/>
        </w:trPr>
        <w:tc>
          <w:tcPr>
            <w:tcW w:w="0" w:type="auto"/>
            <w:tcMar>
              <w:top w:w="0" w:type="dxa"/>
              <w:left w:w="0" w:type="dxa"/>
              <w:bottom w:w="0" w:type="dxa"/>
              <w:right w:w="0" w:type="dxa"/>
            </w:tcMar>
            <w:hideMark/>
          </w:tcPr>
          <w:p w14:paraId="621BAAF1"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5A79D02B"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0E33DBB0" w14:textId="77777777" w:rsidR="0087113F" w:rsidRPr="00124229" w:rsidRDefault="004837DC">
            <w:pPr>
              <w:rPr>
                <w:color w:val="000000"/>
                <w:sz w:val="20"/>
                <w:szCs w:val="20"/>
              </w:rPr>
            </w:pPr>
            <w:r w:rsidRPr="00124229">
              <w:rPr>
                <w:color w:val="000000"/>
                <w:sz w:val="20"/>
                <w:szCs w:val="20"/>
              </w:rPr>
              <w:t> </w:t>
            </w:r>
          </w:p>
        </w:tc>
      </w:tr>
      <w:tr w:rsidR="0087113F" w:rsidRPr="00124229" w14:paraId="11EF91F8" w14:textId="77777777">
        <w:trPr>
          <w:cantSplit/>
        </w:trPr>
        <w:tc>
          <w:tcPr>
            <w:tcW w:w="0" w:type="auto"/>
            <w:tcMar>
              <w:top w:w="0" w:type="dxa"/>
              <w:left w:w="0" w:type="dxa"/>
              <w:bottom w:w="0" w:type="dxa"/>
              <w:right w:w="0" w:type="dxa"/>
            </w:tcMar>
            <w:hideMark/>
          </w:tcPr>
          <w:p w14:paraId="1B6F3832" w14:textId="77777777" w:rsidR="0087113F" w:rsidRPr="00124229" w:rsidRDefault="004837DC">
            <w:pPr>
              <w:rPr>
                <w:color w:val="000000"/>
                <w:sz w:val="20"/>
                <w:szCs w:val="20"/>
              </w:rPr>
            </w:pPr>
            <w:r w:rsidRPr="00124229">
              <w:rPr>
                <w:color w:val="000000"/>
                <w:sz w:val="20"/>
                <w:szCs w:val="20"/>
              </w:rPr>
              <w:t> </w:t>
            </w:r>
          </w:p>
        </w:tc>
        <w:tc>
          <w:tcPr>
            <w:tcW w:w="0" w:type="auto"/>
            <w:tcMar>
              <w:top w:w="0" w:type="dxa"/>
              <w:left w:w="0" w:type="dxa"/>
              <w:bottom w:w="0" w:type="dxa"/>
              <w:right w:w="0" w:type="dxa"/>
            </w:tcMar>
            <w:hideMark/>
          </w:tcPr>
          <w:p w14:paraId="14CBA584" w14:textId="77777777" w:rsidR="0087113F" w:rsidRPr="00124229" w:rsidRDefault="004837DC">
            <w:pPr>
              <w:rPr>
                <w:color w:val="000000"/>
                <w:sz w:val="20"/>
                <w:szCs w:val="20"/>
              </w:rPr>
            </w:pPr>
            <w:r w:rsidRPr="00124229">
              <w:rPr>
                <w:color w:val="000000"/>
                <w:sz w:val="20"/>
                <w:szCs w:val="20"/>
              </w:rPr>
              <w:t>(iv)</w:t>
            </w:r>
          </w:p>
        </w:tc>
        <w:tc>
          <w:tcPr>
            <w:tcW w:w="0" w:type="auto"/>
            <w:tcMar>
              <w:top w:w="0" w:type="dxa"/>
              <w:left w:w="0" w:type="dxa"/>
              <w:bottom w:w="0" w:type="dxa"/>
              <w:right w:w="0" w:type="dxa"/>
            </w:tcMar>
            <w:hideMark/>
          </w:tcPr>
          <w:p w14:paraId="63997A24" w14:textId="77777777" w:rsidR="0087113F" w:rsidRPr="00124229" w:rsidRDefault="004837DC">
            <w:pPr>
              <w:jc w:val="both"/>
              <w:rPr>
                <w:color w:val="000000"/>
                <w:sz w:val="20"/>
                <w:szCs w:val="20"/>
              </w:rPr>
            </w:pPr>
            <w:r w:rsidRPr="00124229">
              <w:rPr>
                <w:color w:val="000000"/>
                <w:sz w:val="20"/>
                <w:szCs w:val="20"/>
              </w:rPr>
              <w:t>Any other communication that is an offer in the offering made by the undersigned Registrant to the purchaser.</w:t>
            </w:r>
          </w:p>
        </w:tc>
      </w:tr>
    </w:tbl>
    <w:p w14:paraId="07199EDC" w14:textId="4FA2DE35" w:rsidR="0087113F" w:rsidRPr="00914978" w:rsidRDefault="004837DC">
      <w:pPr>
        <w:rPr>
          <w:sz w:val="20"/>
          <w:szCs w:val="20"/>
        </w:rPr>
      </w:pPr>
      <w:r w:rsidRPr="00124229">
        <w:rPr>
          <w:sz w:val="20"/>
          <w:szCs w:val="20"/>
        </w:rPr>
        <w:t> </w:t>
      </w:r>
    </w:p>
    <w:tbl>
      <w:tblPr>
        <w:tblW w:w="5000" w:type="pct"/>
        <w:tblCellMar>
          <w:left w:w="0" w:type="dxa"/>
          <w:right w:w="0" w:type="dxa"/>
        </w:tblCellMar>
        <w:tblLook w:val="04A0" w:firstRow="1" w:lastRow="0" w:firstColumn="1" w:lastColumn="0" w:noHBand="0" w:noVBand="1"/>
      </w:tblPr>
      <w:tblGrid>
        <w:gridCol w:w="234"/>
        <w:gridCol w:w="9126"/>
      </w:tblGrid>
      <w:tr w:rsidR="0087113F" w:rsidRPr="003147F5" w14:paraId="06E35B55" w14:textId="77777777">
        <w:trPr>
          <w:cantSplit/>
        </w:trPr>
        <w:tc>
          <w:tcPr>
            <w:tcW w:w="0" w:type="auto"/>
            <w:tcMar>
              <w:top w:w="0" w:type="dxa"/>
              <w:left w:w="0" w:type="dxa"/>
              <w:bottom w:w="0" w:type="dxa"/>
              <w:right w:w="0" w:type="dxa"/>
            </w:tcMar>
            <w:hideMark/>
          </w:tcPr>
          <w:p w14:paraId="7CF00B06" w14:textId="77777777" w:rsidR="0087113F" w:rsidRPr="00914978" w:rsidRDefault="004837DC">
            <w:pPr>
              <w:rPr>
                <w:color w:val="000000"/>
                <w:sz w:val="20"/>
                <w:szCs w:val="20"/>
              </w:rPr>
            </w:pPr>
            <w:r w:rsidRPr="00914978">
              <w:rPr>
                <w:color w:val="000000"/>
                <w:sz w:val="20"/>
                <w:szCs w:val="20"/>
              </w:rPr>
              <w:t>(b)</w:t>
            </w:r>
          </w:p>
        </w:tc>
        <w:tc>
          <w:tcPr>
            <w:tcW w:w="0" w:type="auto"/>
            <w:tcMar>
              <w:top w:w="0" w:type="dxa"/>
              <w:left w:w="0" w:type="dxa"/>
              <w:bottom w:w="0" w:type="dxa"/>
              <w:right w:w="0" w:type="dxa"/>
            </w:tcMar>
            <w:hideMark/>
          </w:tcPr>
          <w:p w14:paraId="1FE3F2B9" w14:textId="77777777" w:rsidR="0087113F" w:rsidRPr="00914978" w:rsidRDefault="004837DC">
            <w:pPr>
              <w:jc w:val="both"/>
              <w:rPr>
                <w:color w:val="000000"/>
                <w:sz w:val="20"/>
                <w:szCs w:val="20"/>
              </w:rPr>
            </w:pPr>
            <w:r w:rsidRPr="00914978">
              <w:rPr>
                <w:color w:val="000000"/>
                <w:sz w:val="20"/>
                <w:szCs w:val="20"/>
              </w:rPr>
              <w:t>The undersigned registrant hereby undertakes that, for purposes of determining any liability under the Securities Act of 1933, each filing of the registrant’s annual report pursuant to Section 13(a) or Section 15(d) of the Securities Exchange Act of 1934 (and, where applicable, each filing of an employee benefit plan’s annual report pursuant to Section 15(d) of the Securities Exchange Act of 1934) that is incorporated by reference in the registration statement shall be deemed to be a new registration statement relating to the securities offered therein, and the offering of such securities at that time shall be deemed to be the initial bona fide offering thereof.</w:t>
            </w:r>
          </w:p>
        </w:tc>
      </w:tr>
      <w:tr w:rsidR="0087113F" w:rsidRPr="003147F5" w14:paraId="070F1198" w14:textId="77777777">
        <w:trPr>
          <w:cantSplit/>
        </w:trPr>
        <w:tc>
          <w:tcPr>
            <w:tcW w:w="0" w:type="auto"/>
            <w:tcMar>
              <w:top w:w="0" w:type="dxa"/>
              <w:left w:w="0" w:type="dxa"/>
              <w:bottom w:w="0" w:type="dxa"/>
              <w:right w:w="0" w:type="dxa"/>
            </w:tcMar>
            <w:hideMark/>
          </w:tcPr>
          <w:p w14:paraId="5B33813A" w14:textId="77777777" w:rsidR="0087113F" w:rsidRPr="00914978" w:rsidRDefault="004837DC">
            <w:pPr>
              <w:rPr>
                <w:color w:val="000000"/>
                <w:sz w:val="20"/>
                <w:szCs w:val="20"/>
              </w:rPr>
            </w:pPr>
            <w:r w:rsidRPr="00914978">
              <w:rPr>
                <w:color w:val="000000"/>
                <w:sz w:val="20"/>
                <w:szCs w:val="20"/>
              </w:rPr>
              <w:t> </w:t>
            </w:r>
          </w:p>
        </w:tc>
        <w:tc>
          <w:tcPr>
            <w:tcW w:w="0" w:type="auto"/>
            <w:tcMar>
              <w:top w:w="0" w:type="dxa"/>
              <w:left w:w="0" w:type="dxa"/>
              <w:bottom w:w="0" w:type="dxa"/>
              <w:right w:w="0" w:type="dxa"/>
            </w:tcMar>
            <w:hideMark/>
          </w:tcPr>
          <w:p w14:paraId="61F1747F" w14:textId="77777777" w:rsidR="0087113F" w:rsidRPr="00914978" w:rsidRDefault="004837DC">
            <w:pPr>
              <w:rPr>
                <w:color w:val="000000"/>
                <w:sz w:val="20"/>
                <w:szCs w:val="20"/>
              </w:rPr>
            </w:pPr>
            <w:r w:rsidRPr="00914978">
              <w:rPr>
                <w:color w:val="000000"/>
                <w:sz w:val="20"/>
                <w:szCs w:val="20"/>
              </w:rPr>
              <w:t> </w:t>
            </w:r>
          </w:p>
        </w:tc>
      </w:tr>
      <w:tr w:rsidR="0087113F" w:rsidRPr="00914978" w14:paraId="5A6638E9" w14:textId="77777777">
        <w:trPr>
          <w:cantSplit/>
        </w:trPr>
        <w:tc>
          <w:tcPr>
            <w:tcW w:w="0" w:type="auto"/>
            <w:tcMar>
              <w:top w:w="0" w:type="dxa"/>
              <w:left w:w="0" w:type="dxa"/>
              <w:bottom w:w="0" w:type="dxa"/>
              <w:right w:w="0" w:type="dxa"/>
            </w:tcMar>
            <w:hideMark/>
          </w:tcPr>
          <w:p w14:paraId="6822A572" w14:textId="77777777" w:rsidR="0087113F" w:rsidRPr="00914978" w:rsidRDefault="004837DC">
            <w:pPr>
              <w:rPr>
                <w:color w:val="000000"/>
                <w:sz w:val="20"/>
                <w:szCs w:val="20"/>
              </w:rPr>
            </w:pPr>
            <w:r w:rsidRPr="00914978">
              <w:rPr>
                <w:color w:val="000000"/>
                <w:sz w:val="20"/>
                <w:szCs w:val="20"/>
              </w:rPr>
              <w:t>(c)</w:t>
            </w:r>
          </w:p>
        </w:tc>
        <w:tc>
          <w:tcPr>
            <w:tcW w:w="0" w:type="auto"/>
            <w:tcMar>
              <w:top w:w="0" w:type="dxa"/>
              <w:left w:w="0" w:type="dxa"/>
              <w:bottom w:w="0" w:type="dxa"/>
              <w:right w:w="0" w:type="dxa"/>
            </w:tcMar>
            <w:hideMark/>
          </w:tcPr>
          <w:p w14:paraId="1431ED38" w14:textId="77777777" w:rsidR="0087113F" w:rsidRPr="00914978" w:rsidRDefault="004837DC">
            <w:pPr>
              <w:jc w:val="both"/>
              <w:rPr>
                <w:color w:val="000000"/>
                <w:sz w:val="20"/>
                <w:szCs w:val="20"/>
              </w:rPr>
            </w:pPr>
            <w:r w:rsidRPr="00914978">
              <w:rPr>
                <w:color w:val="000000"/>
                <w:sz w:val="20"/>
                <w:szCs w:val="20"/>
              </w:rPr>
              <w:t>Insofar as indemnification for liabilities arising under the Securities Act of 1933 may be permitted to directors, officers and controlling persons of the Registrant pursuant to the provisions described in Item 6 hereof, or otherwise, the Registrant has been advised that in the opinion of the SEC such indemnification is against public policy as expressed in the Act and is, therefore, unenforceable. In the event that a claim for indemnification against such liabilities (other than the payment by the Registrant of expenses incurred or paid by a director, officer or controlling person of the Registrant in the successful defense of any action, suit or proceeding) is asserted by such director, officer or controlling person in connection with the securities being registered, the Registrant will, unless in the opinion of its counsel the matter has been settled by controlling precedent, submit to a court of appropriate jurisdiction the question whether such indemnification by it is against public policy as expressed in the Act and will be governed by the final adjudication of such issue.</w:t>
            </w:r>
          </w:p>
        </w:tc>
      </w:tr>
    </w:tbl>
    <w:p w14:paraId="1EA22BFF" w14:textId="77777777" w:rsidR="0087113F" w:rsidRDefault="004837DC">
      <w:pPr>
        <w:rPr>
          <w:sz w:val="20"/>
          <w:szCs w:val="20"/>
        </w:rPr>
      </w:pPr>
      <w:r w:rsidRPr="00914978">
        <w:rPr>
          <w:sz w:val="20"/>
          <w:szCs w:val="20"/>
        </w:rPr>
        <w:t> </w:t>
      </w:r>
    </w:p>
    <w:p w14:paraId="4E7E97F3" w14:textId="77777777" w:rsidR="0087113F" w:rsidRPr="00914978" w:rsidRDefault="004837DC">
      <w:pPr>
        <w:rPr>
          <w:sz w:val="20"/>
          <w:szCs w:val="20"/>
        </w:rPr>
      </w:pPr>
      <w:r w:rsidRPr="00914978">
        <w:rPr>
          <w:sz w:val="20"/>
          <w:szCs w:val="20"/>
        </w:rPr>
        <w:t> </w:t>
      </w:r>
    </w:p>
    <w:p w14:paraId="69981599" w14:textId="77777777" w:rsidR="00F63C23" w:rsidRDefault="00F63C23">
      <w:pPr>
        <w:jc w:val="center"/>
        <w:rPr>
          <w:b/>
          <w:bCs/>
          <w:sz w:val="20"/>
          <w:szCs w:val="20"/>
          <w:highlight w:val="yellow"/>
        </w:rPr>
        <w:sectPr w:rsidR="00F63C23" w:rsidSect="00F2032D">
          <w:footerReference w:type="default" r:id="rId70"/>
          <w:pgSz w:w="12240" w:h="15840"/>
          <w:pgMar w:top="1440" w:right="1440" w:bottom="1440" w:left="1440" w:header="720" w:footer="720" w:gutter="0"/>
          <w:pgNumType w:start="1"/>
          <w:cols w:space="720"/>
          <w:docGrid w:linePitch="326"/>
        </w:sectPr>
      </w:pPr>
    </w:p>
    <w:p w14:paraId="0A818400" w14:textId="77777777" w:rsidR="0087113F" w:rsidRPr="00F63C23" w:rsidRDefault="004837DC">
      <w:pPr>
        <w:jc w:val="center"/>
        <w:rPr>
          <w:sz w:val="20"/>
          <w:szCs w:val="20"/>
        </w:rPr>
      </w:pPr>
      <w:r w:rsidRPr="00F63C23">
        <w:rPr>
          <w:b/>
          <w:bCs/>
          <w:sz w:val="20"/>
          <w:szCs w:val="20"/>
        </w:rPr>
        <w:lastRenderedPageBreak/>
        <w:t>SIGNATURES</w:t>
      </w:r>
    </w:p>
    <w:p w14:paraId="25B19951" w14:textId="77777777" w:rsidR="0087113F" w:rsidRPr="00F63C23" w:rsidRDefault="004837DC">
      <w:pPr>
        <w:jc w:val="center"/>
        <w:rPr>
          <w:sz w:val="20"/>
          <w:szCs w:val="20"/>
        </w:rPr>
      </w:pPr>
      <w:r w:rsidRPr="00F63C23">
        <w:rPr>
          <w:sz w:val="20"/>
          <w:szCs w:val="20"/>
        </w:rPr>
        <w:t> </w:t>
      </w:r>
    </w:p>
    <w:p w14:paraId="29537D70" w14:textId="2F7E68C7" w:rsidR="0087113F" w:rsidRPr="00F63C23" w:rsidRDefault="00F63C23">
      <w:pPr>
        <w:ind w:firstLine="720"/>
        <w:jc w:val="both"/>
        <w:rPr>
          <w:sz w:val="20"/>
          <w:szCs w:val="20"/>
        </w:rPr>
      </w:pPr>
      <w:r w:rsidRPr="00F63C23">
        <w:rPr>
          <w:sz w:val="20"/>
          <w:szCs w:val="20"/>
        </w:rPr>
        <w:t xml:space="preserve">Pursuant to the requirements of the Securities Act of 1933, as amended, the registrant certifies that it has reasonable grounds to believe that it meets all of the requirements for filing on Form S-1 and has duly caused this registration statement to be signed on its behalf by the undersigned, thereunto duly authorized, in the City of Smyrna, State of Georgia, on </w:t>
      </w:r>
      <w:r w:rsidR="00073CE1">
        <w:rPr>
          <w:sz w:val="20"/>
          <w:szCs w:val="20"/>
        </w:rPr>
        <w:t>June</w:t>
      </w:r>
      <w:r w:rsidR="002015FE">
        <w:rPr>
          <w:sz w:val="20"/>
          <w:szCs w:val="20"/>
        </w:rPr>
        <w:t xml:space="preserve"> </w:t>
      </w:r>
      <w:r w:rsidR="00874A1D">
        <w:rPr>
          <w:sz w:val="20"/>
          <w:szCs w:val="20"/>
        </w:rPr>
        <w:t>14</w:t>
      </w:r>
      <w:r w:rsidRPr="00F63C23">
        <w:rPr>
          <w:sz w:val="20"/>
          <w:szCs w:val="20"/>
        </w:rPr>
        <w:t>, 2022.</w:t>
      </w:r>
    </w:p>
    <w:p w14:paraId="02FFF055" w14:textId="77777777" w:rsidR="0087113F" w:rsidRPr="00F63C23" w:rsidRDefault="004837DC">
      <w:pPr>
        <w:ind w:firstLine="720"/>
        <w:jc w:val="both"/>
        <w:rPr>
          <w:sz w:val="20"/>
          <w:szCs w:val="20"/>
        </w:rPr>
      </w:pPr>
      <w:r w:rsidRPr="00F63C23">
        <w:rPr>
          <w:sz w:val="20"/>
          <w:szCs w:val="20"/>
        </w:rPr>
        <w:t> </w:t>
      </w:r>
    </w:p>
    <w:tbl>
      <w:tblPr>
        <w:tblW w:w="5000" w:type="pct"/>
        <w:tblCellMar>
          <w:left w:w="0" w:type="dxa"/>
          <w:right w:w="0" w:type="dxa"/>
        </w:tblCellMar>
        <w:tblLook w:val="04A0" w:firstRow="1" w:lastRow="0" w:firstColumn="1" w:lastColumn="0" w:noHBand="0" w:noVBand="1"/>
      </w:tblPr>
      <w:tblGrid>
        <w:gridCol w:w="186"/>
        <w:gridCol w:w="1995"/>
        <w:gridCol w:w="7179"/>
      </w:tblGrid>
      <w:tr w:rsidR="0087113F" w:rsidRPr="00F63C23" w14:paraId="153E4AA3" w14:textId="77777777">
        <w:trPr>
          <w:cantSplit/>
        </w:trPr>
        <w:tc>
          <w:tcPr>
            <w:tcW w:w="0" w:type="auto"/>
            <w:tcMar>
              <w:top w:w="0" w:type="dxa"/>
              <w:left w:w="0" w:type="dxa"/>
              <w:bottom w:w="0" w:type="dxa"/>
              <w:right w:w="0" w:type="dxa"/>
            </w:tcMar>
            <w:hideMark/>
          </w:tcPr>
          <w:p w14:paraId="2FB39AA9" w14:textId="77777777" w:rsidR="0087113F" w:rsidRPr="00F63C23" w:rsidRDefault="004837DC">
            <w:pPr>
              <w:rPr>
                <w:color w:val="000000"/>
                <w:sz w:val="20"/>
                <w:szCs w:val="20"/>
              </w:rPr>
            </w:pPr>
            <w:r w:rsidRPr="00F63C23">
              <w:rPr>
                <w:color w:val="000000"/>
                <w:sz w:val="20"/>
                <w:szCs w:val="20"/>
              </w:rPr>
              <w:t> </w:t>
            </w:r>
          </w:p>
        </w:tc>
        <w:tc>
          <w:tcPr>
            <w:tcW w:w="0" w:type="auto"/>
            <w:gridSpan w:val="2"/>
            <w:tcMar>
              <w:top w:w="0" w:type="dxa"/>
              <w:left w:w="0" w:type="dxa"/>
              <w:bottom w:w="0" w:type="dxa"/>
              <w:right w:w="0" w:type="dxa"/>
            </w:tcMar>
            <w:hideMark/>
          </w:tcPr>
          <w:p w14:paraId="18411E90" w14:textId="77777777" w:rsidR="0087113F" w:rsidRPr="00F63C23" w:rsidRDefault="00F63C23">
            <w:pPr>
              <w:rPr>
                <w:color w:val="000000"/>
                <w:sz w:val="20"/>
                <w:szCs w:val="20"/>
              </w:rPr>
            </w:pPr>
            <w:r w:rsidRPr="00F63C23">
              <w:rPr>
                <w:b/>
                <w:bCs/>
                <w:color w:val="000000"/>
                <w:sz w:val="20"/>
                <w:szCs w:val="20"/>
              </w:rPr>
              <w:t>GEOVAX LABS</w:t>
            </w:r>
            <w:r w:rsidR="004837DC" w:rsidRPr="00F63C23">
              <w:rPr>
                <w:b/>
                <w:bCs/>
                <w:color w:val="000000"/>
                <w:sz w:val="20"/>
                <w:szCs w:val="20"/>
              </w:rPr>
              <w:t>, INC.</w:t>
            </w:r>
          </w:p>
        </w:tc>
      </w:tr>
      <w:tr w:rsidR="0087113F" w:rsidRPr="00F63C23" w14:paraId="7F6C8E9B" w14:textId="77777777">
        <w:trPr>
          <w:cantSplit/>
        </w:trPr>
        <w:tc>
          <w:tcPr>
            <w:tcW w:w="0" w:type="auto"/>
            <w:tcMar>
              <w:top w:w="0" w:type="dxa"/>
              <w:left w:w="0" w:type="dxa"/>
              <w:bottom w:w="0" w:type="dxa"/>
              <w:right w:w="0" w:type="dxa"/>
            </w:tcMar>
            <w:hideMark/>
          </w:tcPr>
          <w:p w14:paraId="11C21E44" w14:textId="77777777" w:rsidR="0087113F" w:rsidRPr="00F63C23" w:rsidRDefault="004837DC">
            <w:pPr>
              <w:rPr>
                <w:color w:val="000000"/>
                <w:sz w:val="20"/>
                <w:szCs w:val="20"/>
              </w:rPr>
            </w:pPr>
            <w:r w:rsidRPr="00F63C23">
              <w:rPr>
                <w:color w:val="000000"/>
                <w:sz w:val="20"/>
                <w:szCs w:val="20"/>
              </w:rPr>
              <w:t> </w:t>
            </w:r>
          </w:p>
        </w:tc>
        <w:tc>
          <w:tcPr>
            <w:tcW w:w="0" w:type="auto"/>
            <w:gridSpan w:val="2"/>
            <w:tcMar>
              <w:top w:w="0" w:type="dxa"/>
              <w:left w:w="0" w:type="dxa"/>
              <w:bottom w:w="0" w:type="dxa"/>
              <w:right w:w="0" w:type="dxa"/>
            </w:tcMar>
            <w:hideMark/>
          </w:tcPr>
          <w:p w14:paraId="5F0FE261" w14:textId="77777777" w:rsidR="0087113F" w:rsidRPr="00F63C23" w:rsidRDefault="004837DC">
            <w:pPr>
              <w:rPr>
                <w:color w:val="000000"/>
                <w:sz w:val="20"/>
                <w:szCs w:val="20"/>
              </w:rPr>
            </w:pPr>
            <w:r w:rsidRPr="00F63C23">
              <w:rPr>
                <w:color w:val="000000"/>
                <w:sz w:val="20"/>
                <w:szCs w:val="20"/>
              </w:rPr>
              <w:t> </w:t>
            </w:r>
          </w:p>
        </w:tc>
      </w:tr>
      <w:tr w:rsidR="0087113F" w:rsidRPr="00F63C23" w14:paraId="69BE6B72" w14:textId="77777777">
        <w:trPr>
          <w:cantSplit/>
        </w:trPr>
        <w:tc>
          <w:tcPr>
            <w:tcW w:w="0" w:type="auto"/>
            <w:tcMar>
              <w:top w:w="0" w:type="dxa"/>
              <w:left w:w="0" w:type="dxa"/>
              <w:bottom w:w="0" w:type="dxa"/>
              <w:right w:w="0" w:type="dxa"/>
            </w:tcMar>
            <w:hideMark/>
          </w:tcPr>
          <w:p w14:paraId="02A7DBAE" w14:textId="77777777" w:rsidR="0087113F" w:rsidRPr="00F63C23" w:rsidRDefault="004837DC">
            <w:pPr>
              <w:rPr>
                <w:color w:val="000000"/>
                <w:sz w:val="20"/>
                <w:szCs w:val="20"/>
              </w:rPr>
            </w:pPr>
            <w:r w:rsidRPr="00F63C23">
              <w:rPr>
                <w:color w:val="000000"/>
                <w:sz w:val="20"/>
                <w:szCs w:val="20"/>
              </w:rPr>
              <w:t> </w:t>
            </w:r>
          </w:p>
        </w:tc>
        <w:tc>
          <w:tcPr>
            <w:tcW w:w="0" w:type="auto"/>
            <w:tcMar>
              <w:top w:w="0" w:type="dxa"/>
              <w:left w:w="0" w:type="dxa"/>
              <w:bottom w:w="0" w:type="dxa"/>
              <w:right w:w="0" w:type="dxa"/>
            </w:tcMar>
            <w:hideMark/>
          </w:tcPr>
          <w:p w14:paraId="7CA34FFD" w14:textId="77777777" w:rsidR="0087113F" w:rsidRPr="00F63C23" w:rsidRDefault="004837DC">
            <w:pPr>
              <w:rPr>
                <w:color w:val="000000"/>
                <w:sz w:val="20"/>
                <w:szCs w:val="20"/>
              </w:rPr>
            </w:pPr>
            <w:r w:rsidRPr="00F63C23">
              <w:rPr>
                <w:color w:val="000000"/>
                <w:sz w:val="20"/>
                <w:szCs w:val="20"/>
              </w:rPr>
              <w:t>By:</w:t>
            </w:r>
          </w:p>
        </w:tc>
        <w:tc>
          <w:tcPr>
            <w:tcW w:w="0" w:type="auto"/>
            <w:tcBorders>
              <w:bottom w:val="single" w:sz="12" w:space="0" w:color="000000"/>
            </w:tcBorders>
            <w:tcMar>
              <w:top w:w="0" w:type="dxa"/>
              <w:left w:w="0" w:type="dxa"/>
              <w:bottom w:w="0" w:type="dxa"/>
              <w:right w:w="0" w:type="dxa"/>
            </w:tcMar>
            <w:hideMark/>
          </w:tcPr>
          <w:p w14:paraId="20409C71" w14:textId="77777777" w:rsidR="0087113F" w:rsidRPr="00F63C23" w:rsidRDefault="004837DC" w:rsidP="00F63C23">
            <w:pPr>
              <w:rPr>
                <w:color w:val="000000"/>
                <w:sz w:val="20"/>
                <w:szCs w:val="20"/>
              </w:rPr>
            </w:pPr>
            <w:r w:rsidRPr="00F63C23">
              <w:rPr>
                <w:i/>
                <w:iCs/>
                <w:color w:val="000000"/>
                <w:sz w:val="20"/>
                <w:szCs w:val="20"/>
              </w:rPr>
              <w:t xml:space="preserve">/s/ </w:t>
            </w:r>
            <w:r w:rsidR="00F63C23" w:rsidRPr="00F63C23">
              <w:rPr>
                <w:i/>
                <w:iCs/>
                <w:color w:val="000000"/>
                <w:sz w:val="20"/>
                <w:szCs w:val="20"/>
              </w:rPr>
              <w:t>David A. Dodd</w:t>
            </w:r>
          </w:p>
        </w:tc>
      </w:tr>
      <w:tr w:rsidR="0087113F" w:rsidRPr="00F63C23" w14:paraId="412F7858" w14:textId="77777777">
        <w:trPr>
          <w:cantSplit/>
        </w:trPr>
        <w:tc>
          <w:tcPr>
            <w:tcW w:w="0" w:type="auto"/>
            <w:tcMar>
              <w:top w:w="0" w:type="dxa"/>
              <w:left w:w="0" w:type="dxa"/>
              <w:bottom w:w="0" w:type="dxa"/>
              <w:right w:w="0" w:type="dxa"/>
            </w:tcMar>
            <w:hideMark/>
          </w:tcPr>
          <w:p w14:paraId="492CF0CB" w14:textId="77777777" w:rsidR="0087113F" w:rsidRPr="00F63C23" w:rsidRDefault="004837DC">
            <w:pPr>
              <w:rPr>
                <w:color w:val="000000"/>
                <w:sz w:val="20"/>
                <w:szCs w:val="20"/>
              </w:rPr>
            </w:pPr>
            <w:r w:rsidRPr="00F63C23">
              <w:rPr>
                <w:color w:val="000000"/>
                <w:sz w:val="20"/>
                <w:szCs w:val="20"/>
              </w:rPr>
              <w:t> </w:t>
            </w:r>
          </w:p>
        </w:tc>
        <w:tc>
          <w:tcPr>
            <w:tcW w:w="0" w:type="auto"/>
            <w:tcMar>
              <w:top w:w="0" w:type="dxa"/>
              <w:left w:w="0" w:type="dxa"/>
              <w:bottom w:w="0" w:type="dxa"/>
              <w:right w:w="0" w:type="dxa"/>
            </w:tcMar>
            <w:hideMark/>
          </w:tcPr>
          <w:p w14:paraId="5C1E89AA" w14:textId="77777777" w:rsidR="0087113F" w:rsidRPr="00F63C23" w:rsidRDefault="004837DC">
            <w:pPr>
              <w:rPr>
                <w:color w:val="000000"/>
                <w:sz w:val="20"/>
                <w:szCs w:val="20"/>
              </w:rPr>
            </w:pPr>
            <w:r w:rsidRPr="00F63C23">
              <w:rPr>
                <w:color w:val="000000"/>
                <w:sz w:val="20"/>
                <w:szCs w:val="20"/>
              </w:rPr>
              <w:t>Name:</w:t>
            </w:r>
          </w:p>
        </w:tc>
        <w:tc>
          <w:tcPr>
            <w:tcW w:w="0" w:type="auto"/>
            <w:tcMar>
              <w:top w:w="0" w:type="dxa"/>
              <w:left w:w="0" w:type="dxa"/>
              <w:bottom w:w="0" w:type="dxa"/>
              <w:right w:w="0" w:type="dxa"/>
            </w:tcMar>
            <w:hideMark/>
          </w:tcPr>
          <w:p w14:paraId="1A942A82" w14:textId="77777777" w:rsidR="0087113F" w:rsidRPr="00F63C23" w:rsidRDefault="00F63C23">
            <w:pPr>
              <w:rPr>
                <w:color w:val="000000"/>
                <w:sz w:val="20"/>
                <w:szCs w:val="20"/>
              </w:rPr>
            </w:pPr>
            <w:r w:rsidRPr="00F63C23">
              <w:rPr>
                <w:color w:val="000000"/>
                <w:sz w:val="20"/>
                <w:szCs w:val="20"/>
              </w:rPr>
              <w:t>David A. Dodd</w:t>
            </w:r>
          </w:p>
        </w:tc>
      </w:tr>
      <w:tr w:rsidR="0087113F" w:rsidRPr="003147F5" w14:paraId="62FD8D49" w14:textId="77777777">
        <w:trPr>
          <w:cantSplit/>
        </w:trPr>
        <w:tc>
          <w:tcPr>
            <w:tcW w:w="0" w:type="auto"/>
            <w:tcMar>
              <w:top w:w="0" w:type="dxa"/>
              <w:left w:w="0" w:type="dxa"/>
              <w:bottom w:w="0" w:type="dxa"/>
              <w:right w:w="0" w:type="dxa"/>
            </w:tcMar>
            <w:hideMark/>
          </w:tcPr>
          <w:p w14:paraId="5528ADDF" w14:textId="77777777" w:rsidR="0087113F" w:rsidRPr="00F63C23" w:rsidRDefault="004837DC">
            <w:pPr>
              <w:rPr>
                <w:color w:val="000000"/>
                <w:sz w:val="20"/>
                <w:szCs w:val="20"/>
              </w:rPr>
            </w:pPr>
            <w:r w:rsidRPr="00F63C23">
              <w:rPr>
                <w:color w:val="000000"/>
                <w:sz w:val="20"/>
                <w:szCs w:val="20"/>
              </w:rPr>
              <w:t> </w:t>
            </w:r>
          </w:p>
        </w:tc>
        <w:tc>
          <w:tcPr>
            <w:tcW w:w="0" w:type="auto"/>
            <w:tcMar>
              <w:top w:w="0" w:type="dxa"/>
              <w:left w:w="0" w:type="dxa"/>
              <w:bottom w:w="0" w:type="dxa"/>
              <w:right w:w="0" w:type="dxa"/>
            </w:tcMar>
            <w:hideMark/>
          </w:tcPr>
          <w:p w14:paraId="14A31F0D" w14:textId="77777777" w:rsidR="0087113F" w:rsidRPr="00F63C23" w:rsidRDefault="004837DC">
            <w:pPr>
              <w:rPr>
                <w:color w:val="000000"/>
                <w:sz w:val="20"/>
                <w:szCs w:val="20"/>
              </w:rPr>
            </w:pPr>
            <w:r w:rsidRPr="00F63C23">
              <w:rPr>
                <w:color w:val="000000"/>
                <w:sz w:val="20"/>
                <w:szCs w:val="20"/>
              </w:rPr>
              <w:t>Title:</w:t>
            </w:r>
          </w:p>
        </w:tc>
        <w:tc>
          <w:tcPr>
            <w:tcW w:w="0" w:type="auto"/>
            <w:tcMar>
              <w:top w:w="0" w:type="dxa"/>
              <w:left w:w="0" w:type="dxa"/>
              <w:bottom w:w="0" w:type="dxa"/>
              <w:right w:w="0" w:type="dxa"/>
            </w:tcMar>
            <w:hideMark/>
          </w:tcPr>
          <w:p w14:paraId="50EB03CC" w14:textId="77777777" w:rsidR="0087113F" w:rsidRPr="00F63C23" w:rsidRDefault="004837DC">
            <w:pPr>
              <w:rPr>
                <w:color w:val="000000"/>
                <w:sz w:val="20"/>
                <w:szCs w:val="20"/>
              </w:rPr>
            </w:pPr>
            <w:r w:rsidRPr="00F63C23">
              <w:rPr>
                <w:color w:val="000000"/>
                <w:sz w:val="20"/>
                <w:szCs w:val="20"/>
              </w:rPr>
              <w:t>Chief Executive Officer</w:t>
            </w:r>
          </w:p>
        </w:tc>
      </w:tr>
    </w:tbl>
    <w:p w14:paraId="3422241A" w14:textId="77777777" w:rsidR="0087113F" w:rsidRPr="00F63C23" w:rsidRDefault="004837DC">
      <w:pPr>
        <w:ind w:firstLine="720"/>
        <w:jc w:val="both"/>
        <w:rPr>
          <w:sz w:val="20"/>
          <w:szCs w:val="20"/>
        </w:rPr>
      </w:pPr>
      <w:r w:rsidRPr="00F63C23">
        <w:rPr>
          <w:sz w:val="20"/>
          <w:szCs w:val="20"/>
        </w:rPr>
        <w:t> </w:t>
      </w:r>
    </w:p>
    <w:p w14:paraId="1CCFD995" w14:textId="77777777" w:rsidR="00F63C23" w:rsidRDefault="00F63C23" w:rsidP="00F63C23">
      <w:pPr>
        <w:jc w:val="both"/>
        <w:rPr>
          <w:sz w:val="20"/>
          <w:szCs w:val="20"/>
        </w:rPr>
      </w:pPr>
    </w:p>
    <w:p w14:paraId="6CDADE53" w14:textId="77777777" w:rsidR="00F63C23" w:rsidRPr="00F63C23" w:rsidRDefault="00F63C23" w:rsidP="00F63C23">
      <w:pPr>
        <w:jc w:val="center"/>
        <w:rPr>
          <w:b/>
          <w:sz w:val="20"/>
          <w:szCs w:val="20"/>
        </w:rPr>
      </w:pPr>
      <w:r w:rsidRPr="00F63C23">
        <w:rPr>
          <w:b/>
          <w:sz w:val="20"/>
          <w:szCs w:val="20"/>
        </w:rPr>
        <w:t>POWER OF ATTORNEY</w:t>
      </w:r>
    </w:p>
    <w:p w14:paraId="23901502" w14:textId="77777777" w:rsidR="00F63C23" w:rsidRPr="00F63C23" w:rsidRDefault="00F63C23" w:rsidP="00F63C23">
      <w:pPr>
        <w:rPr>
          <w:sz w:val="20"/>
          <w:szCs w:val="20"/>
        </w:rPr>
      </w:pPr>
    </w:p>
    <w:p w14:paraId="6982B522" w14:textId="77777777" w:rsidR="00F63C23" w:rsidRDefault="00F63C23" w:rsidP="00F63C23">
      <w:pPr>
        <w:ind w:firstLine="720"/>
        <w:jc w:val="both"/>
        <w:rPr>
          <w:sz w:val="20"/>
          <w:szCs w:val="20"/>
        </w:rPr>
      </w:pPr>
      <w:r w:rsidRPr="00F63C23">
        <w:rPr>
          <w:b/>
          <w:sz w:val="20"/>
          <w:szCs w:val="20"/>
        </w:rPr>
        <w:t>KNOW ALL MEN BY THESE P</w:t>
      </w:r>
      <w:r>
        <w:rPr>
          <w:b/>
          <w:sz w:val="20"/>
          <w:szCs w:val="20"/>
        </w:rPr>
        <w:t>RESENT</w:t>
      </w:r>
      <w:r w:rsidRPr="00F63C23">
        <w:rPr>
          <w:sz w:val="20"/>
          <w:szCs w:val="20"/>
        </w:rPr>
        <w:t>, that each person whose signature appears below constitutes and appoints David A. Dodd and Mark W. Reynolds and each of them, any of whom may act without the joinder of the other, his true and lawful attorneys-in-fact and agents with full power of substitution and re-substitution, for him and in his name, place and stead, in any and all capacities, to sign any and all amendments (including post-effective amendments) to this registration statement, and to sign any registration statement for the same offering covered by this registration statement that is to be effective on filing pursuant to Rule 462(b) under the Securities Act of 1933, as amended, and all post-effective amendments thereto, and to file the same, with all exhibits thereto and other documents in connection therewith, with the Securities and Exchange Commission, granting unto said attorneys-in-fact and agents, full power and authority to do and perform each and every act and thing requisite and necessary to be done, as fully to all intents and purposes as he might or could do in person, hereby ratifying and confirming that said attorneys-in-fact and agents or their or his substitute or substitutes, may lawfully do or cause to be done by virtue hereof.</w:t>
      </w:r>
    </w:p>
    <w:p w14:paraId="566BB729" w14:textId="77777777" w:rsidR="00F63C23" w:rsidRDefault="00F63C23">
      <w:pPr>
        <w:ind w:firstLine="720"/>
        <w:jc w:val="both"/>
        <w:rPr>
          <w:sz w:val="20"/>
          <w:szCs w:val="20"/>
        </w:rPr>
      </w:pPr>
    </w:p>
    <w:p w14:paraId="7D5E899D" w14:textId="77777777" w:rsidR="0087113F" w:rsidRPr="00F63C23" w:rsidRDefault="004837DC">
      <w:pPr>
        <w:ind w:firstLine="720"/>
        <w:jc w:val="both"/>
        <w:rPr>
          <w:sz w:val="20"/>
          <w:szCs w:val="20"/>
        </w:rPr>
      </w:pPr>
      <w:r w:rsidRPr="00F63C23">
        <w:rPr>
          <w:sz w:val="20"/>
          <w:szCs w:val="20"/>
        </w:rPr>
        <w:t>Pursuant to the requirements of the Securities Act of 1933, this registration statement has been signed below by the following persons in the capacities and on the dates indicated.</w:t>
      </w:r>
    </w:p>
    <w:p w14:paraId="2ED2578E" w14:textId="77777777" w:rsidR="0087113F" w:rsidRPr="00F63C23" w:rsidRDefault="004837DC">
      <w:pPr>
        <w:ind w:firstLine="720"/>
        <w:jc w:val="both"/>
        <w:rPr>
          <w:sz w:val="20"/>
          <w:szCs w:val="20"/>
        </w:rPr>
      </w:pPr>
      <w:r w:rsidRPr="00F63C23">
        <w:rPr>
          <w:sz w:val="20"/>
          <w:szCs w:val="20"/>
        </w:rPr>
        <w:t> </w:t>
      </w:r>
    </w:p>
    <w:tbl>
      <w:tblPr>
        <w:tblW w:w="5000" w:type="pct"/>
        <w:tblCellMar>
          <w:left w:w="0" w:type="dxa"/>
          <w:right w:w="0" w:type="dxa"/>
        </w:tblCellMar>
        <w:tblLook w:val="04A0" w:firstRow="1" w:lastRow="0" w:firstColumn="1" w:lastColumn="0" w:noHBand="0" w:noVBand="1"/>
      </w:tblPr>
      <w:tblGrid>
        <w:gridCol w:w="2620"/>
        <w:gridCol w:w="70"/>
        <w:gridCol w:w="5037"/>
        <w:gridCol w:w="70"/>
        <w:gridCol w:w="1563"/>
      </w:tblGrid>
      <w:tr w:rsidR="00F63C23" w:rsidRPr="001C2BBC" w14:paraId="6C4F513A" w14:textId="77777777">
        <w:trPr>
          <w:cantSplit/>
        </w:trPr>
        <w:tc>
          <w:tcPr>
            <w:tcW w:w="0" w:type="auto"/>
            <w:tcMar>
              <w:top w:w="0" w:type="dxa"/>
              <w:left w:w="0" w:type="dxa"/>
              <w:bottom w:w="0" w:type="dxa"/>
              <w:right w:w="0" w:type="dxa"/>
            </w:tcMar>
            <w:hideMark/>
          </w:tcPr>
          <w:p w14:paraId="56759E74" w14:textId="77777777" w:rsidR="0087113F" w:rsidRPr="001C2BBC" w:rsidRDefault="004837DC">
            <w:pPr>
              <w:pBdr>
                <w:bottom w:val="single" w:sz="12" w:space="0" w:color="000000"/>
              </w:pBdr>
              <w:jc w:val="center"/>
              <w:rPr>
                <w:color w:val="000000"/>
                <w:sz w:val="20"/>
                <w:szCs w:val="20"/>
              </w:rPr>
            </w:pPr>
            <w:r w:rsidRPr="001C2BBC">
              <w:rPr>
                <w:b/>
                <w:bCs/>
                <w:color w:val="000000"/>
                <w:sz w:val="20"/>
                <w:szCs w:val="20"/>
              </w:rPr>
              <w:t>Name</w:t>
            </w:r>
          </w:p>
        </w:tc>
        <w:tc>
          <w:tcPr>
            <w:tcW w:w="0" w:type="auto"/>
            <w:tcMar>
              <w:top w:w="0" w:type="dxa"/>
              <w:left w:w="0" w:type="dxa"/>
              <w:bottom w:w="0" w:type="dxa"/>
              <w:right w:w="0" w:type="dxa"/>
            </w:tcMar>
            <w:hideMark/>
          </w:tcPr>
          <w:p w14:paraId="794CA6FF"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0CAF8332" w14:textId="77777777" w:rsidR="0087113F" w:rsidRPr="001C2BBC" w:rsidRDefault="004837DC">
            <w:pPr>
              <w:pBdr>
                <w:bottom w:val="single" w:sz="12" w:space="0" w:color="000000"/>
              </w:pBdr>
              <w:jc w:val="center"/>
              <w:rPr>
                <w:color w:val="000000"/>
                <w:sz w:val="20"/>
                <w:szCs w:val="20"/>
              </w:rPr>
            </w:pPr>
            <w:r w:rsidRPr="001C2BBC">
              <w:rPr>
                <w:b/>
                <w:bCs/>
                <w:color w:val="000000"/>
                <w:sz w:val="20"/>
                <w:szCs w:val="20"/>
              </w:rPr>
              <w:t>Position</w:t>
            </w:r>
          </w:p>
        </w:tc>
        <w:tc>
          <w:tcPr>
            <w:tcW w:w="0" w:type="auto"/>
            <w:tcMar>
              <w:top w:w="0" w:type="dxa"/>
              <w:left w:w="0" w:type="dxa"/>
              <w:bottom w:w="0" w:type="dxa"/>
              <w:right w:w="0" w:type="dxa"/>
            </w:tcMar>
            <w:hideMark/>
          </w:tcPr>
          <w:p w14:paraId="4448C0B3"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36155AF6" w14:textId="77777777" w:rsidR="0087113F" w:rsidRPr="001C2BBC" w:rsidRDefault="004837DC">
            <w:pPr>
              <w:pBdr>
                <w:bottom w:val="single" w:sz="12" w:space="0" w:color="000000"/>
              </w:pBdr>
              <w:jc w:val="center"/>
              <w:rPr>
                <w:color w:val="000000"/>
                <w:sz w:val="20"/>
                <w:szCs w:val="20"/>
              </w:rPr>
            </w:pPr>
            <w:r w:rsidRPr="001C2BBC">
              <w:rPr>
                <w:b/>
                <w:bCs/>
                <w:color w:val="000000"/>
                <w:sz w:val="20"/>
                <w:szCs w:val="20"/>
              </w:rPr>
              <w:t>Date</w:t>
            </w:r>
          </w:p>
        </w:tc>
      </w:tr>
      <w:tr w:rsidR="00F63C23" w:rsidRPr="001C2BBC" w14:paraId="5CE9DBBB" w14:textId="77777777">
        <w:trPr>
          <w:cantSplit/>
        </w:trPr>
        <w:tc>
          <w:tcPr>
            <w:tcW w:w="0" w:type="auto"/>
            <w:tcMar>
              <w:top w:w="0" w:type="dxa"/>
              <w:left w:w="0" w:type="dxa"/>
              <w:bottom w:w="0" w:type="dxa"/>
              <w:right w:w="0" w:type="dxa"/>
            </w:tcMar>
            <w:hideMark/>
          </w:tcPr>
          <w:p w14:paraId="39EC1150"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3060EBA0"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113C307F"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4D1D23AB"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71EE456A" w14:textId="77777777" w:rsidR="0087113F" w:rsidRPr="001C2BBC" w:rsidRDefault="004837DC">
            <w:pPr>
              <w:rPr>
                <w:color w:val="000000"/>
                <w:sz w:val="20"/>
                <w:szCs w:val="20"/>
              </w:rPr>
            </w:pPr>
            <w:r w:rsidRPr="001C2BBC">
              <w:rPr>
                <w:color w:val="000000"/>
                <w:sz w:val="20"/>
                <w:szCs w:val="20"/>
              </w:rPr>
              <w:t> </w:t>
            </w:r>
          </w:p>
        </w:tc>
      </w:tr>
      <w:tr w:rsidR="00F63C23" w:rsidRPr="001C2BBC" w14:paraId="5E050780" w14:textId="77777777">
        <w:trPr>
          <w:cantSplit/>
        </w:trPr>
        <w:tc>
          <w:tcPr>
            <w:tcW w:w="0" w:type="auto"/>
            <w:tcBorders>
              <w:bottom w:val="single" w:sz="12" w:space="0" w:color="000000"/>
            </w:tcBorders>
            <w:tcMar>
              <w:top w:w="0" w:type="dxa"/>
              <w:left w:w="0" w:type="dxa"/>
              <w:bottom w:w="0" w:type="dxa"/>
              <w:right w:w="0" w:type="dxa"/>
            </w:tcMar>
            <w:hideMark/>
          </w:tcPr>
          <w:p w14:paraId="129F8840" w14:textId="77777777" w:rsidR="00771825" w:rsidRDefault="00771825">
            <w:pPr>
              <w:rPr>
                <w:i/>
                <w:iCs/>
                <w:color w:val="000000"/>
                <w:sz w:val="20"/>
                <w:szCs w:val="20"/>
              </w:rPr>
            </w:pPr>
          </w:p>
          <w:p w14:paraId="0D3AC7A2" w14:textId="77777777" w:rsidR="0087113F" w:rsidRPr="001C2BBC" w:rsidRDefault="004837DC">
            <w:pPr>
              <w:rPr>
                <w:color w:val="000000"/>
                <w:sz w:val="20"/>
                <w:szCs w:val="20"/>
              </w:rPr>
            </w:pPr>
            <w:r w:rsidRPr="001C2BBC">
              <w:rPr>
                <w:i/>
                <w:iCs/>
                <w:color w:val="000000"/>
                <w:sz w:val="20"/>
                <w:szCs w:val="20"/>
              </w:rPr>
              <w:t xml:space="preserve">/s/ </w:t>
            </w:r>
            <w:r w:rsidR="00F63C23" w:rsidRPr="001C2BBC">
              <w:rPr>
                <w:i/>
                <w:iCs/>
                <w:color w:val="000000"/>
                <w:sz w:val="20"/>
                <w:szCs w:val="20"/>
              </w:rPr>
              <w:t>David A. Dodd</w:t>
            </w:r>
          </w:p>
        </w:tc>
        <w:tc>
          <w:tcPr>
            <w:tcW w:w="0" w:type="auto"/>
            <w:tcMar>
              <w:top w:w="0" w:type="dxa"/>
              <w:left w:w="0" w:type="dxa"/>
              <w:bottom w:w="0" w:type="dxa"/>
              <w:right w:w="0" w:type="dxa"/>
            </w:tcMar>
            <w:vAlign w:val="center"/>
            <w:hideMark/>
          </w:tcPr>
          <w:p w14:paraId="2309572A"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38619A69" w14:textId="77777777" w:rsidR="00771825" w:rsidRDefault="00F63C23" w:rsidP="00F63C23">
            <w:pPr>
              <w:jc w:val="center"/>
              <w:rPr>
                <w:color w:val="000000"/>
                <w:sz w:val="20"/>
                <w:szCs w:val="20"/>
              </w:rPr>
            </w:pPr>
            <w:r w:rsidRPr="001C2BBC">
              <w:rPr>
                <w:color w:val="000000"/>
                <w:sz w:val="20"/>
                <w:szCs w:val="20"/>
              </w:rPr>
              <w:t>D</w:t>
            </w:r>
            <w:r w:rsidR="00771825">
              <w:rPr>
                <w:color w:val="000000"/>
                <w:sz w:val="20"/>
                <w:szCs w:val="20"/>
              </w:rPr>
              <w:t>irector</w:t>
            </w:r>
            <w:r w:rsidRPr="001C2BBC">
              <w:rPr>
                <w:color w:val="000000"/>
                <w:sz w:val="20"/>
                <w:szCs w:val="20"/>
              </w:rPr>
              <w:t xml:space="preserve"> </w:t>
            </w:r>
          </w:p>
          <w:p w14:paraId="136D71CF" w14:textId="77777777" w:rsidR="0087113F" w:rsidRPr="001C2BBC" w:rsidRDefault="00F63C23" w:rsidP="00F63C23">
            <w:pPr>
              <w:jc w:val="center"/>
              <w:rPr>
                <w:color w:val="000000"/>
                <w:sz w:val="20"/>
                <w:szCs w:val="20"/>
              </w:rPr>
            </w:pPr>
            <w:r w:rsidRPr="001C2BBC">
              <w:rPr>
                <w:color w:val="000000"/>
                <w:sz w:val="20"/>
                <w:szCs w:val="20"/>
              </w:rPr>
              <w:t xml:space="preserve">President and </w:t>
            </w:r>
            <w:r w:rsidR="004837DC" w:rsidRPr="001C2BBC">
              <w:rPr>
                <w:color w:val="000000"/>
                <w:sz w:val="20"/>
                <w:szCs w:val="20"/>
              </w:rPr>
              <w:t>Chief Executive Officer</w:t>
            </w:r>
          </w:p>
        </w:tc>
        <w:tc>
          <w:tcPr>
            <w:tcW w:w="0" w:type="auto"/>
            <w:tcMar>
              <w:top w:w="0" w:type="dxa"/>
              <w:left w:w="0" w:type="dxa"/>
              <w:bottom w:w="0" w:type="dxa"/>
              <w:right w:w="0" w:type="dxa"/>
            </w:tcMar>
            <w:vAlign w:val="center"/>
            <w:hideMark/>
          </w:tcPr>
          <w:p w14:paraId="68B3C67F"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53D2EE19" w14:textId="1F8653D7" w:rsidR="0087113F" w:rsidRPr="001C2BBC" w:rsidRDefault="00073CE1">
            <w:pPr>
              <w:jc w:val="center"/>
              <w:rPr>
                <w:color w:val="000000"/>
                <w:sz w:val="20"/>
                <w:szCs w:val="20"/>
              </w:rPr>
            </w:pPr>
            <w:r>
              <w:rPr>
                <w:sz w:val="20"/>
                <w:szCs w:val="20"/>
              </w:rPr>
              <w:t>June</w:t>
            </w:r>
            <w:r w:rsidR="002015FE">
              <w:rPr>
                <w:sz w:val="20"/>
                <w:szCs w:val="20"/>
              </w:rPr>
              <w:t xml:space="preserve"> </w:t>
            </w:r>
            <w:r w:rsidR="00874A1D">
              <w:rPr>
                <w:sz w:val="20"/>
                <w:szCs w:val="20"/>
              </w:rPr>
              <w:t>14</w:t>
            </w:r>
            <w:r w:rsidR="004837DC" w:rsidRPr="001C2BBC">
              <w:rPr>
                <w:color w:val="000000"/>
                <w:sz w:val="20"/>
                <w:szCs w:val="20"/>
              </w:rPr>
              <w:t>, 2022</w:t>
            </w:r>
          </w:p>
        </w:tc>
      </w:tr>
      <w:tr w:rsidR="00F63C23" w:rsidRPr="001C2BBC" w14:paraId="6C77EA6F" w14:textId="77777777">
        <w:trPr>
          <w:cantSplit/>
        </w:trPr>
        <w:tc>
          <w:tcPr>
            <w:tcW w:w="0" w:type="auto"/>
            <w:tcMar>
              <w:top w:w="0" w:type="dxa"/>
              <w:left w:w="0" w:type="dxa"/>
              <w:bottom w:w="0" w:type="dxa"/>
              <w:right w:w="0" w:type="dxa"/>
            </w:tcMar>
            <w:hideMark/>
          </w:tcPr>
          <w:p w14:paraId="01FDB237" w14:textId="77777777" w:rsidR="0087113F" w:rsidRPr="001C2BBC" w:rsidRDefault="00F63C23">
            <w:pPr>
              <w:rPr>
                <w:color w:val="000000"/>
                <w:sz w:val="20"/>
                <w:szCs w:val="20"/>
              </w:rPr>
            </w:pPr>
            <w:r w:rsidRPr="001C2BBC">
              <w:rPr>
                <w:color w:val="000000"/>
                <w:sz w:val="20"/>
                <w:szCs w:val="20"/>
              </w:rPr>
              <w:t>David A. Dodd</w:t>
            </w:r>
          </w:p>
        </w:tc>
        <w:tc>
          <w:tcPr>
            <w:tcW w:w="0" w:type="auto"/>
            <w:tcMar>
              <w:top w:w="0" w:type="dxa"/>
              <w:left w:w="0" w:type="dxa"/>
              <w:bottom w:w="0" w:type="dxa"/>
              <w:right w:w="0" w:type="dxa"/>
            </w:tcMar>
            <w:vAlign w:val="center"/>
            <w:hideMark/>
          </w:tcPr>
          <w:p w14:paraId="7CAA8CFE"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35EFE224" w14:textId="77777777" w:rsidR="0087113F" w:rsidRPr="001C2BBC" w:rsidRDefault="004837DC">
            <w:pPr>
              <w:jc w:val="center"/>
              <w:rPr>
                <w:color w:val="000000"/>
                <w:sz w:val="20"/>
                <w:szCs w:val="20"/>
              </w:rPr>
            </w:pPr>
            <w:r w:rsidRPr="001C2BBC">
              <w:rPr>
                <w:color w:val="000000"/>
                <w:sz w:val="20"/>
                <w:szCs w:val="20"/>
              </w:rPr>
              <w:t>(Principal Executive Officer)</w:t>
            </w:r>
          </w:p>
        </w:tc>
        <w:tc>
          <w:tcPr>
            <w:tcW w:w="0" w:type="auto"/>
            <w:tcMar>
              <w:top w:w="0" w:type="dxa"/>
              <w:left w:w="0" w:type="dxa"/>
              <w:bottom w:w="0" w:type="dxa"/>
              <w:right w:w="0" w:type="dxa"/>
            </w:tcMar>
            <w:vAlign w:val="center"/>
            <w:hideMark/>
          </w:tcPr>
          <w:p w14:paraId="4EC33ED7"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334EAE0D" w14:textId="77777777" w:rsidR="0087113F" w:rsidRPr="001C2BBC" w:rsidRDefault="004837DC">
            <w:pPr>
              <w:rPr>
                <w:color w:val="000000"/>
                <w:sz w:val="20"/>
                <w:szCs w:val="20"/>
              </w:rPr>
            </w:pPr>
            <w:r w:rsidRPr="001C2BBC">
              <w:rPr>
                <w:color w:val="000000"/>
                <w:sz w:val="20"/>
                <w:szCs w:val="20"/>
              </w:rPr>
              <w:t> </w:t>
            </w:r>
          </w:p>
        </w:tc>
      </w:tr>
      <w:tr w:rsidR="00F63C23" w:rsidRPr="001C2BBC" w14:paraId="0A597672" w14:textId="77777777">
        <w:trPr>
          <w:cantSplit/>
        </w:trPr>
        <w:tc>
          <w:tcPr>
            <w:tcW w:w="0" w:type="auto"/>
            <w:tcMar>
              <w:top w:w="0" w:type="dxa"/>
              <w:left w:w="0" w:type="dxa"/>
              <w:bottom w:w="0" w:type="dxa"/>
              <w:right w:w="0" w:type="dxa"/>
            </w:tcMar>
            <w:hideMark/>
          </w:tcPr>
          <w:p w14:paraId="4F6989A0"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1ED1AF25"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6D38E71F"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3B077172"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2797EC85" w14:textId="77777777" w:rsidR="0087113F" w:rsidRPr="001C2BBC" w:rsidRDefault="004837DC">
            <w:pPr>
              <w:rPr>
                <w:color w:val="000000"/>
                <w:sz w:val="20"/>
                <w:szCs w:val="20"/>
              </w:rPr>
            </w:pPr>
            <w:r w:rsidRPr="001C2BBC">
              <w:rPr>
                <w:color w:val="000000"/>
                <w:sz w:val="20"/>
                <w:szCs w:val="20"/>
              </w:rPr>
              <w:t> </w:t>
            </w:r>
          </w:p>
        </w:tc>
      </w:tr>
      <w:tr w:rsidR="00F63C23" w:rsidRPr="001C2BBC" w14:paraId="76E413E2" w14:textId="77777777">
        <w:trPr>
          <w:cantSplit/>
        </w:trPr>
        <w:tc>
          <w:tcPr>
            <w:tcW w:w="0" w:type="auto"/>
            <w:tcBorders>
              <w:bottom w:val="single" w:sz="12" w:space="0" w:color="000000"/>
            </w:tcBorders>
            <w:tcMar>
              <w:top w:w="0" w:type="dxa"/>
              <w:left w:w="0" w:type="dxa"/>
              <w:bottom w:w="0" w:type="dxa"/>
              <w:right w:w="0" w:type="dxa"/>
            </w:tcMar>
            <w:hideMark/>
          </w:tcPr>
          <w:p w14:paraId="2521BBDF" w14:textId="77777777" w:rsidR="0087113F" w:rsidRPr="001C2BBC" w:rsidRDefault="004837DC">
            <w:pPr>
              <w:rPr>
                <w:color w:val="000000"/>
                <w:sz w:val="20"/>
                <w:szCs w:val="20"/>
              </w:rPr>
            </w:pPr>
            <w:r w:rsidRPr="001C2BBC">
              <w:rPr>
                <w:i/>
                <w:iCs/>
                <w:color w:val="000000"/>
                <w:sz w:val="20"/>
                <w:szCs w:val="20"/>
              </w:rPr>
              <w:t xml:space="preserve">/s/ </w:t>
            </w:r>
            <w:r w:rsidR="00F63C23" w:rsidRPr="001C2BBC">
              <w:rPr>
                <w:i/>
                <w:iCs/>
                <w:color w:val="000000"/>
                <w:sz w:val="20"/>
                <w:szCs w:val="20"/>
              </w:rPr>
              <w:t>Mark W. Reynolds</w:t>
            </w:r>
          </w:p>
        </w:tc>
        <w:tc>
          <w:tcPr>
            <w:tcW w:w="0" w:type="auto"/>
            <w:tcMar>
              <w:top w:w="0" w:type="dxa"/>
              <w:left w:w="0" w:type="dxa"/>
              <w:bottom w:w="0" w:type="dxa"/>
              <w:right w:w="0" w:type="dxa"/>
            </w:tcMar>
            <w:vAlign w:val="center"/>
            <w:hideMark/>
          </w:tcPr>
          <w:p w14:paraId="1A31264B"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6A96BB46" w14:textId="77777777" w:rsidR="0087113F" w:rsidRPr="001C2BBC" w:rsidRDefault="004837DC">
            <w:pPr>
              <w:jc w:val="center"/>
              <w:rPr>
                <w:color w:val="000000"/>
                <w:sz w:val="20"/>
                <w:szCs w:val="20"/>
              </w:rPr>
            </w:pPr>
            <w:r w:rsidRPr="001C2BBC">
              <w:rPr>
                <w:color w:val="000000"/>
                <w:sz w:val="20"/>
                <w:szCs w:val="20"/>
              </w:rPr>
              <w:t>Chief Financial Officer</w:t>
            </w:r>
          </w:p>
        </w:tc>
        <w:tc>
          <w:tcPr>
            <w:tcW w:w="0" w:type="auto"/>
            <w:tcMar>
              <w:top w:w="0" w:type="dxa"/>
              <w:left w:w="0" w:type="dxa"/>
              <w:bottom w:w="0" w:type="dxa"/>
              <w:right w:w="0" w:type="dxa"/>
            </w:tcMar>
            <w:vAlign w:val="center"/>
            <w:hideMark/>
          </w:tcPr>
          <w:p w14:paraId="339B56D4"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695EDA28" w14:textId="7F4B25C2" w:rsidR="0087113F" w:rsidRPr="001C2BBC" w:rsidRDefault="00073CE1">
            <w:pPr>
              <w:jc w:val="center"/>
              <w:rPr>
                <w:color w:val="000000"/>
                <w:sz w:val="20"/>
                <w:szCs w:val="20"/>
              </w:rPr>
            </w:pPr>
            <w:r>
              <w:rPr>
                <w:sz w:val="20"/>
                <w:szCs w:val="20"/>
              </w:rPr>
              <w:t xml:space="preserve">June </w:t>
            </w:r>
            <w:r w:rsidR="00874A1D">
              <w:rPr>
                <w:sz w:val="20"/>
                <w:szCs w:val="20"/>
              </w:rPr>
              <w:t>14</w:t>
            </w:r>
            <w:r w:rsidRPr="001C2BBC">
              <w:rPr>
                <w:color w:val="000000"/>
                <w:sz w:val="20"/>
                <w:szCs w:val="20"/>
              </w:rPr>
              <w:t>, 2022</w:t>
            </w:r>
          </w:p>
        </w:tc>
      </w:tr>
      <w:tr w:rsidR="00F63C23" w:rsidRPr="001C2BBC" w14:paraId="3DCF4661" w14:textId="77777777">
        <w:trPr>
          <w:cantSplit/>
        </w:trPr>
        <w:tc>
          <w:tcPr>
            <w:tcW w:w="0" w:type="auto"/>
            <w:tcMar>
              <w:top w:w="0" w:type="dxa"/>
              <w:left w:w="0" w:type="dxa"/>
              <w:bottom w:w="0" w:type="dxa"/>
              <w:right w:w="0" w:type="dxa"/>
            </w:tcMar>
            <w:hideMark/>
          </w:tcPr>
          <w:p w14:paraId="26DBBFC3" w14:textId="77777777" w:rsidR="0087113F" w:rsidRPr="001C2BBC" w:rsidRDefault="00F63C23">
            <w:pPr>
              <w:rPr>
                <w:color w:val="000000"/>
                <w:sz w:val="20"/>
                <w:szCs w:val="20"/>
              </w:rPr>
            </w:pPr>
            <w:r w:rsidRPr="001C2BBC">
              <w:rPr>
                <w:color w:val="000000"/>
                <w:sz w:val="20"/>
                <w:szCs w:val="20"/>
              </w:rPr>
              <w:t>Mark W. Reynolds</w:t>
            </w:r>
          </w:p>
        </w:tc>
        <w:tc>
          <w:tcPr>
            <w:tcW w:w="0" w:type="auto"/>
            <w:tcMar>
              <w:top w:w="0" w:type="dxa"/>
              <w:left w:w="0" w:type="dxa"/>
              <w:bottom w:w="0" w:type="dxa"/>
              <w:right w:w="0" w:type="dxa"/>
            </w:tcMar>
            <w:vAlign w:val="center"/>
            <w:hideMark/>
          </w:tcPr>
          <w:p w14:paraId="57585CA7"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73E75113" w14:textId="77777777" w:rsidR="0087113F" w:rsidRPr="001C2BBC" w:rsidRDefault="004837DC">
            <w:pPr>
              <w:jc w:val="center"/>
              <w:rPr>
                <w:color w:val="000000"/>
                <w:sz w:val="20"/>
                <w:szCs w:val="20"/>
              </w:rPr>
            </w:pPr>
            <w:r w:rsidRPr="001C2BBC">
              <w:rPr>
                <w:color w:val="000000"/>
                <w:sz w:val="20"/>
                <w:szCs w:val="20"/>
              </w:rPr>
              <w:t>(Principal Financial and Accounting Officer)</w:t>
            </w:r>
          </w:p>
        </w:tc>
        <w:tc>
          <w:tcPr>
            <w:tcW w:w="0" w:type="auto"/>
            <w:tcMar>
              <w:top w:w="0" w:type="dxa"/>
              <w:left w:w="0" w:type="dxa"/>
              <w:bottom w:w="0" w:type="dxa"/>
              <w:right w:w="0" w:type="dxa"/>
            </w:tcMar>
            <w:vAlign w:val="center"/>
            <w:hideMark/>
          </w:tcPr>
          <w:p w14:paraId="0C1E4103"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7FB0D459" w14:textId="77777777" w:rsidR="0087113F" w:rsidRPr="001C2BBC" w:rsidRDefault="004837DC">
            <w:pPr>
              <w:rPr>
                <w:color w:val="000000"/>
                <w:sz w:val="20"/>
                <w:szCs w:val="20"/>
              </w:rPr>
            </w:pPr>
            <w:r w:rsidRPr="001C2BBC">
              <w:rPr>
                <w:color w:val="000000"/>
                <w:sz w:val="20"/>
                <w:szCs w:val="20"/>
              </w:rPr>
              <w:t> </w:t>
            </w:r>
          </w:p>
        </w:tc>
      </w:tr>
      <w:tr w:rsidR="00F63C23" w:rsidRPr="001C2BBC" w14:paraId="1FCDCBE4" w14:textId="77777777">
        <w:trPr>
          <w:cantSplit/>
        </w:trPr>
        <w:tc>
          <w:tcPr>
            <w:tcW w:w="0" w:type="auto"/>
            <w:tcMar>
              <w:top w:w="0" w:type="dxa"/>
              <w:left w:w="0" w:type="dxa"/>
              <w:bottom w:w="0" w:type="dxa"/>
              <w:right w:w="0" w:type="dxa"/>
            </w:tcMar>
            <w:hideMark/>
          </w:tcPr>
          <w:p w14:paraId="53CBCE61"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4CB94298"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7A3C9583"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0140A9B2"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28BAC2BE" w14:textId="77777777" w:rsidR="0087113F" w:rsidRPr="001C2BBC" w:rsidRDefault="004837DC">
            <w:pPr>
              <w:rPr>
                <w:color w:val="000000"/>
                <w:sz w:val="20"/>
                <w:szCs w:val="20"/>
              </w:rPr>
            </w:pPr>
            <w:r w:rsidRPr="001C2BBC">
              <w:rPr>
                <w:color w:val="000000"/>
                <w:sz w:val="20"/>
                <w:szCs w:val="20"/>
              </w:rPr>
              <w:t> </w:t>
            </w:r>
          </w:p>
        </w:tc>
      </w:tr>
      <w:tr w:rsidR="00F63C23" w:rsidRPr="001C2BBC" w14:paraId="68972AE7" w14:textId="77777777">
        <w:trPr>
          <w:cantSplit/>
        </w:trPr>
        <w:tc>
          <w:tcPr>
            <w:tcW w:w="0" w:type="auto"/>
            <w:tcBorders>
              <w:bottom w:val="single" w:sz="12" w:space="0" w:color="000000"/>
            </w:tcBorders>
            <w:tcMar>
              <w:top w:w="0" w:type="dxa"/>
              <w:left w:w="0" w:type="dxa"/>
              <w:bottom w:w="0" w:type="dxa"/>
              <w:right w:w="0" w:type="dxa"/>
            </w:tcMar>
            <w:hideMark/>
          </w:tcPr>
          <w:p w14:paraId="3513B924" w14:textId="77777777" w:rsidR="0087113F" w:rsidRPr="001C2BBC" w:rsidRDefault="004837DC">
            <w:pPr>
              <w:rPr>
                <w:color w:val="000000"/>
                <w:sz w:val="20"/>
                <w:szCs w:val="20"/>
              </w:rPr>
            </w:pPr>
            <w:r w:rsidRPr="001C2BBC">
              <w:rPr>
                <w:i/>
                <w:iCs/>
                <w:color w:val="000000"/>
                <w:sz w:val="20"/>
                <w:szCs w:val="20"/>
              </w:rPr>
              <w:t xml:space="preserve">/s/ </w:t>
            </w:r>
            <w:r w:rsidR="00F63C23" w:rsidRPr="001C2BBC">
              <w:rPr>
                <w:i/>
                <w:iCs/>
                <w:color w:val="000000"/>
                <w:sz w:val="20"/>
                <w:szCs w:val="20"/>
              </w:rPr>
              <w:t>Randal D. Chase</w:t>
            </w:r>
          </w:p>
        </w:tc>
        <w:tc>
          <w:tcPr>
            <w:tcW w:w="0" w:type="auto"/>
            <w:tcMar>
              <w:top w:w="0" w:type="dxa"/>
              <w:left w:w="0" w:type="dxa"/>
              <w:bottom w:w="0" w:type="dxa"/>
              <w:right w:w="0" w:type="dxa"/>
            </w:tcMar>
            <w:vAlign w:val="center"/>
            <w:hideMark/>
          </w:tcPr>
          <w:p w14:paraId="50B26AF6"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67BE4F7F" w14:textId="77777777" w:rsidR="0087113F" w:rsidRPr="001C2BBC" w:rsidRDefault="004837DC">
            <w:pPr>
              <w:jc w:val="center"/>
              <w:rPr>
                <w:color w:val="000000"/>
                <w:sz w:val="20"/>
                <w:szCs w:val="20"/>
              </w:rPr>
            </w:pPr>
            <w:r w:rsidRPr="001C2BBC">
              <w:rPr>
                <w:color w:val="000000"/>
                <w:sz w:val="20"/>
                <w:szCs w:val="20"/>
              </w:rPr>
              <w:t>Director</w:t>
            </w:r>
          </w:p>
        </w:tc>
        <w:tc>
          <w:tcPr>
            <w:tcW w:w="0" w:type="auto"/>
            <w:tcMar>
              <w:top w:w="0" w:type="dxa"/>
              <w:left w:w="0" w:type="dxa"/>
              <w:bottom w:w="0" w:type="dxa"/>
              <w:right w:w="0" w:type="dxa"/>
            </w:tcMar>
            <w:vAlign w:val="center"/>
            <w:hideMark/>
          </w:tcPr>
          <w:p w14:paraId="0AFCA17E"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18CC16E6" w14:textId="00F48EB3" w:rsidR="0087113F" w:rsidRPr="001C2BBC" w:rsidRDefault="00073CE1">
            <w:pPr>
              <w:jc w:val="center"/>
              <w:rPr>
                <w:color w:val="000000"/>
                <w:sz w:val="20"/>
                <w:szCs w:val="20"/>
              </w:rPr>
            </w:pPr>
            <w:r>
              <w:rPr>
                <w:sz w:val="20"/>
                <w:szCs w:val="20"/>
              </w:rPr>
              <w:t xml:space="preserve">June </w:t>
            </w:r>
            <w:r w:rsidR="00874A1D">
              <w:rPr>
                <w:sz w:val="20"/>
                <w:szCs w:val="20"/>
              </w:rPr>
              <w:t>14</w:t>
            </w:r>
            <w:r w:rsidRPr="001C2BBC">
              <w:rPr>
                <w:color w:val="000000"/>
                <w:sz w:val="20"/>
                <w:szCs w:val="20"/>
              </w:rPr>
              <w:t>, 2022</w:t>
            </w:r>
          </w:p>
        </w:tc>
      </w:tr>
      <w:tr w:rsidR="00F63C23" w:rsidRPr="001C2BBC" w14:paraId="6A1B4DE3" w14:textId="77777777">
        <w:trPr>
          <w:cantSplit/>
        </w:trPr>
        <w:tc>
          <w:tcPr>
            <w:tcW w:w="0" w:type="auto"/>
            <w:tcMar>
              <w:top w:w="0" w:type="dxa"/>
              <w:left w:w="0" w:type="dxa"/>
              <w:bottom w:w="0" w:type="dxa"/>
              <w:right w:w="0" w:type="dxa"/>
            </w:tcMar>
            <w:hideMark/>
          </w:tcPr>
          <w:p w14:paraId="0A55C659" w14:textId="77777777" w:rsidR="0087113F" w:rsidRPr="001C2BBC" w:rsidRDefault="00F63C23">
            <w:pPr>
              <w:rPr>
                <w:color w:val="000000"/>
                <w:sz w:val="20"/>
                <w:szCs w:val="20"/>
              </w:rPr>
            </w:pPr>
            <w:r w:rsidRPr="001C2BBC">
              <w:rPr>
                <w:color w:val="000000"/>
                <w:sz w:val="20"/>
                <w:szCs w:val="20"/>
              </w:rPr>
              <w:t>Randal D. Chase</w:t>
            </w:r>
          </w:p>
        </w:tc>
        <w:tc>
          <w:tcPr>
            <w:tcW w:w="0" w:type="auto"/>
            <w:tcMar>
              <w:top w:w="0" w:type="dxa"/>
              <w:left w:w="0" w:type="dxa"/>
              <w:bottom w:w="0" w:type="dxa"/>
              <w:right w:w="0" w:type="dxa"/>
            </w:tcMar>
            <w:vAlign w:val="center"/>
            <w:hideMark/>
          </w:tcPr>
          <w:p w14:paraId="17A7036D"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7D3B1DD2"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5FF40E74"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30DB5A13" w14:textId="77777777" w:rsidR="0087113F" w:rsidRPr="001C2BBC" w:rsidRDefault="004837DC">
            <w:pPr>
              <w:rPr>
                <w:color w:val="000000"/>
                <w:sz w:val="20"/>
                <w:szCs w:val="20"/>
              </w:rPr>
            </w:pPr>
            <w:r w:rsidRPr="001C2BBC">
              <w:rPr>
                <w:color w:val="000000"/>
                <w:sz w:val="20"/>
                <w:szCs w:val="20"/>
              </w:rPr>
              <w:t> </w:t>
            </w:r>
          </w:p>
        </w:tc>
      </w:tr>
      <w:tr w:rsidR="00F63C23" w:rsidRPr="001C2BBC" w14:paraId="65574FB0" w14:textId="77777777">
        <w:trPr>
          <w:cantSplit/>
        </w:trPr>
        <w:tc>
          <w:tcPr>
            <w:tcW w:w="0" w:type="auto"/>
            <w:tcMar>
              <w:top w:w="0" w:type="dxa"/>
              <w:left w:w="0" w:type="dxa"/>
              <w:bottom w:w="0" w:type="dxa"/>
              <w:right w:w="0" w:type="dxa"/>
            </w:tcMar>
            <w:hideMark/>
          </w:tcPr>
          <w:p w14:paraId="3487E624"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5C94C366"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52191577"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27596846"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2C020A71" w14:textId="77777777" w:rsidR="0087113F" w:rsidRPr="001C2BBC" w:rsidRDefault="004837DC">
            <w:pPr>
              <w:rPr>
                <w:color w:val="000000"/>
                <w:sz w:val="20"/>
                <w:szCs w:val="20"/>
              </w:rPr>
            </w:pPr>
            <w:r w:rsidRPr="001C2BBC">
              <w:rPr>
                <w:color w:val="000000"/>
                <w:sz w:val="20"/>
                <w:szCs w:val="20"/>
              </w:rPr>
              <w:t> </w:t>
            </w:r>
          </w:p>
        </w:tc>
      </w:tr>
      <w:tr w:rsidR="00F63C23" w:rsidRPr="001C2BBC" w14:paraId="4A3D4071" w14:textId="77777777">
        <w:trPr>
          <w:cantSplit/>
        </w:trPr>
        <w:tc>
          <w:tcPr>
            <w:tcW w:w="0" w:type="auto"/>
            <w:tcBorders>
              <w:bottom w:val="single" w:sz="12" w:space="0" w:color="000000"/>
            </w:tcBorders>
            <w:tcMar>
              <w:top w:w="0" w:type="dxa"/>
              <w:left w:w="0" w:type="dxa"/>
              <w:bottom w:w="0" w:type="dxa"/>
              <w:right w:w="0" w:type="dxa"/>
            </w:tcMar>
            <w:hideMark/>
          </w:tcPr>
          <w:p w14:paraId="61990D72" w14:textId="77777777" w:rsidR="0087113F" w:rsidRPr="001C2BBC" w:rsidRDefault="004837DC">
            <w:pPr>
              <w:rPr>
                <w:color w:val="000000"/>
                <w:sz w:val="20"/>
                <w:szCs w:val="20"/>
              </w:rPr>
            </w:pPr>
            <w:r w:rsidRPr="001C2BBC">
              <w:rPr>
                <w:i/>
                <w:iCs/>
                <w:color w:val="000000"/>
                <w:sz w:val="20"/>
                <w:szCs w:val="20"/>
              </w:rPr>
              <w:t xml:space="preserve">/s/ </w:t>
            </w:r>
            <w:r w:rsidR="00F63C23" w:rsidRPr="001C2BBC">
              <w:rPr>
                <w:i/>
                <w:iCs/>
                <w:color w:val="000000"/>
                <w:sz w:val="20"/>
                <w:szCs w:val="20"/>
              </w:rPr>
              <w:t>Dean G. Kollintzas</w:t>
            </w:r>
          </w:p>
        </w:tc>
        <w:tc>
          <w:tcPr>
            <w:tcW w:w="0" w:type="auto"/>
            <w:tcMar>
              <w:top w:w="0" w:type="dxa"/>
              <w:left w:w="0" w:type="dxa"/>
              <w:bottom w:w="0" w:type="dxa"/>
              <w:right w:w="0" w:type="dxa"/>
            </w:tcMar>
            <w:vAlign w:val="center"/>
            <w:hideMark/>
          </w:tcPr>
          <w:p w14:paraId="47A5A794"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391AB873" w14:textId="77777777" w:rsidR="0087113F" w:rsidRPr="001C2BBC" w:rsidRDefault="004837DC">
            <w:pPr>
              <w:jc w:val="center"/>
              <w:rPr>
                <w:color w:val="000000"/>
                <w:sz w:val="20"/>
                <w:szCs w:val="20"/>
              </w:rPr>
            </w:pPr>
            <w:r w:rsidRPr="001C2BBC">
              <w:rPr>
                <w:color w:val="000000"/>
                <w:sz w:val="20"/>
                <w:szCs w:val="20"/>
              </w:rPr>
              <w:t>Director</w:t>
            </w:r>
          </w:p>
        </w:tc>
        <w:tc>
          <w:tcPr>
            <w:tcW w:w="0" w:type="auto"/>
            <w:tcMar>
              <w:top w:w="0" w:type="dxa"/>
              <w:left w:w="0" w:type="dxa"/>
              <w:bottom w:w="0" w:type="dxa"/>
              <w:right w:w="0" w:type="dxa"/>
            </w:tcMar>
            <w:vAlign w:val="center"/>
            <w:hideMark/>
          </w:tcPr>
          <w:p w14:paraId="5122EBE4"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43C07B0B" w14:textId="41130906" w:rsidR="0087113F" w:rsidRPr="001C2BBC" w:rsidRDefault="00073CE1">
            <w:pPr>
              <w:jc w:val="center"/>
              <w:rPr>
                <w:color w:val="000000"/>
                <w:sz w:val="20"/>
                <w:szCs w:val="20"/>
              </w:rPr>
            </w:pPr>
            <w:r>
              <w:rPr>
                <w:sz w:val="20"/>
                <w:szCs w:val="20"/>
              </w:rPr>
              <w:t xml:space="preserve">June </w:t>
            </w:r>
            <w:r w:rsidR="00874A1D">
              <w:rPr>
                <w:sz w:val="20"/>
                <w:szCs w:val="20"/>
              </w:rPr>
              <w:t>14</w:t>
            </w:r>
            <w:r w:rsidRPr="001C2BBC">
              <w:rPr>
                <w:color w:val="000000"/>
                <w:sz w:val="20"/>
                <w:szCs w:val="20"/>
              </w:rPr>
              <w:t>, 2022</w:t>
            </w:r>
          </w:p>
        </w:tc>
      </w:tr>
      <w:tr w:rsidR="00F63C23" w:rsidRPr="001C2BBC" w14:paraId="7B14DF70" w14:textId="77777777">
        <w:trPr>
          <w:cantSplit/>
        </w:trPr>
        <w:tc>
          <w:tcPr>
            <w:tcW w:w="0" w:type="auto"/>
            <w:tcMar>
              <w:top w:w="0" w:type="dxa"/>
              <w:left w:w="0" w:type="dxa"/>
              <w:bottom w:w="0" w:type="dxa"/>
              <w:right w:w="0" w:type="dxa"/>
            </w:tcMar>
            <w:hideMark/>
          </w:tcPr>
          <w:p w14:paraId="2ADE1B06" w14:textId="77777777" w:rsidR="0087113F" w:rsidRPr="001C2BBC" w:rsidRDefault="00F63C23">
            <w:pPr>
              <w:rPr>
                <w:color w:val="000000"/>
                <w:sz w:val="20"/>
                <w:szCs w:val="20"/>
              </w:rPr>
            </w:pPr>
            <w:r w:rsidRPr="001C2BBC">
              <w:rPr>
                <w:color w:val="000000"/>
                <w:sz w:val="20"/>
                <w:szCs w:val="20"/>
              </w:rPr>
              <w:t>Dean G. Kollintzas</w:t>
            </w:r>
          </w:p>
        </w:tc>
        <w:tc>
          <w:tcPr>
            <w:tcW w:w="0" w:type="auto"/>
            <w:tcMar>
              <w:top w:w="0" w:type="dxa"/>
              <w:left w:w="0" w:type="dxa"/>
              <w:bottom w:w="0" w:type="dxa"/>
              <w:right w:w="0" w:type="dxa"/>
            </w:tcMar>
            <w:vAlign w:val="center"/>
            <w:hideMark/>
          </w:tcPr>
          <w:p w14:paraId="25BF8534"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3F65F56E"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4585591F"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27B8E423" w14:textId="77777777" w:rsidR="0087113F" w:rsidRPr="001C2BBC" w:rsidRDefault="004837DC">
            <w:pPr>
              <w:rPr>
                <w:color w:val="000000"/>
                <w:sz w:val="20"/>
                <w:szCs w:val="20"/>
              </w:rPr>
            </w:pPr>
            <w:r w:rsidRPr="001C2BBC">
              <w:rPr>
                <w:color w:val="000000"/>
                <w:sz w:val="20"/>
                <w:szCs w:val="20"/>
              </w:rPr>
              <w:t> </w:t>
            </w:r>
          </w:p>
        </w:tc>
      </w:tr>
      <w:tr w:rsidR="00F63C23" w:rsidRPr="001C2BBC" w14:paraId="259B0E66" w14:textId="77777777">
        <w:trPr>
          <w:cantSplit/>
        </w:trPr>
        <w:tc>
          <w:tcPr>
            <w:tcW w:w="0" w:type="auto"/>
            <w:tcMar>
              <w:top w:w="0" w:type="dxa"/>
              <w:left w:w="0" w:type="dxa"/>
              <w:bottom w:w="0" w:type="dxa"/>
              <w:right w:w="0" w:type="dxa"/>
            </w:tcMar>
            <w:hideMark/>
          </w:tcPr>
          <w:p w14:paraId="6ACCCBE3"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4DB6BB93"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7646D6D5"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16ACA0D1"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77A23A14" w14:textId="77777777" w:rsidR="0087113F" w:rsidRPr="001C2BBC" w:rsidRDefault="004837DC">
            <w:pPr>
              <w:rPr>
                <w:color w:val="000000"/>
                <w:sz w:val="20"/>
                <w:szCs w:val="20"/>
              </w:rPr>
            </w:pPr>
            <w:r w:rsidRPr="001C2BBC">
              <w:rPr>
                <w:color w:val="000000"/>
                <w:sz w:val="20"/>
                <w:szCs w:val="20"/>
              </w:rPr>
              <w:t> </w:t>
            </w:r>
          </w:p>
        </w:tc>
      </w:tr>
      <w:tr w:rsidR="00F63C23" w:rsidRPr="001C2BBC" w14:paraId="63FAFC71" w14:textId="77777777">
        <w:trPr>
          <w:cantSplit/>
        </w:trPr>
        <w:tc>
          <w:tcPr>
            <w:tcW w:w="0" w:type="auto"/>
            <w:tcBorders>
              <w:bottom w:val="single" w:sz="12" w:space="0" w:color="000000"/>
            </w:tcBorders>
            <w:tcMar>
              <w:top w:w="0" w:type="dxa"/>
              <w:left w:w="0" w:type="dxa"/>
              <w:bottom w:w="0" w:type="dxa"/>
              <w:right w:w="0" w:type="dxa"/>
            </w:tcMar>
            <w:hideMark/>
          </w:tcPr>
          <w:p w14:paraId="48841FB8" w14:textId="77777777" w:rsidR="0087113F" w:rsidRPr="001C2BBC" w:rsidRDefault="004837DC">
            <w:pPr>
              <w:rPr>
                <w:color w:val="000000"/>
                <w:sz w:val="20"/>
                <w:szCs w:val="20"/>
              </w:rPr>
            </w:pPr>
            <w:r w:rsidRPr="001C2BBC">
              <w:rPr>
                <w:i/>
                <w:iCs/>
                <w:color w:val="000000"/>
                <w:sz w:val="20"/>
                <w:szCs w:val="20"/>
              </w:rPr>
              <w:t xml:space="preserve">/s/ </w:t>
            </w:r>
            <w:r w:rsidR="00F63C23" w:rsidRPr="001C2BBC">
              <w:rPr>
                <w:i/>
                <w:iCs/>
                <w:color w:val="000000"/>
                <w:sz w:val="20"/>
                <w:szCs w:val="20"/>
              </w:rPr>
              <w:t>Robert T. McNally</w:t>
            </w:r>
          </w:p>
        </w:tc>
        <w:tc>
          <w:tcPr>
            <w:tcW w:w="0" w:type="auto"/>
            <w:tcMar>
              <w:top w:w="0" w:type="dxa"/>
              <w:left w:w="0" w:type="dxa"/>
              <w:bottom w:w="0" w:type="dxa"/>
              <w:right w:w="0" w:type="dxa"/>
            </w:tcMar>
            <w:vAlign w:val="center"/>
            <w:hideMark/>
          </w:tcPr>
          <w:p w14:paraId="0FC1A652"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13164E6A" w14:textId="77777777" w:rsidR="0087113F" w:rsidRPr="001C2BBC" w:rsidRDefault="004837DC">
            <w:pPr>
              <w:jc w:val="center"/>
              <w:rPr>
                <w:color w:val="000000"/>
                <w:sz w:val="20"/>
                <w:szCs w:val="20"/>
              </w:rPr>
            </w:pPr>
            <w:r w:rsidRPr="001C2BBC">
              <w:rPr>
                <w:color w:val="000000"/>
                <w:sz w:val="20"/>
                <w:szCs w:val="20"/>
              </w:rPr>
              <w:t>Director</w:t>
            </w:r>
          </w:p>
        </w:tc>
        <w:tc>
          <w:tcPr>
            <w:tcW w:w="0" w:type="auto"/>
            <w:tcMar>
              <w:top w:w="0" w:type="dxa"/>
              <w:left w:w="0" w:type="dxa"/>
              <w:bottom w:w="0" w:type="dxa"/>
              <w:right w:w="0" w:type="dxa"/>
            </w:tcMar>
            <w:vAlign w:val="center"/>
            <w:hideMark/>
          </w:tcPr>
          <w:p w14:paraId="59CAFBF1"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5B3038AC" w14:textId="124DF42A" w:rsidR="0087113F" w:rsidRPr="001C2BBC" w:rsidRDefault="00073CE1">
            <w:pPr>
              <w:jc w:val="center"/>
              <w:rPr>
                <w:color w:val="000000"/>
                <w:sz w:val="20"/>
                <w:szCs w:val="20"/>
              </w:rPr>
            </w:pPr>
            <w:r>
              <w:rPr>
                <w:sz w:val="20"/>
                <w:szCs w:val="20"/>
              </w:rPr>
              <w:t xml:space="preserve">June </w:t>
            </w:r>
            <w:r w:rsidR="00874A1D">
              <w:rPr>
                <w:sz w:val="20"/>
                <w:szCs w:val="20"/>
              </w:rPr>
              <w:t>14</w:t>
            </w:r>
            <w:r w:rsidRPr="001C2BBC">
              <w:rPr>
                <w:color w:val="000000"/>
                <w:sz w:val="20"/>
                <w:szCs w:val="20"/>
              </w:rPr>
              <w:t>, 2022</w:t>
            </w:r>
          </w:p>
        </w:tc>
      </w:tr>
      <w:tr w:rsidR="00F63C23" w:rsidRPr="001C2BBC" w14:paraId="71AD00D8" w14:textId="77777777">
        <w:trPr>
          <w:cantSplit/>
        </w:trPr>
        <w:tc>
          <w:tcPr>
            <w:tcW w:w="0" w:type="auto"/>
            <w:tcMar>
              <w:top w:w="0" w:type="dxa"/>
              <w:left w:w="0" w:type="dxa"/>
              <w:bottom w:w="0" w:type="dxa"/>
              <w:right w:w="0" w:type="dxa"/>
            </w:tcMar>
            <w:hideMark/>
          </w:tcPr>
          <w:p w14:paraId="2EB372B6" w14:textId="77777777" w:rsidR="0087113F" w:rsidRPr="001C2BBC" w:rsidRDefault="00F63C23">
            <w:pPr>
              <w:rPr>
                <w:color w:val="000000"/>
                <w:sz w:val="20"/>
                <w:szCs w:val="20"/>
              </w:rPr>
            </w:pPr>
            <w:r w:rsidRPr="001C2BBC">
              <w:rPr>
                <w:color w:val="000000"/>
                <w:sz w:val="20"/>
                <w:szCs w:val="20"/>
              </w:rPr>
              <w:t>Robert T. McNally</w:t>
            </w:r>
          </w:p>
        </w:tc>
        <w:tc>
          <w:tcPr>
            <w:tcW w:w="0" w:type="auto"/>
            <w:tcMar>
              <w:top w:w="0" w:type="dxa"/>
              <w:left w:w="0" w:type="dxa"/>
              <w:bottom w:w="0" w:type="dxa"/>
              <w:right w:w="0" w:type="dxa"/>
            </w:tcMar>
            <w:vAlign w:val="center"/>
            <w:hideMark/>
          </w:tcPr>
          <w:p w14:paraId="35448D07"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21E32860"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2290B4C2"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24732DB3" w14:textId="77777777" w:rsidR="0087113F" w:rsidRPr="001C2BBC" w:rsidRDefault="004837DC">
            <w:pPr>
              <w:rPr>
                <w:color w:val="000000"/>
                <w:sz w:val="20"/>
                <w:szCs w:val="20"/>
              </w:rPr>
            </w:pPr>
            <w:r w:rsidRPr="001C2BBC">
              <w:rPr>
                <w:color w:val="000000"/>
                <w:sz w:val="20"/>
                <w:szCs w:val="20"/>
              </w:rPr>
              <w:t> </w:t>
            </w:r>
          </w:p>
        </w:tc>
      </w:tr>
      <w:tr w:rsidR="00F63C23" w:rsidRPr="001C2BBC" w14:paraId="1F0587F3" w14:textId="77777777">
        <w:trPr>
          <w:cantSplit/>
        </w:trPr>
        <w:tc>
          <w:tcPr>
            <w:tcW w:w="0" w:type="auto"/>
            <w:tcMar>
              <w:top w:w="0" w:type="dxa"/>
              <w:left w:w="0" w:type="dxa"/>
              <w:bottom w:w="0" w:type="dxa"/>
              <w:right w:w="0" w:type="dxa"/>
            </w:tcMar>
            <w:hideMark/>
          </w:tcPr>
          <w:p w14:paraId="15064FFD"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2E375795"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1C27AB39"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38E0771C"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16463901" w14:textId="77777777" w:rsidR="0087113F" w:rsidRPr="001C2BBC" w:rsidRDefault="004837DC">
            <w:pPr>
              <w:rPr>
                <w:color w:val="000000"/>
                <w:sz w:val="20"/>
                <w:szCs w:val="20"/>
              </w:rPr>
            </w:pPr>
            <w:r w:rsidRPr="001C2BBC">
              <w:rPr>
                <w:color w:val="000000"/>
                <w:sz w:val="20"/>
                <w:szCs w:val="20"/>
              </w:rPr>
              <w:t> </w:t>
            </w:r>
          </w:p>
        </w:tc>
      </w:tr>
      <w:tr w:rsidR="00F63C23" w:rsidRPr="001C2BBC" w14:paraId="05AA9D09" w14:textId="77777777">
        <w:trPr>
          <w:cantSplit/>
        </w:trPr>
        <w:tc>
          <w:tcPr>
            <w:tcW w:w="0" w:type="auto"/>
            <w:tcBorders>
              <w:bottom w:val="single" w:sz="12" w:space="0" w:color="000000"/>
            </w:tcBorders>
            <w:tcMar>
              <w:top w:w="0" w:type="dxa"/>
              <w:left w:w="0" w:type="dxa"/>
              <w:bottom w:w="0" w:type="dxa"/>
              <w:right w:w="0" w:type="dxa"/>
            </w:tcMar>
            <w:hideMark/>
          </w:tcPr>
          <w:p w14:paraId="323D2BAD" w14:textId="77777777" w:rsidR="0087113F" w:rsidRPr="001C2BBC" w:rsidRDefault="004837DC">
            <w:pPr>
              <w:rPr>
                <w:color w:val="000000"/>
                <w:sz w:val="20"/>
                <w:szCs w:val="20"/>
              </w:rPr>
            </w:pPr>
            <w:r w:rsidRPr="001C2BBC">
              <w:rPr>
                <w:i/>
                <w:iCs/>
                <w:color w:val="000000"/>
                <w:sz w:val="20"/>
                <w:szCs w:val="20"/>
              </w:rPr>
              <w:t xml:space="preserve">/s/ </w:t>
            </w:r>
            <w:r w:rsidR="00F63C23" w:rsidRPr="001C2BBC">
              <w:rPr>
                <w:i/>
                <w:iCs/>
                <w:color w:val="000000"/>
                <w:sz w:val="20"/>
                <w:szCs w:val="20"/>
              </w:rPr>
              <w:t>John N. Spencer, Jr.</w:t>
            </w:r>
          </w:p>
        </w:tc>
        <w:tc>
          <w:tcPr>
            <w:tcW w:w="0" w:type="auto"/>
            <w:tcMar>
              <w:top w:w="0" w:type="dxa"/>
              <w:left w:w="0" w:type="dxa"/>
              <w:bottom w:w="0" w:type="dxa"/>
              <w:right w:w="0" w:type="dxa"/>
            </w:tcMar>
            <w:vAlign w:val="center"/>
            <w:hideMark/>
          </w:tcPr>
          <w:p w14:paraId="6FC160BD"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68A92B25" w14:textId="77777777" w:rsidR="0087113F" w:rsidRPr="001C2BBC" w:rsidRDefault="004837DC">
            <w:pPr>
              <w:jc w:val="center"/>
              <w:rPr>
                <w:color w:val="000000"/>
                <w:sz w:val="20"/>
                <w:szCs w:val="20"/>
              </w:rPr>
            </w:pPr>
            <w:r w:rsidRPr="001C2BBC">
              <w:rPr>
                <w:color w:val="000000"/>
                <w:sz w:val="20"/>
                <w:szCs w:val="20"/>
              </w:rPr>
              <w:t>Director</w:t>
            </w:r>
          </w:p>
        </w:tc>
        <w:tc>
          <w:tcPr>
            <w:tcW w:w="0" w:type="auto"/>
            <w:tcMar>
              <w:top w:w="0" w:type="dxa"/>
              <w:left w:w="0" w:type="dxa"/>
              <w:bottom w:w="0" w:type="dxa"/>
              <w:right w:w="0" w:type="dxa"/>
            </w:tcMar>
            <w:vAlign w:val="center"/>
            <w:hideMark/>
          </w:tcPr>
          <w:p w14:paraId="3CE90747"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52C90AA7" w14:textId="539CAB0D" w:rsidR="0087113F" w:rsidRPr="001C2BBC" w:rsidRDefault="00073CE1">
            <w:pPr>
              <w:jc w:val="center"/>
              <w:rPr>
                <w:color w:val="000000"/>
                <w:sz w:val="20"/>
                <w:szCs w:val="20"/>
              </w:rPr>
            </w:pPr>
            <w:r>
              <w:rPr>
                <w:sz w:val="20"/>
                <w:szCs w:val="20"/>
              </w:rPr>
              <w:t xml:space="preserve">June </w:t>
            </w:r>
            <w:r w:rsidR="00874A1D">
              <w:rPr>
                <w:sz w:val="20"/>
                <w:szCs w:val="20"/>
              </w:rPr>
              <w:t>14</w:t>
            </w:r>
            <w:r w:rsidRPr="001C2BBC">
              <w:rPr>
                <w:color w:val="000000"/>
                <w:sz w:val="20"/>
                <w:szCs w:val="20"/>
              </w:rPr>
              <w:t>, 2022</w:t>
            </w:r>
          </w:p>
        </w:tc>
      </w:tr>
      <w:tr w:rsidR="00F63C23" w:rsidRPr="003147F5" w14:paraId="5F0B6DD2" w14:textId="77777777">
        <w:trPr>
          <w:cantSplit/>
        </w:trPr>
        <w:tc>
          <w:tcPr>
            <w:tcW w:w="0" w:type="auto"/>
            <w:tcMar>
              <w:top w:w="0" w:type="dxa"/>
              <w:left w:w="0" w:type="dxa"/>
              <w:bottom w:w="0" w:type="dxa"/>
              <w:right w:w="0" w:type="dxa"/>
            </w:tcMar>
            <w:hideMark/>
          </w:tcPr>
          <w:p w14:paraId="7D57191D" w14:textId="77777777" w:rsidR="0087113F" w:rsidRPr="001C2BBC" w:rsidRDefault="00F63C23">
            <w:pPr>
              <w:rPr>
                <w:color w:val="000000"/>
                <w:sz w:val="20"/>
                <w:szCs w:val="20"/>
              </w:rPr>
            </w:pPr>
            <w:r w:rsidRPr="001C2BBC">
              <w:rPr>
                <w:color w:val="000000"/>
                <w:sz w:val="20"/>
                <w:szCs w:val="20"/>
              </w:rPr>
              <w:t>John N. Spencer, Jr.</w:t>
            </w:r>
          </w:p>
        </w:tc>
        <w:tc>
          <w:tcPr>
            <w:tcW w:w="0" w:type="auto"/>
            <w:tcMar>
              <w:top w:w="0" w:type="dxa"/>
              <w:left w:w="0" w:type="dxa"/>
              <w:bottom w:w="0" w:type="dxa"/>
              <w:right w:w="0" w:type="dxa"/>
            </w:tcMar>
            <w:vAlign w:val="center"/>
            <w:hideMark/>
          </w:tcPr>
          <w:p w14:paraId="116B6C3E"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hideMark/>
          </w:tcPr>
          <w:p w14:paraId="61243FFE"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46B7D953" w14:textId="77777777" w:rsidR="0087113F" w:rsidRPr="001C2BBC" w:rsidRDefault="004837DC">
            <w:pPr>
              <w:rPr>
                <w:color w:val="000000"/>
                <w:sz w:val="20"/>
                <w:szCs w:val="20"/>
              </w:rPr>
            </w:pPr>
            <w:r w:rsidRPr="001C2BBC">
              <w:rPr>
                <w:color w:val="000000"/>
                <w:sz w:val="20"/>
                <w:szCs w:val="20"/>
              </w:rPr>
              <w:t> </w:t>
            </w:r>
          </w:p>
        </w:tc>
        <w:tc>
          <w:tcPr>
            <w:tcW w:w="0" w:type="auto"/>
            <w:tcMar>
              <w:top w:w="0" w:type="dxa"/>
              <w:left w:w="0" w:type="dxa"/>
              <w:bottom w:w="0" w:type="dxa"/>
              <w:right w:w="0" w:type="dxa"/>
            </w:tcMar>
            <w:vAlign w:val="center"/>
            <w:hideMark/>
          </w:tcPr>
          <w:p w14:paraId="16192E21" w14:textId="77777777" w:rsidR="0087113F" w:rsidRPr="001C2BBC" w:rsidRDefault="004837DC">
            <w:pPr>
              <w:rPr>
                <w:color w:val="000000"/>
                <w:sz w:val="20"/>
                <w:szCs w:val="20"/>
              </w:rPr>
            </w:pPr>
            <w:r w:rsidRPr="001C2BBC">
              <w:rPr>
                <w:color w:val="000000"/>
                <w:sz w:val="20"/>
                <w:szCs w:val="20"/>
              </w:rPr>
              <w:t> </w:t>
            </w:r>
          </w:p>
        </w:tc>
      </w:tr>
    </w:tbl>
    <w:p w14:paraId="5480F637" w14:textId="77777777" w:rsidR="0087113F" w:rsidRPr="001C2BBC" w:rsidRDefault="004837DC">
      <w:pPr>
        <w:rPr>
          <w:sz w:val="20"/>
          <w:szCs w:val="20"/>
        </w:rPr>
      </w:pPr>
      <w:r w:rsidRPr="001C2BBC">
        <w:rPr>
          <w:sz w:val="20"/>
          <w:szCs w:val="20"/>
        </w:rPr>
        <w:t> </w:t>
      </w:r>
    </w:p>
    <w:sectPr w:rsidR="0087113F" w:rsidRPr="001C2BBC" w:rsidSect="001C2BBC">
      <w:footerReference w:type="default" r:id="rId7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4DCD0" w14:textId="77777777" w:rsidR="00B73E97" w:rsidRDefault="00B73E97" w:rsidP="004837DC">
      <w:r>
        <w:separator/>
      </w:r>
    </w:p>
  </w:endnote>
  <w:endnote w:type="continuationSeparator" w:id="0">
    <w:p w14:paraId="3FA3F671" w14:textId="77777777" w:rsidR="00B73E97" w:rsidRDefault="00B73E97" w:rsidP="0048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 w:name="Times">
    <w:panose1 w:val="020206030504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vantGarde Bk BT">
    <w:altName w:val="Century Gothic"/>
    <w:charset w:val="00"/>
    <w:family w:val="swiss"/>
    <w:pitch w:val="variable"/>
    <w:sig w:usb0="00000001" w:usb1="00000000" w:usb2="00000000" w:usb3="00000000" w:csb0="0000001B" w:csb1="00000000"/>
  </w:font>
  <w:font w:name="????">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0718" w14:textId="77777777" w:rsidR="0091389D" w:rsidRDefault="0091389D">
    <w:pPr>
      <w:pStyle w:val="Footer"/>
      <w:jc w:val="center"/>
    </w:pPr>
  </w:p>
  <w:p w14:paraId="336DE7C1" w14:textId="77777777" w:rsidR="0091389D" w:rsidRDefault="0091389D" w:rsidP="00A0138F">
    <w:pPr>
      <w:pStyle w:val="Footer"/>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295124"/>
      <w:docPartObj>
        <w:docPartGallery w:val="Page Numbers (Bottom of Page)"/>
        <w:docPartUnique/>
      </w:docPartObj>
    </w:sdtPr>
    <w:sdtEndPr>
      <w:rPr>
        <w:noProof/>
      </w:rPr>
    </w:sdtEndPr>
    <w:sdtContent>
      <w:p w14:paraId="710F3045" w14:textId="6E126D02" w:rsidR="0091389D" w:rsidRDefault="0091389D">
        <w:pPr>
          <w:pStyle w:val="Footer"/>
          <w:jc w:val="center"/>
        </w:pPr>
        <w:r>
          <w:t>F-</w:t>
        </w:r>
        <w:r>
          <w:fldChar w:fldCharType="begin"/>
        </w:r>
        <w:r>
          <w:instrText xml:space="preserve"> PAGE   \* MERGEFORMAT </w:instrText>
        </w:r>
        <w:r>
          <w:fldChar w:fldCharType="separate"/>
        </w:r>
        <w:r w:rsidR="005B1C7A">
          <w:rPr>
            <w:noProof/>
          </w:rPr>
          <w:t>24</w:t>
        </w:r>
        <w:r>
          <w:rPr>
            <w:noProof/>
          </w:rPr>
          <w:fldChar w:fldCharType="end"/>
        </w:r>
      </w:p>
    </w:sdtContent>
  </w:sdt>
  <w:p w14:paraId="6EBBBA87" w14:textId="77777777" w:rsidR="0091389D" w:rsidRDefault="0091389D" w:rsidP="00A0138F">
    <w:pPr>
      <w:pStyle w:val="Footer"/>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D8195" w14:textId="77777777" w:rsidR="0091389D" w:rsidRDefault="0091389D" w:rsidP="00A0138F">
    <w:pPr>
      <w:pStyle w:val="Footer"/>
      <w:jc w:val="cen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597260"/>
      <w:docPartObj>
        <w:docPartGallery w:val="Page Numbers (Bottom of Page)"/>
        <w:docPartUnique/>
      </w:docPartObj>
    </w:sdtPr>
    <w:sdtEndPr>
      <w:rPr>
        <w:noProof/>
      </w:rPr>
    </w:sdtEndPr>
    <w:sdtContent>
      <w:p w14:paraId="22B27665" w14:textId="1E125BBC" w:rsidR="0091389D" w:rsidRDefault="0091389D">
        <w:pPr>
          <w:pStyle w:val="Footer"/>
          <w:jc w:val="center"/>
        </w:pPr>
        <w:r>
          <w:t>II-</w:t>
        </w:r>
        <w:r>
          <w:fldChar w:fldCharType="begin"/>
        </w:r>
        <w:r>
          <w:instrText xml:space="preserve"> PAGE   \* MERGEFORMAT </w:instrText>
        </w:r>
        <w:r>
          <w:fldChar w:fldCharType="separate"/>
        </w:r>
        <w:r w:rsidR="005B1C7A">
          <w:rPr>
            <w:noProof/>
          </w:rPr>
          <w:t>6</w:t>
        </w:r>
        <w:r>
          <w:rPr>
            <w:noProof/>
          </w:rPr>
          <w:fldChar w:fldCharType="end"/>
        </w:r>
      </w:p>
    </w:sdtContent>
  </w:sdt>
  <w:p w14:paraId="3374D570" w14:textId="77777777" w:rsidR="0091389D" w:rsidRDefault="0091389D" w:rsidP="00A0138F">
    <w:pPr>
      <w:pStyle w:val="Footer"/>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013660"/>
      <w:docPartObj>
        <w:docPartGallery w:val="Page Numbers (Bottom of Page)"/>
        <w:docPartUnique/>
      </w:docPartObj>
    </w:sdtPr>
    <w:sdtEndPr>
      <w:rPr>
        <w:noProof/>
      </w:rPr>
    </w:sdtEndPr>
    <w:sdtContent>
      <w:p w14:paraId="6AAE6916" w14:textId="0D5AA981" w:rsidR="0091389D" w:rsidRDefault="0091389D">
        <w:pPr>
          <w:pStyle w:val="Footer"/>
          <w:jc w:val="center"/>
        </w:pPr>
        <w:r>
          <w:t>II-</w:t>
        </w:r>
        <w:r>
          <w:fldChar w:fldCharType="begin"/>
        </w:r>
        <w:r>
          <w:instrText xml:space="preserve"> PAGE   \* MERGEFORMAT </w:instrText>
        </w:r>
        <w:r>
          <w:fldChar w:fldCharType="separate"/>
        </w:r>
        <w:r w:rsidR="005B1C7A">
          <w:rPr>
            <w:noProof/>
          </w:rPr>
          <w:t>9</w:t>
        </w:r>
        <w:r>
          <w:rPr>
            <w:noProof/>
          </w:rPr>
          <w:fldChar w:fldCharType="end"/>
        </w:r>
      </w:p>
    </w:sdtContent>
  </w:sdt>
  <w:p w14:paraId="40027278" w14:textId="77777777" w:rsidR="0091389D" w:rsidRDefault="0091389D" w:rsidP="00A0138F">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A89F" w14:textId="77777777" w:rsidR="0091389D" w:rsidRDefault="0091389D">
    <w:pPr>
      <w:pStyle w:val="Footer"/>
      <w:jc w:val="center"/>
    </w:pPr>
  </w:p>
  <w:p w14:paraId="56498E43" w14:textId="77777777" w:rsidR="0091389D" w:rsidRDefault="009138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4691354"/>
      <w:docPartObj>
        <w:docPartGallery w:val="Page Numbers (Bottom of Page)"/>
        <w:docPartUnique/>
      </w:docPartObj>
    </w:sdtPr>
    <w:sdtEndPr>
      <w:rPr>
        <w:noProof/>
      </w:rPr>
    </w:sdtEndPr>
    <w:sdtContent>
      <w:p w14:paraId="12F8DAB4" w14:textId="18A79440" w:rsidR="0091389D" w:rsidRDefault="0091389D">
        <w:pPr>
          <w:pStyle w:val="Footer"/>
          <w:jc w:val="center"/>
        </w:pPr>
        <w:r>
          <w:fldChar w:fldCharType="begin"/>
        </w:r>
        <w:r>
          <w:instrText xml:space="preserve"> PAGE   \* MERGEFORMAT </w:instrText>
        </w:r>
        <w:r>
          <w:fldChar w:fldCharType="separate"/>
        </w:r>
        <w:r w:rsidR="005B1C7A">
          <w:rPr>
            <w:noProof/>
          </w:rPr>
          <w:t>i</w:t>
        </w:r>
        <w:r>
          <w:rPr>
            <w:noProof/>
          </w:rPr>
          <w:fldChar w:fldCharType="end"/>
        </w:r>
      </w:p>
    </w:sdtContent>
  </w:sdt>
  <w:p w14:paraId="6FEAF6B1" w14:textId="77777777" w:rsidR="0091389D" w:rsidRDefault="009138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13788"/>
      <w:docPartObj>
        <w:docPartGallery w:val="Page Numbers (Bottom of Page)"/>
        <w:docPartUnique/>
      </w:docPartObj>
    </w:sdtPr>
    <w:sdtEndPr>
      <w:rPr>
        <w:noProof/>
      </w:rPr>
    </w:sdtEndPr>
    <w:sdtContent>
      <w:p w14:paraId="34E0F869" w14:textId="441A0474" w:rsidR="0091389D" w:rsidRDefault="0091389D">
        <w:pPr>
          <w:pStyle w:val="Footer"/>
          <w:jc w:val="center"/>
        </w:pPr>
        <w:r>
          <w:fldChar w:fldCharType="begin"/>
        </w:r>
        <w:r>
          <w:instrText xml:space="preserve"> PAGE   \* MERGEFORMAT </w:instrText>
        </w:r>
        <w:r>
          <w:fldChar w:fldCharType="separate"/>
        </w:r>
        <w:r w:rsidR="005B1C7A">
          <w:rPr>
            <w:noProof/>
          </w:rPr>
          <w:t>ii</w:t>
        </w:r>
        <w:r>
          <w:rPr>
            <w:noProof/>
          </w:rPr>
          <w:fldChar w:fldCharType="end"/>
        </w:r>
      </w:p>
    </w:sdtContent>
  </w:sdt>
  <w:p w14:paraId="35A6A66B" w14:textId="77777777" w:rsidR="0091389D" w:rsidRDefault="0091389D" w:rsidP="00A0138F">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52586"/>
      <w:docPartObj>
        <w:docPartGallery w:val="Page Numbers (Bottom of Page)"/>
        <w:docPartUnique/>
      </w:docPartObj>
    </w:sdtPr>
    <w:sdtEndPr>
      <w:rPr>
        <w:noProof/>
      </w:rPr>
    </w:sdtEndPr>
    <w:sdtContent>
      <w:p w14:paraId="3D73C52A" w14:textId="77777777" w:rsidR="0091389D" w:rsidRDefault="0091389D">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1D5FB1C1" w14:textId="77777777" w:rsidR="0091389D" w:rsidRDefault="0091389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047986"/>
      <w:docPartObj>
        <w:docPartGallery w:val="Page Numbers (Bottom of Page)"/>
        <w:docPartUnique/>
      </w:docPartObj>
    </w:sdtPr>
    <w:sdtEndPr>
      <w:rPr>
        <w:noProof/>
      </w:rPr>
    </w:sdtEndPr>
    <w:sdtContent>
      <w:p w14:paraId="6D1DFDD8" w14:textId="77777777" w:rsidR="0091389D" w:rsidRDefault="0091389D">
        <w:pPr>
          <w:pStyle w:val="Footer"/>
          <w:jc w:val="center"/>
        </w:pPr>
        <w:r>
          <w:fldChar w:fldCharType="begin"/>
        </w:r>
        <w:r>
          <w:instrText xml:space="preserve"> PAGE   \* MERGEFORMAT </w:instrText>
        </w:r>
        <w:r>
          <w:fldChar w:fldCharType="separate"/>
        </w:r>
        <w:r>
          <w:rPr>
            <w:noProof/>
          </w:rPr>
          <w:t>0</w:t>
        </w:r>
        <w:r>
          <w:rPr>
            <w:noProof/>
          </w:rPr>
          <w:fldChar w:fldCharType="end"/>
        </w:r>
      </w:p>
    </w:sdtContent>
  </w:sdt>
  <w:p w14:paraId="32A02667" w14:textId="77777777" w:rsidR="0091389D" w:rsidRDefault="0091389D" w:rsidP="00A0138F">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6097432"/>
      <w:docPartObj>
        <w:docPartGallery w:val="Page Numbers (Bottom of Page)"/>
        <w:docPartUnique/>
      </w:docPartObj>
    </w:sdtPr>
    <w:sdtEndPr>
      <w:rPr>
        <w:noProof/>
      </w:rPr>
    </w:sdtEndPr>
    <w:sdtContent>
      <w:p w14:paraId="7DCE0755" w14:textId="571A7E4E" w:rsidR="0091389D" w:rsidRDefault="0091389D">
        <w:pPr>
          <w:pStyle w:val="Footer"/>
          <w:jc w:val="center"/>
        </w:pPr>
        <w:r>
          <w:fldChar w:fldCharType="begin"/>
        </w:r>
        <w:r>
          <w:instrText xml:space="preserve"> PAGE   \* MERGEFORMAT </w:instrText>
        </w:r>
        <w:r>
          <w:fldChar w:fldCharType="separate"/>
        </w:r>
        <w:r w:rsidR="005B1C7A">
          <w:rPr>
            <w:noProof/>
          </w:rPr>
          <w:t>4</w:t>
        </w:r>
        <w:r>
          <w:rPr>
            <w:noProof/>
          </w:rPr>
          <w:fldChar w:fldCharType="end"/>
        </w:r>
      </w:p>
    </w:sdtContent>
  </w:sdt>
  <w:p w14:paraId="63FC51D2" w14:textId="77777777" w:rsidR="0091389D" w:rsidRDefault="0091389D" w:rsidP="00A0138F">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1627437"/>
      <w:docPartObj>
        <w:docPartGallery w:val="Page Numbers (Bottom of Page)"/>
        <w:docPartUnique/>
      </w:docPartObj>
    </w:sdtPr>
    <w:sdtEndPr>
      <w:rPr>
        <w:noProof/>
      </w:rPr>
    </w:sdtEndPr>
    <w:sdtContent>
      <w:p w14:paraId="48904C05" w14:textId="75BB710E" w:rsidR="0091389D" w:rsidRDefault="0091389D">
        <w:pPr>
          <w:pStyle w:val="Footer"/>
          <w:jc w:val="center"/>
        </w:pPr>
        <w:r>
          <w:fldChar w:fldCharType="begin"/>
        </w:r>
        <w:r>
          <w:instrText xml:space="preserve"> PAGE   \* MERGEFORMAT </w:instrText>
        </w:r>
        <w:r>
          <w:fldChar w:fldCharType="separate"/>
        </w:r>
        <w:r w:rsidR="005B1C7A">
          <w:rPr>
            <w:noProof/>
          </w:rPr>
          <w:t>14</w:t>
        </w:r>
        <w:r>
          <w:rPr>
            <w:noProof/>
          </w:rPr>
          <w:fldChar w:fldCharType="end"/>
        </w:r>
      </w:p>
    </w:sdtContent>
  </w:sdt>
  <w:p w14:paraId="62C13042" w14:textId="77777777" w:rsidR="0091389D" w:rsidRDefault="0091389D" w:rsidP="00A0138F">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031774"/>
      <w:docPartObj>
        <w:docPartGallery w:val="Page Numbers (Bottom of Page)"/>
        <w:docPartUnique/>
      </w:docPartObj>
    </w:sdtPr>
    <w:sdtEndPr>
      <w:rPr>
        <w:noProof/>
      </w:rPr>
    </w:sdtEndPr>
    <w:sdtContent>
      <w:p w14:paraId="50AEEDA7" w14:textId="2C533B1D" w:rsidR="0091389D" w:rsidRDefault="0091389D">
        <w:pPr>
          <w:pStyle w:val="Footer"/>
          <w:jc w:val="center"/>
        </w:pPr>
        <w:r>
          <w:t>F-</w:t>
        </w:r>
        <w:r>
          <w:fldChar w:fldCharType="begin"/>
        </w:r>
        <w:r>
          <w:instrText xml:space="preserve"> PAGE   \* MERGEFORMAT </w:instrText>
        </w:r>
        <w:r>
          <w:fldChar w:fldCharType="separate"/>
        </w:r>
        <w:r w:rsidR="005B1C7A">
          <w:rPr>
            <w:noProof/>
          </w:rPr>
          <w:t>1</w:t>
        </w:r>
        <w:r>
          <w:rPr>
            <w:noProof/>
          </w:rPr>
          <w:fldChar w:fldCharType="end"/>
        </w:r>
      </w:p>
    </w:sdtContent>
  </w:sdt>
  <w:p w14:paraId="61DFF948" w14:textId="77777777" w:rsidR="0091389D" w:rsidRDefault="0091389D" w:rsidP="00A013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FE273" w14:textId="77777777" w:rsidR="00B73E97" w:rsidRDefault="00B73E97" w:rsidP="004837DC">
      <w:r>
        <w:separator/>
      </w:r>
    </w:p>
  </w:footnote>
  <w:footnote w:type="continuationSeparator" w:id="0">
    <w:p w14:paraId="3111063B" w14:textId="77777777" w:rsidR="00B73E97" w:rsidRDefault="00B73E97" w:rsidP="0048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23DA8" w14:textId="77777777" w:rsidR="0091389D" w:rsidRPr="004837DC" w:rsidRDefault="0091389D" w:rsidP="004837DC">
    <w:pPr>
      <w:pStyle w:val="Header"/>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5AC30" w14:textId="77777777" w:rsidR="0091389D" w:rsidRDefault="009138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6CC7" w14:textId="77777777" w:rsidR="0091389D" w:rsidRDefault="009138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0"/>
    <w:lvl w:ilvl="0">
      <w:start w:val="1"/>
      <w:numFmt w:val="decimal"/>
      <w:pStyle w:val="Level1"/>
      <w:lvlText w:val="(%1)"/>
      <w:lvlJc w:val="left"/>
      <w:pPr>
        <w:tabs>
          <w:tab w:val="num" w:pos="720"/>
        </w:tabs>
        <w:ind w:left="720" w:hanging="720"/>
      </w:pPr>
      <w:rPr>
        <w:rFonts w:ascii="CG Times" w:hAnsi="CG Times"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BE333AB"/>
    <w:multiLevelType w:val="hybridMultilevel"/>
    <w:tmpl w:val="C8D8A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7A22EB"/>
    <w:multiLevelType w:val="hybridMultilevel"/>
    <w:tmpl w:val="AEC40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A22DE8"/>
    <w:multiLevelType w:val="hybridMultilevel"/>
    <w:tmpl w:val="913053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A76F73"/>
    <w:multiLevelType w:val="hybridMultilevel"/>
    <w:tmpl w:val="A24A6BF2"/>
    <w:lvl w:ilvl="0" w:tplc="A82662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D056B7"/>
    <w:multiLevelType w:val="hybridMultilevel"/>
    <w:tmpl w:val="F9720C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540036"/>
    <w:multiLevelType w:val="hybridMultilevel"/>
    <w:tmpl w:val="82A475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5422EC"/>
    <w:multiLevelType w:val="hybridMultilevel"/>
    <w:tmpl w:val="FC3C2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76D64"/>
    <w:multiLevelType w:val="hybridMultilevel"/>
    <w:tmpl w:val="801659CC"/>
    <w:lvl w:ilvl="0" w:tplc="2AAE9F6C">
      <w:start w:val="1"/>
      <w:numFmt w:val="decimal"/>
      <w:lvlText w:val="(%1)"/>
      <w:lvlJc w:val="left"/>
      <w:pPr>
        <w:ind w:left="720" w:hanging="360"/>
      </w:pPr>
      <w:rPr>
        <w:rFonts w:cs="Times New Roman" w:hint="default"/>
      </w:rPr>
    </w:lvl>
    <w:lvl w:ilvl="1" w:tplc="84C4F846" w:tentative="1">
      <w:start w:val="1"/>
      <w:numFmt w:val="lowerLetter"/>
      <w:lvlText w:val="%2."/>
      <w:lvlJc w:val="left"/>
      <w:pPr>
        <w:ind w:left="1440" w:hanging="360"/>
      </w:pPr>
      <w:rPr>
        <w:rFonts w:cs="Times New Roman"/>
      </w:rPr>
    </w:lvl>
    <w:lvl w:ilvl="2" w:tplc="477E3C00" w:tentative="1">
      <w:start w:val="1"/>
      <w:numFmt w:val="lowerRoman"/>
      <w:lvlText w:val="%3."/>
      <w:lvlJc w:val="right"/>
      <w:pPr>
        <w:ind w:left="2160" w:hanging="180"/>
      </w:pPr>
      <w:rPr>
        <w:rFonts w:cs="Times New Roman"/>
      </w:rPr>
    </w:lvl>
    <w:lvl w:ilvl="3" w:tplc="3AE866F0" w:tentative="1">
      <w:start w:val="1"/>
      <w:numFmt w:val="decimal"/>
      <w:lvlText w:val="%4."/>
      <w:lvlJc w:val="left"/>
      <w:pPr>
        <w:ind w:left="2880" w:hanging="360"/>
      </w:pPr>
      <w:rPr>
        <w:rFonts w:cs="Times New Roman"/>
      </w:rPr>
    </w:lvl>
    <w:lvl w:ilvl="4" w:tplc="60CA826A" w:tentative="1">
      <w:start w:val="1"/>
      <w:numFmt w:val="lowerLetter"/>
      <w:lvlText w:val="%5."/>
      <w:lvlJc w:val="left"/>
      <w:pPr>
        <w:ind w:left="3600" w:hanging="360"/>
      </w:pPr>
      <w:rPr>
        <w:rFonts w:cs="Times New Roman"/>
      </w:rPr>
    </w:lvl>
    <w:lvl w:ilvl="5" w:tplc="B8FC2BCE" w:tentative="1">
      <w:start w:val="1"/>
      <w:numFmt w:val="lowerRoman"/>
      <w:lvlText w:val="%6."/>
      <w:lvlJc w:val="right"/>
      <w:pPr>
        <w:ind w:left="4320" w:hanging="180"/>
      </w:pPr>
      <w:rPr>
        <w:rFonts w:cs="Times New Roman"/>
      </w:rPr>
    </w:lvl>
    <w:lvl w:ilvl="6" w:tplc="C86C79F8" w:tentative="1">
      <w:start w:val="1"/>
      <w:numFmt w:val="decimal"/>
      <w:lvlText w:val="%7."/>
      <w:lvlJc w:val="left"/>
      <w:pPr>
        <w:ind w:left="5040" w:hanging="360"/>
      </w:pPr>
      <w:rPr>
        <w:rFonts w:cs="Times New Roman"/>
      </w:rPr>
    </w:lvl>
    <w:lvl w:ilvl="7" w:tplc="7A5A4318" w:tentative="1">
      <w:start w:val="1"/>
      <w:numFmt w:val="lowerLetter"/>
      <w:lvlText w:val="%8."/>
      <w:lvlJc w:val="left"/>
      <w:pPr>
        <w:ind w:left="5760" w:hanging="360"/>
      </w:pPr>
      <w:rPr>
        <w:rFonts w:cs="Times New Roman"/>
      </w:rPr>
    </w:lvl>
    <w:lvl w:ilvl="8" w:tplc="72BE42FE" w:tentative="1">
      <w:start w:val="1"/>
      <w:numFmt w:val="lowerRoman"/>
      <w:lvlText w:val="%9."/>
      <w:lvlJc w:val="right"/>
      <w:pPr>
        <w:ind w:left="6480" w:hanging="180"/>
      </w:pPr>
      <w:rPr>
        <w:rFonts w:cs="Times New Roman"/>
      </w:rPr>
    </w:lvl>
  </w:abstractNum>
  <w:abstractNum w:abstractNumId="9" w15:restartNumberingAfterBreak="0">
    <w:nsid w:val="1EB81F71"/>
    <w:multiLevelType w:val="hybridMultilevel"/>
    <w:tmpl w:val="5A746A50"/>
    <w:lvl w:ilvl="0" w:tplc="FEFA4894">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2A1755"/>
    <w:multiLevelType w:val="hybridMultilevel"/>
    <w:tmpl w:val="F996A732"/>
    <w:lvl w:ilvl="0" w:tplc="B9DCE208">
      <w:start w:val="39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9239BD"/>
    <w:multiLevelType w:val="hybridMultilevel"/>
    <w:tmpl w:val="85B2A8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ABF1B28"/>
    <w:multiLevelType w:val="hybridMultilevel"/>
    <w:tmpl w:val="F7FC1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12810FB"/>
    <w:multiLevelType w:val="hybridMultilevel"/>
    <w:tmpl w:val="407C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1381A"/>
    <w:multiLevelType w:val="hybridMultilevel"/>
    <w:tmpl w:val="09626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74437D"/>
    <w:multiLevelType w:val="hybridMultilevel"/>
    <w:tmpl w:val="8AA2C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801823"/>
    <w:multiLevelType w:val="hybridMultilevel"/>
    <w:tmpl w:val="738C6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B786D"/>
    <w:multiLevelType w:val="hybridMultilevel"/>
    <w:tmpl w:val="7FD23D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80817CD"/>
    <w:multiLevelType w:val="hybridMultilevel"/>
    <w:tmpl w:val="5F5488AA"/>
    <w:lvl w:ilvl="0" w:tplc="5336944C">
      <w:start w:val="1"/>
      <w:numFmt w:val="decimal"/>
      <w:lvlText w:val="(%1)"/>
      <w:lvlJc w:val="left"/>
      <w:pPr>
        <w:ind w:left="720" w:hanging="360"/>
      </w:pPr>
      <w:rPr>
        <w:rFonts w:cs="Times New Roman" w:hint="default"/>
      </w:rPr>
    </w:lvl>
    <w:lvl w:ilvl="1" w:tplc="A5D686E2" w:tentative="1">
      <w:start w:val="1"/>
      <w:numFmt w:val="lowerLetter"/>
      <w:lvlText w:val="%2."/>
      <w:lvlJc w:val="left"/>
      <w:pPr>
        <w:ind w:left="1440" w:hanging="360"/>
      </w:pPr>
      <w:rPr>
        <w:rFonts w:cs="Times New Roman"/>
      </w:rPr>
    </w:lvl>
    <w:lvl w:ilvl="2" w:tplc="EFBA783E" w:tentative="1">
      <w:start w:val="1"/>
      <w:numFmt w:val="lowerRoman"/>
      <w:lvlText w:val="%3."/>
      <w:lvlJc w:val="right"/>
      <w:pPr>
        <w:ind w:left="2160" w:hanging="180"/>
      </w:pPr>
      <w:rPr>
        <w:rFonts w:cs="Times New Roman"/>
      </w:rPr>
    </w:lvl>
    <w:lvl w:ilvl="3" w:tplc="5C660F6A" w:tentative="1">
      <w:start w:val="1"/>
      <w:numFmt w:val="decimal"/>
      <w:lvlText w:val="%4."/>
      <w:lvlJc w:val="left"/>
      <w:pPr>
        <w:ind w:left="2880" w:hanging="360"/>
      </w:pPr>
      <w:rPr>
        <w:rFonts w:cs="Times New Roman"/>
      </w:rPr>
    </w:lvl>
    <w:lvl w:ilvl="4" w:tplc="A1B057D8" w:tentative="1">
      <w:start w:val="1"/>
      <w:numFmt w:val="lowerLetter"/>
      <w:lvlText w:val="%5."/>
      <w:lvlJc w:val="left"/>
      <w:pPr>
        <w:ind w:left="3600" w:hanging="360"/>
      </w:pPr>
      <w:rPr>
        <w:rFonts w:cs="Times New Roman"/>
      </w:rPr>
    </w:lvl>
    <w:lvl w:ilvl="5" w:tplc="619CFBC4" w:tentative="1">
      <w:start w:val="1"/>
      <w:numFmt w:val="lowerRoman"/>
      <w:lvlText w:val="%6."/>
      <w:lvlJc w:val="right"/>
      <w:pPr>
        <w:ind w:left="4320" w:hanging="180"/>
      </w:pPr>
      <w:rPr>
        <w:rFonts w:cs="Times New Roman"/>
      </w:rPr>
    </w:lvl>
    <w:lvl w:ilvl="6" w:tplc="47BA2696" w:tentative="1">
      <w:start w:val="1"/>
      <w:numFmt w:val="decimal"/>
      <w:lvlText w:val="%7."/>
      <w:lvlJc w:val="left"/>
      <w:pPr>
        <w:ind w:left="5040" w:hanging="360"/>
      </w:pPr>
      <w:rPr>
        <w:rFonts w:cs="Times New Roman"/>
      </w:rPr>
    </w:lvl>
    <w:lvl w:ilvl="7" w:tplc="D2C2E228" w:tentative="1">
      <w:start w:val="1"/>
      <w:numFmt w:val="lowerLetter"/>
      <w:lvlText w:val="%8."/>
      <w:lvlJc w:val="left"/>
      <w:pPr>
        <w:ind w:left="5760" w:hanging="360"/>
      </w:pPr>
      <w:rPr>
        <w:rFonts w:cs="Times New Roman"/>
      </w:rPr>
    </w:lvl>
    <w:lvl w:ilvl="8" w:tplc="C58C0ACE" w:tentative="1">
      <w:start w:val="1"/>
      <w:numFmt w:val="lowerRoman"/>
      <w:lvlText w:val="%9."/>
      <w:lvlJc w:val="right"/>
      <w:pPr>
        <w:ind w:left="6480" w:hanging="180"/>
      </w:pPr>
      <w:rPr>
        <w:rFonts w:cs="Times New Roman"/>
      </w:rPr>
    </w:lvl>
  </w:abstractNum>
  <w:abstractNum w:abstractNumId="19" w15:restartNumberingAfterBreak="0">
    <w:nsid w:val="484C4028"/>
    <w:multiLevelType w:val="hybridMultilevel"/>
    <w:tmpl w:val="15A4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92469F"/>
    <w:multiLevelType w:val="hybridMultilevel"/>
    <w:tmpl w:val="E68E5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882B1C"/>
    <w:multiLevelType w:val="hybridMultilevel"/>
    <w:tmpl w:val="D8FCFE34"/>
    <w:lvl w:ilvl="0" w:tplc="59BAA4C4">
      <w:start w:val="1"/>
      <w:numFmt w:val="decimal"/>
      <w:lvlText w:val="(%1)"/>
      <w:lvlJc w:val="left"/>
      <w:pPr>
        <w:ind w:left="5040" w:hanging="360"/>
      </w:pPr>
      <w:rPr>
        <w:rFonts w:cs="Times New Roman" w:hint="default"/>
        <w:b w:val="0"/>
        <w:color w:val="auto"/>
      </w:rPr>
    </w:lvl>
    <w:lvl w:ilvl="1" w:tplc="84B0BE46" w:tentative="1">
      <w:start w:val="1"/>
      <w:numFmt w:val="lowerLetter"/>
      <w:lvlText w:val="%2."/>
      <w:lvlJc w:val="left"/>
      <w:pPr>
        <w:ind w:left="5760" w:hanging="360"/>
      </w:pPr>
      <w:rPr>
        <w:rFonts w:cs="Times New Roman"/>
      </w:rPr>
    </w:lvl>
    <w:lvl w:ilvl="2" w:tplc="172A1FA0" w:tentative="1">
      <w:start w:val="1"/>
      <w:numFmt w:val="lowerRoman"/>
      <w:lvlText w:val="%3."/>
      <w:lvlJc w:val="right"/>
      <w:pPr>
        <w:ind w:left="6480" w:hanging="180"/>
      </w:pPr>
      <w:rPr>
        <w:rFonts w:cs="Times New Roman"/>
      </w:rPr>
    </w:lvl>
    <w:lvl w:ilvl="3" w:tplc="9D1822B8" w:tentative="1">
      <w:start w:val="1"/>
      <w:numFmt w:val="decimal"/>
      <w:lvlText w:val="%4."/>
      <w:lvlJc w:val="left"/>
      <w:pPr>
        <w:ind w:left="7200" w:hanging="360"/>
      </w:pPr>
      <w:rPr>
        <w:rFonts w:cs="Times New Roman"/>
      </w:rPr>
    </w:lvl>
    <w:lvl w:ilvl="4" w:tplc="4E9ABDDC" w:tentative="1">
      <w:start w:val="1"/>
      <w:numFmt w:val="lowerLetter"/>
      <w:lvlText w:val="%5."/>
      <w:lvlJc w:val="left"/>
      <w:pPr>
        <w:ind w:left="7920" w:hanging="360"/>
      </w:pPr>
      <w:rPr>
        <w:rFonts w:cs="Times New Roman"/>
      </w:rPr>
    </w:lvl>
    <w:lvl w:ilvl="5" w:tplc="29E6DD7A" w:tentative="1">
      <w:start w:val="1"/>
      <w:numFmt w:val="lowerRoman"/>
      <w:lvlText w:val="%6."/>
      <w:lvlJc w:val="right"/>
      <w:pPr>
        <w:ind w:left="8640" w:hanging="180"/>
      </w:pPr>
      <w:rPr>
        <w:rFonts w:cs="Times New Roman"/>
      </w:rPr>
    </w:lvl>
    <w:lvl w:ilvl="6" w:tplc="2CCAB8B8" w:tentative="1">
      <w:start w:val="1"/>
      <w:numFmt w:val="decimal"/>
      <w:lvlText w:val="%7."/>
      <w:lvlJc w:val="left"/>
      <w:pPr>
        <w:ind w:left="9360" w:hanging="360"/>
      </w:pPr>
      <w:rPr>
        <w:rFonts w:cs="Times New Roman"/>
      </w:rPr>
    </w:lvl>
    <w:lvl w:ilvl="7" w:tplc="E2A43614" w:tentative="1">
      <w:start w:val="1"/>
      <w:numFmt w:val="lowerLetter"/>
      <w:lvlText w:val="%8."/>
      <w:lvlJc w:val="left"/>
      <w:pPr>
        <w:ind w:left="10080" w:hanging="360"/>
      </w:pPr>
      <w:rPr>
        <w:rFonts w:cs="Times New Roman"/>
      </w:rPr>
    </w:lvl>
    <w:lvl w:ilvl="8" w:tplc="F8EC1ABE" w:tentative="1">
      <w:start w:val="1"/>
      <w:numFmt w:val="lowerRoman"/>
      <w:lvlText w:val="%9."/>
      <w:lvlJc w:val="right"/>
      <w:pPr>
        <w:ind w:left="10800" w:hanging="180"/>
      </w:pPr>
      <w:rPr>
        <w:rFonts w:cs="Times New Roman"/>
      </w:rPr>
    </w:lvl>
  </w:abstractNum>
  <w:abstractNum w:abstractNumId="22" w15:restartNumberingAfterBreak="0">
    <w:nsid w:val="71DC50C1"/>
    <w:multiLevelType w:val="hybridMultilevel"/>
    <w:tmpl w:val="727EA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5ED606B"/>
    <w:multiLevelType w:val="hybridMultilevel"/>
    <w:tmpl w:val="7DE06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AE5B1B"/>
    <w:multiLevelType w:val="hybridMultilevel"/>
    <w:tmpl w:val="D6F86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7430559">
    <w:abstractNumId w:val="11"/>
  </w:num>
  <w:num w:numId="2" w16cid:durableId="897321047">
    <w:abstractNumId w:val="22"/>
  </w:num>
  <w:num w:numId="3" w16cid:durableId="31463708">
    <w:abstractNumId w:val="6"/>
  </w:num>
  <w:num w:numId="4" w16cid:durableId="237983387">
    <w:abstractNumId w:val="17"/>
  </w:num>
  <w:num w:numId="5" w16cid:durableId="1050419522">
    <w:abstractNumId w:val="12"/>
  </w:num>
  <w:num w:numId="6" w16cid:durableId="606472997">
    <w:abstractNumId w:val="23"/>
  </w:num>
  <w:num w:numId="7" w16cid:durableId="2065596088">
    <w:abstractNumId w:val="5"/>
  </w:num>
  <w:num w:numId="8" w16cid:durableId="930359815">
    <w:abstractNumId w:val="15"/>
  </w:num>
  <w:num w:numId="9" w16cid:durableId="546646472">
    <w:abstractNumId w:val="24"/>
  </w:num>
  <w:num w:numId="10" w16cid:durableId="416096041">
    <w:abstractNumId w:val="2"/>
  </w:num>
  <w:num w:numId="11" w16cid:durableId="2054645566">
    <w:abstractNumId w:val="14"/>
  </w:num>
  <w:num w:numId="12" w16cid:durableId="1387336883">
    <w:abstractNumId w:val="3"/>
  </w:num>
  <w:num w:numId="13" w16cid:durableId="1081679179">
    <w:abstractNumId w:val="1"/>
  </w:num>
  <w:num w:numId="14" w16cid:durableId="1654917245">
    <w:abstractNumId w:val="21"/>
  </w:num>
  <w:num w:numId="15" w16cid:durableId="14736738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8774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625874">
    <w:abstractNumId w:val="19"/>
  </w:num>
  <w:num w:numId="18" w16cid:durableId="490760204">
    <w:abstractNumId w:val="10"/>
  </w:num>
  <w:num w:numId="19" w16cid:durableId="1535121084">
    <w:abstractNumId w:val="4"/>
  </w:num>
  <w:num w:numId="20" w16cid:durableId="121580294">
    <w:abstractNumId w:val="7"/>
  </w:num>
  <w:num w:numId="21" w16cid:durableId="486364618">
    <w:abstractNumId w:val="16"/>
  </w:num>
  <w:num w:numId="22" w16cid:durableId="725101656">
    <w:abstractNumId w:val="13"/>
  </w:num>
  <w:num w:numId="23" w16cid:durableId="2056856672">
    <w:abstractNumId w:val="0"/>
    <w:lvlOverride w:ilvl="0">
      <w:lvl w:ilvl="0">
        <w:start w:val="7"/>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num>
  <w:num w:numId="24" w16cid:durableId="659768396">
    <w:abstractNumId w:val="9"/>
  </w:num>
  <w:num w:numId="25" w16cid:durableId="223032155">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2"/>
  </w:docVars>
  <w:rsids>
    <w:rsidRoot w:val="0087113F"/>
    <w:rsid w:val="000036AE"/>
    <w:rsid w:val="00006444"/>
    <w:rsid w:val="000141FE"/>
    <w:rsid w:val="00014F1D"/>
    <w:rsid w:val="0002579B"/>
    <w:rsid w:val="00032EF8"/>
    <w:rsid w:val="000435BF"/>
    <w:rsid w:val="00060235"/>
    <w:rsid w:val="00073CE1"/>
    <w:rsid w:val="0009770E"/>
    <w:rsid w:val="000A4834"/>
    <w:rsid w:val="000A62FB"/>
    <w:rsid w:val="000A7223"/>
    <w:rsid w:val="000E45DF"/>
    <w:rsid w:val="000E7FD0"/>
    <w:rsid w:val="000F2965"/>
    <w:rsid w:val="0010351A"/>
    <w:rsid w:val="00104C29"/>
    <w:rsid w:val="00124229"/>
    <w:rsid w:val="001355B2"/>
    <w:rsid w:val="00142778"/>
    <w:rsid w:val="00154904"/>
    <w:rsid w:val="00171CB0"/>
    <w:rsid w:val="0018005E"/>
    <w:rsid w:val="00187EC4"/>
    <w:rsid w:val="001A023A"/>
    <w:rsid w:val="001A307C"/>
    <w:rsid w:val="001A470A"/>
    <w:rsid w:val="001A664B"/>
    <w:rsid w:val="001B2F27"/>
    <w:rsid w:val="001B321E"/>
    <w:rsid w:val="001B355C"/>
    <w:rsid w:val="001B4F5F"/>
    <w:rsid w:val="001C2BBC"/>
    <w:rsid w:val="001E28B4"/>
    <w:rsid w:val="001E55D3"/>
    <w:rsid w:val="001E7430"/>
    <w:rsid w:val="001F6FF5"/>
    <w:rsid w:val="002015FE"/>
    <w:rsid w:val="00203C7F"/>
    <w:rsid w:val="00212862"/>
    <w:rsid w:val="00212B8B"/>
    <w:rsid w:val="00213456"/>
    <w:rsid w:val="00226487"/>
    <w:rsid w:val="00233E8A"/>
    <w:rsid w:val="00237D26"/>
    <w:rsid w:val="00264941"/>
    <w:rsid w:val="002651F3"/>
    <w:rsid w:val="00296B15"/>
    <w:rsid w:val="00296C99"/>
    <w:rsid w:val="002A5711"/>
    <w:rsid w:val="002B375E"/>
    <w:rsid w:val="002B4D33"/>
    <w:rsid w:val="002B6869"/>
    <w:rsid w:val="002C73A9"/>
    <w:rsid w:val="002E2316"/>
    <w:rsid w:val="002F4BD0"/>
    <w:rsid w:val="00302E94"/>
    <w:rsid w:val="003147F5"/>
    <w:rsid w:val="003200DB"/>
    <w:rsid w:val="003221AE"/>
    <w:rsid w:val="0033650D"/>
    <w:rsid w:val="00336ABC"/>
    <w:rsid w:val="00346AC9"/>
    <w:rsid w:val="00355D5D"/>
    <w:rsid w:val="0038362C"/>
    <w:rsid w:val="0039388C"/>
    <w:rsid w:val="003A5723"/>
    <w:rsid w:val="003B0B2C"/>
    <w:rsid w:val="003B2B5C"/>
    <w:rsid w:val="003B634D"/>
    <w:rsid w:val="003C746F"/>
    <w:rsid w:val="003D3B28"/>
    <w:rsid w:val="003E2503"/>
    <w:rsid w:val="003E5A31"/>
    <w:rsid w:val="00405066"/>
    <w:rsid w:val="004110A3"/>
    <w:rsid w:val="0041130F"/>
    <w:rsid w:val="004145B7"/>
    <w:rsid w:val="0043187A"/>
    <w:rsid w:val="0043685F"/>
    <w:rsid w:val="00457540"/>
    <w:rsid w:val="00464C6C"/>
    <w:rsid w:val="004765CB"/>
    <w:rsid w:val="004837DC"/>
    <w:rsid w:val="004843B2"/>
    <w:rsid w:val="0049084F"/>
    <w:rsid w:val="00491D52"/>
    <w:rsid w:val="004A7F05"/>
    <w:rsid w:val="004B66E2"/>
    <w:rsid w:val="004C7E37"/>
    <w:rsid w:val="004D0987"/>
    <w:rsid w:val="004D1EB1"/>
    <w:rsid w:val="004D4D36"/>
    <w:rsid w:val="004E0659"/>
    <w:rsid w:val="004F0831"/>
    <w:rsid w:val="004F5282"/>
    <w:rsid w:val="005029BC"/>
    <w:rsid w:val="00507742"/>
    <w:rsid w:val="00537F59"/>
    <w:rsid w:val="005404CB"/>
    <w:rsid w:val="00542129"/>
    <w:rsid w:val="0054300C"/>
    <w:rsid w:val="005600C9"/>
    <w:rsid w:val="00571E23"/>
    <w:rsid w:val="00576961"/>
    <w:rsid w:val="0057793B"/>
    <w:rsid w:val="00584D65"/>
    <w:rsid w:val="0058502E"/>
    <w:rsid w:val="00592DF7"/>
    <w:rsid w:val="00593BBB"/>
    <w:rsid w:val="00596F2E"/>
    <w:rsid w:val="005A27C7"/>
    <w:rsid w:val="005A43BC"/>
    <w:rsid w:val="005B1C7A"/>
    <w:rsid w:val="005C13A0"/>
    <w:rsid w:val="005C40FE"/>
    <w:rsid w:val="005C4302"/>
    <w:rsid w:val="005F0C9D"/>
    <w:rsid w:val="005F10BD"/>
    <w:rsid w:val="00607CFD"/>
    <w:rsid w:val="00612D50"/>
    <w:rsid w:val="006213FC"/>
    <w:rsid w:val="0063670C"/>
    <w:rsid w:val="0064209B"/>
    <w:rsid w:val="00644001"/>
    <w:rsid w:val="006464D1"/>
    <w:rsid w:val="006477D1"/>
    <w:rsid w:val="00651FAD"/>
    <w:rsid w:val="00654FC6"/>
    <w:rsid w:val="006569CD"/>
    <w:rsid w:val="00662550"/>
    <w:rsid w:val="0066274A"/>
    <w:rsid w:val="00665276"/>
    <w:rsid w:val="00670A3B"/>
    <w:rsid w:val="00675CD7"/>
    <w:rsid w:val="00683544"/>
    <w:rsid w:val="00691684"/>
    <w:rsid w:val="00691BDC"/>
    <w:rsid w:val="006A24EB"/>
    <w:rsid w:val="006A4F31"/>
    <w:rsid w:val="006C0460"/>
    <w:rsid w:val="006C6441"/>
    <w:rsid w:val="006D0EDF"/>
    <w:rsid w:val="006D3AC2"/>
    <w:rsid w:val="006D5BAC"/>
    <w:rsid w:val="006D77A9"/>
    <w:rsid w:val="00704FBD"/>
    <w:rsid w:val="0070530C"/>
    <w:rsid w:val="007058C2"/>
    <w:rsid w:val="00736016"/>
    <w:rsid w:val="007419A7"/>
    <w:rsid w:val="00745DD1"/>
    <w:rsid w:val="00747B46"/>
    <w:rsid w:val="00771825"/>
    <w:rsid w:val="007756F2"/>
    <w:rsid w:val="007808C9"/>
    <w:rsid w:val="00790384"/>
    <w:rsid w:val="0079051F"/>
    <w:rsid w:val="007C1EE1"/>
    <w:rsid w:val="007C271A"/>
    <w:rsid w:val="007D3F7F"/>
    <w:rsid w:val="007D5B4F"/>
    <w:rsid w:val="007D691F"/>
    <w:rsid w:val="007E0C39"/>
    <w:rsid w:val="007E3CF9"/>
    <w:rsid w:val="007F30C8"/>
    <w:rsid w:val="00802F82"/>
    <w:rsid w:val="00803221"/>
    <w:rsid w:val="0081617A"/>
    <w:rsid w:val="008251CD"/>
    <w:rsid w:val="00840105"/>
    <w:rsid w:val="00851FF9"/>
    <w:rsid w:val="00863C93"/>
    <w:rsid w:val="0087113F"/>
    <w:rsid w:val="00874A1D"/>
    <w:rsid w:val="00881091"/>
    <w:rsid w:val="00886446"/>
    <w:rsid w:val="00887B0E"/>
    <w:rsid w:val="008A1160"/>
    <w:rsid w:val="008A3183"/>
    <w:rsid w:val="008A37E7"/>
    <w:rsid w:val="008A3C21"/>
    <w:rsid w:val="008B1783"/>
    <w:rsid w:val="008B30D7"/>
    <w:rsid w:val="008B4116"/>
    <w:rsid w:val="008E1170"/>
    <w:rsid w:val="008E72F0"/>
    <w:rsid w:val="008E73E6"/>
    <w:rsid w:val="008F2094"/>
    <w:rsid w:val="008F36B8"/>
    <w:rsid w:val="008F3E8B"/>
    <w:rsid w:val="00900B07"/>
    <w:rsid w:val="00904CE1"/>
    <w:rsid w:val="0091119A"/>
    <w:rsid w:val="0091389D"/>
    <w:rsid w:val="00914978"/>
    <w:rsid w:val="00917DC5"/>
    <w:rsid w:val="00924AF7"/>
    <w:rsid w:val="00932894"/>
    <w:rsid w:val="009339E3"/>
    <w:rsid w:val="009451A7"/>
    <w:rsid w:val="009513E3"/>
    <w:rsid w:val="009810A5"/>
    <w:rsid w:val="00983AEE"/>
    <w:rsid w:val="00984CCB"/>
    <w:rsid w:val="009A0BB7"/>
    <w:rsid w:val="009A52AE"/>
    <w:rsid w:val="009B6249"/>
    <w:rsid w:val="009C6940"/>
    <w:rsid w:val="009D2851"/>
    <w:rsid w:val="009D60C8"/>
    <w:rsid w:val="009E143B"/>
    <w:rsid w:val="009E2DE9"/>
    <w:rsid w:val="009E56DE"/>
    <w:rsid w:val="009E6E83"/>
    <w:rsid w:val="009F71ED"/>
    <w:rsid w:val="009F7EDA"/>
    <w:rsid w:val="00A0138F"/>
    <w:rsid w:val="00A03E61"/>
    <w:rsid w:val="00A0408C"/>
    <w:rsid w:val="00A07375"/>
    <w:rsid w:val="00A17E8C"/>
    <w:rsid w:val="00A20F82"/>
    <w:rsid w:val="00A23EE1"/>
    <w:rsid w:val="00A41B26"/>
    <w:rsid w:val="00A54C54"/>
    <w:rsid w:val="00A66043"/>
    <w:rsid w:val="00A72724"/>
    <w:rsid w:val="00A83A97"/>
    <w:rsid w:val="00A84152"/>
    <w:rsid w:val="00A9704B"/>
    <w:rsid w:val="00AA196D"/>
    <w:rsid w:val="00AB69F9"/>
    <w:rsid w:val="00AC2FCE"/>
    <w:rsid w:val="00AD00B0"/>
    <w:rsid w:val="00AE0555"/>
    <w:rsid w:val="00AE1A3D"/>
    <w:rsid w:val="00AF37DB"/>
    <w:rsid w:val="00AF6943"/>
    <w:rsid w:val="00B07F21"/>
    <w:rsid w:val="00B156BA"/>
    <w:rsid w:val="00B16E5A"/>
    <w:rsid w:val="00B211A5"/>
    <w:rsid w:val="00B2423E"/>
    <w:rsid w:val="00B31B04"/>
    <w:rsid w:val="00B347E1"/>
    <w:rsid w:val="00B368A8"/>
    <w:rsid w:val="00B370D9"/>
    <w:rsid w:val="00B551D7"/>
    <w:rsid w:val="00B61661"/>
    <w:rsid w:val="00B646F1"/>
    <w:rsid w:val="00B716DA"/>
    <w:rsid w:val="00B73392"/>
    <w:rsid w:val="00B73E97"/>
    <w:rsid w:val="00B779B0"/>
    <w:rsid w:val="00B851A1"/>
    <w:rsid w:val="00B87A37"/>
    <w:rsid w:val="00BA2EE4"/>
    <w:rsid w:val="00BA5DFE"/>
    <w:rsid w:val="00BA7232"/>
    <w:rsid w:val="00BB3373"/>
    <w:rsid w:val="00BC33BB"/>
    <w:rsid w:val="00BC4515"/>
    <w:rsid w:val="00BD7579"/>
    <w:rsid w:val="00BE56FF"/>
    <w:rsid w:val="00BF2A28"/>
    <w:rsid w:val="00C4728A"/>
    <w:rsid w:val="00C52979"/>
    <w:rsid w:val="00C546CD"/>
    <w:rsid w:val="00C56AF0"/>
    <w:rsid w:val="00C60409"/>
    <w:rsid w:val="00C627C4"/>
    <w:rsid w:val="00C73E0F"/>
    <w:rsid w:val="00CA01C2"/>
    <w:rsid w:val="00CA2BC7"/>
    <w:rsid w:val="00CA51F1"/>
    <w:rsid w:val="00CB14FA"/>
    <w:rsid w:val="00CB5BE2"/>
    <w:rsid w:val="00CB77FF"/>
    <w:rsid w:val="00CC1785"/>
    <w:rsid w:val="00CC3E8A"/>
    <w:rsid w:val="00CC6D29"/>
    <w:rsid w:val="00CD1FAC"/>
    <w:rsid w:val="00CD6722"/>
    <w:rsid w:val="00CE65FD"/>
    <w:rsid w:val="00D1059E"/>
    <w:rsid w:val="00D13C54"/>
    <w:rsid w:val="00D240C8"/>
    <w:rsid w:val="00D54199"/>
    <w:rsid w:val="00D63ADC"/>
    <w:rsid w:val="00D6760A"/>
    <w:rsid w:val="00D804D2"/>
    <w:rsid w:val="00D906B7"/>
    <w:rsid w:val="00DA034B"/>
    <w:rsid w:val="00DA2B79"/>
    <w:rsid w:val="00DA4750"/>
    <w:rsid w:val="00DB2036"/>
    <w:rsid w:val="00DC3802"/>
    <w:rsid w:val="00DD05F5"/>
    <w:rsid w:val="00DD0E85"/>
    <w:rsid w:val="00DD1E1B"/>
    <w:rsid w:val="00DD24BE"/>
    <w:rsid w:val="00DF1034"/>
    <w:rsid w:val="00DF722D"/>
    <w:rsid w:val="00E00697"/>
    <w:rsid w:val="00E03837"/>
    <w:rsid w:val="00E239E3"/>
    <w:rsid w:val="00E329B2"/>
    <w:rsid w:val="00E33DBC"/>
    <w:rsid w:val="00E41082"/>
    <w:rsid w:val="00E41BBA"/>
    <w:rsid w:val="00E447A3"/>
    <w:rsid w:val="00E54F30"/>
    <w:rsid w:val="00E640DE"/>
    <w:rsid w:val="00E9276D"/>
    <w:rsid w:val="00EA11DF"/>
    <w:rsid w:val="00EB22C6"/>
    <w:rsid w:val="00EB6705"/>
    <w:rsid w:val="00ED4457"/>
    <w:rsid w:val="00EE4ADC"/>
    <w:rsid w:val="00EF0142"/>
    <w:rsid w:val="00EF2185"/>
    <w:rsid w:val="00F0248A"/>
    <w:rsid w:val="00F033D2"/>
    <w:rsid w:val="00F07249"/>
    <w:rsid w:val="00F110DE"/>
    <w:rsid w:val="00F2032D"/>
    <w:rsid w:val="00F343A7"/>
    <w:rsid w:val="00F3795D"/>
    <w:rsid w:val="00F41EA2"/>
    <w:rsid w:val="00F51B7F"/>
    <w:rsid w:val="00F55C00"/>
    <w:rsid w:val="00F63C23"/>
    <w:rsid w:val="00F73A07"/>
    <w:rsid w:val="00F77489"/>
    <w:rsid w:val="00F92A01"/>
    <w:rsid w:val="00FA4890"/>
    <w:rsid w:val="00FB0945"/>
    <w:rsid w:val="00FB413A"/>
    <w:rsid w:val="00FB4B96"/>
    <w:rsid w:val="00FB53BD"/>
    <w:rsid w:val="00FC1AFF"/>
    <w:rsid w:val="00FC3D85"/>
    <w:rsid w:val="00FD5114"/>
    <w:rsid w:val="00FD5C46"/>
    <w:rsid w:val="00FD7CB2"/>
    <w:rsid w:val="00FF0811"/>
    <w:rsid w:val="00FF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C3DE2C"/>
  <w15:docId w15:val="{21820730-7732-457B-A419-36D91246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qFormat/>
    <w:rsid w:val="00506D7A"/>
    <w:pPr>
      <w:keepNext/>
      <w:keepLines/>
      <w:spacing w:before="40"/>
      <w:outlineLvl w:val="3"/>
    </w:pPr>
    <w:rPr>
      <w:b/>
      <w:bCs/>
      <w:iCs/>
      <w:color w:val="2F5496"/>
    </w:rPr>
  </w:style>
  <w:style w:type="paragraph" w:styleId="Heading5">
    <w:name w:val="heading 5"/>
    <w:basedOn w:val="Normal"/>
    <w:next w:val="Normal"/>
    <w:link w:val="Heading5Char"/>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qFormat/>
    <w:rsid w:val="00506D7A"/>
    <w:pPr>
      <w:keepNext/>
      <w:keepLines/>
      <w:spacing w:before="40"/>
      <w:outlineLvl w:val="5"/>
    </w:pPr>
    <w:rPr>
      <w:b/>
      <w:bCs/>
      <w:color w:val="1F3763"/>
      <w:sz w:val="16"/>
      <w:szCs w:val="16"/>
    </w:rPr>
  </w:style>
  <w:style w:type="paragraph" w:styleId="Heading7">
    <w:name w:val="heading 7"/>
    <w:basedOn w:val="Normal"/>
    <w:next w:val="Normal"/>
    <w:link w:val="Heading7Char"/>
    <w:qFormat/>
    <w:rsid w:val="00E239E3"/>
    <w:pPr>
      <w:keepNext/>
      <w:jc w:val="center"/>
      <w:outlineLvl w:val="6"/>
    </w:pPr>
    <w:rPr>
      <w:b/>
      <w:bCs/>
      <w:sz w:val="22"/>
      <w:szCs w:val="20"/>
    </w:rPr>
  </w:style>
  <w:style w:type="paragraph" w:styleId="Heading8">
    <w:name w:val="heading 8"/>
    <w:basedOn w:val="Normal"/>
    <w:next w:val="Normal"/>
    <w:link w:val="Heading8Char"/>
    <w:unhideWhenUsed/>
    <w:qFormat/>
    <w:rsid w:val="009810A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E239E3"/>
    <w:pPr>
      <w:keepNext/>
      <w:jc w:val="both"/>
      <w:outlineLvl w:val="8"/>
    </w:pPr>
    <w:rPr>
      <w: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rsid w:val="00506D7A"/>
    <w:rPr>
      <w:rFonts w:ascii="Calibri Light" w:eastAsia="Times New Roman" w:hAnsi="Calibri Light" w:cs="Times New Roman"/>
      <w:color w:val="1F3763"/>
    </w:rPr>
  </w:style>
  <w:style w:type="table" w:customStyle="1" w:styleId="content-table">
    <w:name w:val="content-table"/>
    <w:basedOn w:val="TableNormal"/>
    <w:tblPr/>
  </w:style>
  <w:style w:type="table" w:customStyle="1" w:styleId="main-table">
    <w:name w:val="main-table"/>
    <w:basedOn w:val="TableNormal"/>
    <w:tblPr/>
  </w:style>
  <w:style w:type="paragraph" w:styleId="Header">
    <w:name w:val="header"/>
    <w:aliases w:val="Header Title"/>
    <w:basedOn w:val="Normal"/>
    <w:link w:val="HeaderChar"/>
    <w:uiPriority w:val="99"/>
    <w:unhideWhenUsed/>
    <w:rsid w:val="004837DC"/>
    <w:pPr>
      <w:tabs>
        <w:tab w:val="center" w:pos="4680"/>
        <w:tab w:val="right" w:pos="9360"/>
      </w:tabs>
    </w:pPr>
  </w:style>
  <w:style w:type="character" w:customStyle="1" w:styleId="HeaderChar">
    <w:name w:val="Header Char"/>
    <w:aliases w:val="Header Title Char"/>
    <w:basedOn w:val="DefaultParagraphFont"/>
    <w:link w:val="Header"/>
    <w:uiPriority w:val="99"/>
    <w:rsid w:val="004837DC"/>
    <w:rPr>
      <w:sz w:val="24"/>
      <w:szCs w:val="24"/>
    </w:rPr>
  </w:style>
  <w:style w:type="paragraph" w:styleId="Footer">
    <w:name w:val="footer"/>
    <w:basedOn w:val="Normal"/>
    <w:link w:val="FooterChar"/>
    <w:uiPriority w:val="99"/>
    <w:unhideWhenUsed/>
    <w:rsid w:val="004837DC"/>
    <w:pPr>
      <w:tabs>
        <w:tab w:val="center" w:pos="4680"/>
        <w:tab w:val="right" w:pos="9360"/>
      </w:tabs>
    </w:pPr>
  </w:style>
  <w:style w:type="character" w:customStyle="1" w:styleId="FooterChar">
    <w:name w:val="Footer Char"/>
    <w:basedOn w:val="DefaultParagraphFont"/>
    <w:link w:val="Footer"/>
    <w:uiPriority w:val="99"/>
    <w:rsid w:val="004837DC"/>
    <w:rPr>
      <w:sz w:val="24"/>
      <w:szCs w:val="24"/>
    </w:rPr>
  </w:style>
  <w:style w:type="character" w:styleId="Hyperlink">
    <w:name w:val="Hyperlink"/>
    <w:basedOn w:val="DefaultParagraphFont"/>
    <w:unhideWhenUsed/>
    <w:rsid w:val="00A0138F"/>
    <w:rPr>
      <w:color w:val="0000FF" w:themeColor="hyperlink"/>
      <w:u w:val="single"/>
    </w:rPr>
  </w:style>
  <w:style w:type="character" w:styleId="FollowedHyperlink">
    <w:name w:val="FollowedHyperlink"/>
    <w:basedOn w:val="DefaultParagraphFont"/>
    <w:unhideWhenUsed/>
    <w:rsid w:val="005F0C9D"/>
    <w:rPr>
      <w:color w:val="800080" w:themeColor="followedHyperlink"/>
      <w:u w:val="single"/>
    </w:rPr>
  </w:style>
  <w:style w:type="table" w:styleId="TableGrid">
    <w:name w:val="Table Grid"/>
    <w:basedOn w:val="TableNormal"/>
    <w:uiPriority w:val="59"/>
    <w:rsid w:val="005F0C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ADC"/>
    <w:pPr>
      <w:ind w:left="720"/>
      <w:contextualSpacing/>
    </w:pPr>
  </w:style>
  <w:style w:type="paragraph" w:styleId="FootnoteText">
    <w:name w:val="footnote text"/>
    <w:basedOn w:val="Normal"/>
    <w:link w:val="FootnoteTextChar"/>
    <w:uiPriority w:val="99"/>
    <w:semiHidden/>
    <w:unhideWhenUsed/>
    <w:rsid w:val="00CD6722"/>
    <w:rPr>
      <w:sz w:val="20"/>
      <w:szCs w:val="20"/>
    </w:rPr>
  </w:style>
  <w:style w:type="character" w:customStyle="1" w:styleId="FootnoteTextChar">
    <w:name w:val="Footnote Text Char"/>
    <w:basedOn w:val="DefaultParagraphFont"/>
    <w:link w:val="FootnoteText"/>
    <w:uiPriority w:val="99"/>
    <w:semiHidden/>
    <w:rsid w:val="00CD6722"/>
  </w:style>
  <w:style w:type="character" w:styleId="FootnoteReference">
    <w:name w:val="footnote reference"/>
    <w:basedOn w:val="DefaultParagraphFont"/>
    <w:uiPriority w:val="99"/>
    <w:semiHidden/>
    <w:unhideWhenUsed/>
    <w:rsid w:val="00CD6722"/>
    <w:rPr>
      <w:vertAlign w:val="superscript"/>
    </w:rPr>
  </w:style>
  <w:style w:type="paragraph" w:styleId="NormalWeb">
    <w:name w:val="Normal (Web)"/>
    <w:aliases w:val="ClientStyle1"/>
    <w:basedOn w:val="Normal"/>
    <w:uiPriority w:val="99"/>
    <w:qFormat/>
    <w:rsid w:val="005600C9"/>
    <w:pPr>
      <w:spacing w:before="100" w:beforeAutospacing="1" w:after="100" w:afterAutospacing="1"/>
    </w:pPr>
  </w:style>
  <w:style w:type="table" w:customStyle="1" w:styleId="finTable">
    <w:name w:val="finTable"/>
    <w:basedOn w:val="TableNormal"/>
    <w:rsid w:val="00A84152"/>
    <w:tblPr/>
  </w:style>
  <w:style w:type="paragraph" w:styleId="BalloonText">
    <w:name w:val="Balloon Text"/>
    <w:basedOn w:val="Normal"/>
    <w:link w:val="BalloonTextChar"/>
    <w:semiHidden/>
    <w:unhideWhenUsed/>
    <w:rsid w:val="00FF0811"/>
    <w:rPr>
      <w:rFonts w:ascii="Segoe UI" w:hAnsi="Segoe UI" w:cs="Segoe UI"/>
      <w:sz w:val="18"/>
      <w:szCs w:val="18"/>
    </w:rPr>
  </w:style>
  <w:style w:type="character" w:customStyle="1" w:styleId="BalloonTextChar">
    <w:name w:val="Balloon Text Char"/>
    <w:basedOn w:val="DefaultParagraphFont"/>
    <w:link w:val="BalloonText"/>
    <w:semiHidden/>
    <w:rsid w:val="00FF0811"/>
    <w:rPr>
      <w:rFonts w:ascii="Segoe UI" w:hAnsi="Segoe UI" w:cs="Segoe UI"/>
      <w:sz w:val="18"/>
      <w:szCs w:val="18"/>
    </w:rPr>
  </w:style>
  <w:style w:type="paragraph" w:styleId="Revision">
    <w:name w:val="Revision"/>
    <w:hidden/>
    <w:uiPriority w:val="99"/>
    <w:semiHidden/>
    <w:rsid w:val="00F41EA2"/>
    <w:rPr>
      <w:sz w:val="24"/>
      <w:szCs w:val="24"/>
    </w:rPr>
  </w:style>
  <w:style w:type="character" w:customStyle="1" w:styleId="Heading8Char">
    <w:name w:val="Heading 8 Char"/>
    <w:basedOn w:val="DefaultParagraphFont"/>
    <w:link w:val="Heading8"/>
    <w:rsid w:val="009810A5"/>
    <w:rPr>
      <w:rFonts w:asciiTheme="majorHAnsi" w:eastAsiaTheme="majorEastAsia" w:hAnsiTheme="majorHAnsi" w:cstheme="majorBidi"/>
      <w:color w:val="272727" w:themeColor="text1" w:themeTint="D8"/>
      <w:sz w:val="21"/>
      <w:szCs w:val="21"/>
    </w:rPr>
  </w:style>
  <w:style w:type="table" w:customStyle="1" w:styleId="TableGrid2">
    <w:name w:val="Table Grid2"/>
    <w:basedOn w:val="TableNormal"/>
    <w:next w:val="TableGrid"/>
    <w:rsid w:val="009339E3"/>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BC33BB"/>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rsid w:val="00E239E3"/>
    <w:rPr>
      <w:b/>
      <w:bCs/>
      <w:sz w:val="22"/>
    </w:rPr>
  </w:style>
  <w:style w:type="character" w:customStyle="1" w:styleId="Heading9Char">
    <w:name w:val="Heading 9 Char"/>
    <w:basedOn w:val="DefaultParagraphFont"/>
    <w:link w:val="Heading9"/>
    <w:rsid w:val="00E239E3"/>
    <w:rPr>
      <w:i/>
      <w:iCs/>
      <w:sz w:val="22"/>
    </w:rPr>
  </w:style>
  <w:style w:type="numbering" w:customStyle="1" w:styleId="NoList1">
    <w:name w:val="No List1"/>
    <w:next w:val="NoList"/>
    <w:uiPriority w:val="99"/>
    <w:semiHidden/>
    <w:unhideWhenUsed/>
    <w:rsid w:val="00E239E3"/>
  </w:style>
  <w:style w:type="paragraph" w:customStyle="1" w:styleId="EndnoteText1">
    <w:name w:val="Endnote Text1"/>
    <w:basedOn w:val="Normal"/>
    <w:uiPriority w:val="99"/>
    <w:qFormat/>
    <w:rsid w:val="00E239E3"/>
    <w:rPr>
      <w:rFonts w:ascii="CG Times (WN)" w:hAnsi="CG Times (WN)"/>
      <w:sz w:val="20"/>
      <w:szCs w:val="20"/>
    </w:rPr>
  </w:style>
  <w:style w:type="character" w:styleId="PageNumber">
    <w:name w:val="page number"/>
    <w:basedOn w:val="DefaultParagraphFont"/>
    <w:rsid w:val="00E239E3"/>
  </w:style>
  <w:style w:type="paragraph" w:styleId="TOC1">
    <w:name w:val="toc 1"/>
    <w:basedOn w:val="Normal"/>
    <w:next w:val="Normal"/>
    <w:semiHidden/>
    <w:rsid w:val="00E239E3"/>
    <w:pPr>
      <w:tabs>
        <w:tab w:val="right" w:pos="9360"/>
      </w:tabs>
      <w:spacing w:before="360"/>
    </w:pPr>
    <w:rPr>
      <w:rFonts w:ascii="Arial" w:hAnsi="Arial"/>
      <w:b/>
      <w:caps/>
      <w:szCs w:val="20"/>
    </w:rPr>
  </w:style>
  <w:style w:type="paragraph" w:styleId="TOC2">
    <w:name w:val="toc 2"/>
    <w:basedOn w:val="Normal"/>
    <w:next w:val="Normal"/>
    <w:semiHidden/>
    <w:rsid w:val="00E239E3"/>
    <w:pPr>
      <w:tabs>
        <w:tab w:val="right" w:pos="9360"/>
      </w:tabs>
      <w:spacing w:before="240"/>
    </w:pPr>
    <w:rPr>
      <w:b/>
      <w:sz w:val="20"/>
      <w:szCs w:val="20"/>
    </w:rPr>
  </w:style>
  <w:style w:type="paragraph" w:styleId="TOC3">
    <w:name w:val="toc 3"/>
    <w:basedOn w:val="Normal"/>
    <w:next w:val="Normal"/>
    <w:semiHidden/>
    <w:rsid w:val="00E239E3"/>
    <w:pPr>
      <w:tabs>
        <w:tab w:val="right" w:pos="9360"/>
      </w:tabs>
      <w:ind w:left="200"/>
    </w:pPr>
    <w:rPr>
      <w:sz w:val="20"/>
      <w:szCs w:val="20"/>
    </w:rPr>
  </w:style>
  <w:style w:type="paragraph" w:styleId="TOC4">
    <w:name w:val="toc 4"/>
    <w:basedOn w:val="Normal"/>
    <w:next w:val="Normal"/>
    <w:semiHidden/>
    <w:rsid w:val="00E239E3"/>
    <w:pPr>
      <w:tabs>
        <w:tab w:val="right" w:pos="9360"/>
      </w:tabs>
      <w:ind w:left="400"/>
    </w:pPr>
    <w:rPr>
      <w:sz w:val="20"/>
      <w:szCs w:val="20"/>
    </w:rPr>
  </w:style>
  <w:style w:type="paragraph" w:styleId="TOC5">
    <w:name w:val="toc 5"/>
    <w:basedOn w:val="Normal"/>
    <w:next w:val="Normal"/>
    <w:semiHidden/>
    <w:rsid w:val="00E239E3"/>
    <w:pPr>
      <w:tabs>
        <w:tab w:val="right" w:pos="9360"/>
      </w:tabs>
      <w:ind w:left="600"/>
    </w:pPr>
    <w:rPr>
      <w:sz w:val="20"/>
      <w:szCs w:val="20"/>
    </w:rPr>
  </w:style>
  <w:style w:type="paragraph" w:styleId="TOC6">
    <w:name w:val="toc 6"/>
    <w:basedOn w:val="Normal"/>
    <w:next w:val="Normal"/>
    <w:semiHidden/>
    <w:rsid w:val="00E239E3"/>
    <w:pPr>
      <w:tabs>
        <w:tab w:val="right" w:pos="9360"/>
      </w:tabs>
      <w:ind w:left="800"/>
    </w:pPr>
    <w:rPr>
      <w:sz w:val="20"/>
      <w:szCs w:val="20"/>
    </w:rPr>
  </w:style>
  <w:style w:type="paragraph" w:styleId="TOC7">
    <w:name w:val="toc 7"/>
    <w:basedOn w:val="Normal"/>
    <w:next w:val="Normal"/>
    <w:semiHidden/>
    <w:rsid w:val="00E239E3"/>
    <w:pPr>
      <w:tabs>
        <w:tab w:val="right" w:pos="9360"/>
      </w:tabs>
      <w:ind w:left="1000"/>
    </w:pPr>
    <w:rPr>
      <w:sz w:val="20"/>
      <w:szCs w:val="20"/>
    </w:rPr>
  </w:style>
  <w:style w:type="paragraph" w:styleId="TOC8">
    <w:name w:val="toc 8"/>
    <w:basedOn w:val="Normal"/>
    <w:next w:val="Normal"/>
    <w:semiHidden/>
    <w:rsid w:val="00E239E3"/>
    <w:pPr>
      <w:tabs>
        <w:tab w:val="right" w:pos="9360"/>
      </w:tabs>
      <w:ind w:left="1200"/>
    </w:pPr>
    <w:rPr>
      <w:sz w:val="20"/>
      <w:szCs w:val="20"/>
    </w:rPr>
  </w:style>
  <w:style w:type="paragraph" w:styleId="TOC9">
    <w:name w:val="toc 9"/>
    <w:basedOn w:val="Normal"/>
    <w:next w:val="Normal"/>
    <w:semiHidden/>
    <w:rsid w:val="00E239E3"/>
    <w:pPr>
      <w:tabs>
        <w:tab w:val="right" w:pos="9360"/>
      </w:tabs>
      <w:ind w:left="1400"/>
    </w:pPr>
    <w:rPr>
      <w:sz w:val="20"/>
      <w:szCs w:val="20"/>
    </w:rPr>
  </w:style>
  <w:style w:type="paragraph" w:styleId="BodyText">
    <w:name w:val="Body Text"/>
    <w:basedOn w:val="Normal"/>
    <w:link w:val="BodyTextChar"/>
    <w:rsid w:val="00E239E3"/>
    <w:pPr>
      <w:jc w:val="both"/>
    </w:pPr>
    <w:rPr>
      <w:sz w:val="20"/>
      <w:szCs w:val="20"/>
    </w:rPr>
  </w:style>
  <w:style w:type="character" w:customStyle="1" w:styleId="BodyTextChar">
    <w:name w:val="Body Text Char"/>
    <w:basedOn w:val="DefaultParagraphFont"/>
    <w:link w:val="BodyText"/>
    <w:rsid w:val="00E239E3"/>
  </w:style>
  <w:style w:type="paragraph" w:styleId="BodyText2">
    <w:name w:val="Body Text 2"/>
    <w:basedOn w:val="Normal"/>
    <w:link w:val="BodyText2Char"/>
    <w:rsid w:val="00E239E3"/>
    <w:pPr>
      <w:suppressAutoHyphens/>
      <w:jc w:val="both"/>
    </w:pPr>
    <w:rPr>
      <w:spacing w:val="-2"/>
      <w:sz w:val="22"/>
      <w:szCs w:val="20"/>
    </w:rPr>
  </w:style>
  <w:style w:type="character" w:customStyle="1" w:styleId="BodyText2Char">
    <w:name w:val="Body Text 2 Char"/>
    <w:basedOn w:val="DefaultParagraphFont"/>
    <w:link w:val="BodyText2"/>
    <w:rsid w:val="00E239E3"/>
    <w:rPr>
      <w:spacing w:val="-2"/>
      <w:sz w:val="22"/>
    </w:rPr>
  </w:style>
  <w:style w:type="paragraph" w:styleId="DocumentMap">
    <w:name w:val="Document Map"/>
    <w:basedOn w:val="Normal"/>
    <w:link w:val="DocumentMapChar"/>
    <w:semiHidden/>
    <w:rsid w:val="00E239E3"/>
    <w:pPr>
      <w:shd w:val="clear" w:color="auto" w:fill="000080"/>
    </w:pPr>
    <w:rPr>
      <w:rFonts w:ascii="Tahoma" w:hAnsi="Tahoma"/>
      <w:sz w:val="20"/>
      <w:szCs w:val="20"/>
    </w:rPr>
  </w:style>
  <w:style w:type="character" w:customStyle="1" w:styleId="DocumentMapChar">
    <w:name w:val="Document Map Char"/>
    <w:basedOn w:val="DefaultParagraphFont"/>
    <w:link w:val="DocumentMap"/>
    <w:semiHidden/>
    <w:rsid w:val="00E239E3"/>
    <w:rPr>
      <w:rFonts w:ascii="Tahoma" w:hAnsi="Tahoma"/>
      <w:shd w:val="clear" w:color="auto" w:fill="000080"/>
    </w:rPr>
  </w:style>
  <w:style w:type="paragraph" w:styleId="BodyText3">
    <w:name w:val="Body Text 3"/>
    <w:basedOn w:val="Normal"/>
    <w:link w:val="BodyText3Char"/>
    <w:rsid w:val="00E239E3"/>
    <w:rPr>
      <w:sz w:val="22"/>
      <w:szCs w:val="20"/>
    </w:rPr>
  </w:style>
  <w:style w:type="character" w:customStyle="1" w:styleId="BodyText3Char">
    <w:name w:val="Body Text 3 Char"/>
    <w:basedOn w:val="DefaultParagraphFont"/>
    <w:link w:val="BodyText3"/>
    <w:rsid w:val="00E239E3"/>
    <w:rPr>
      <w:sz w:val="22"/>
    </w:rPr>
  </w:style>
  <w:style w:type="paragraph" w:styleId="TOAHeading">
    <w:name w:val="toa heading"/>
    <w:basedOn w:val="Normal"/>
    <w:next w:val="Normal"/>
    <w:semiHidden/>
    <w:rsid w:val="00E239E3"/>
    <w:pPr>
      <w:tabs>
        <w:tab w:val="left" w:pos="9000"/>
        <w:tab w:val="right" w:pos="9360"/>
      </w:tabs>
      <w:suppressAutoHyphens/>
    </w:pPr>
    <w:rPr>
      <w:spacing w:val="-2"/>
      <w:szCs w:val="20"/>
    </w:rPr>
  </w:style>
  <w:style w:type="paragraph" w:styleId="BodyTextIndent">
    <w:name w:val="Body Text Indent"/>
    <w:basedOn w:val="Normal"/>
    <w:link w:val="BodyTextIndentChar"/>
    <w:rsid w:val="00E239E3"/>
    <w:pPr>
      <w:ind w:left="720"/>
      <w:jc w:val="both"/>
    </w:pPr>
    <w:rPr>
      <w:sz w:val="22"/>
      <w:szCs w:val="20"/>
    </w:rPr>
  </w:style>
  <w:style w:type="character" w:customStyle="1" w:styleId="BodyTextIndentChar">
    <w:name w:val="Body Text Indent Char"/>
    <w:basedOn w:val="DefaultParagraphFont"/>
    <w:link w:val="BodyTextIndent"/>
    <w:rsid w:val="00E239E3"/>
    <w:rPr>
      <w:sz w:val="22"/>
    </w:rPr>
  </w:style>
  <w:style w:type="paragraph" w:styleId="BodyTextIndent2">
    <w:name w:val="Body Text Indent 2"/>
    <w:basedOn w:val="Normal"/>
    <w:link w:val="BodyTextIndent2Char"/>
    <w:rsid w:val="00E239E3"/>
    <w:pPr>
      <w:ind w:firstLine="720"/>
      <w:jc w:val="both"/>
    </w:pPr>
    <w:rPr>
      <w:sz w:val="22"/>
      <w:szCs w:val="20"/>
    </w:rPr>
  </w:style>
  <w:style w:type="character" w:customStyle="1" w:styleId="BodyTextIndent2Char">
    <w:name w:val="Body Text Indent 2 Char"/>
    <w:basedOn w:val="DefaultParagraphFont"/>
    <w:link w:val="BodyTextIndent2"/>
    <w:rsid w:val="00E239E3"/>
    <w:rPr>
      <w:sz w:val="22"/>
    </w:rPr>
  </w:style>
  <w:style w:type="paragraph" w:customStyle="1" w:styleId="7">
    <w:name w:val="7"/>
    <w:basedOn w:val="Normal"/>
    <w:uiPriority w:val="99"/>
    <w:qFormat/>
    <w:rsid w:val="00E239E3"/>
    <w:pPr>
      <w:widowControl w:val="0"/>
      <w:autoSpaceDE w:val="0"/>
      <w:autoSpaceDN w:val="0"/>
      <w:adjustRightInd w:val="0"/>
    </w:pPr>
    <w:rPr>
      <w:rFonts w:ascii="CG Times" w:hAnsi="CG Times"/>
      <w:sz w:val="20"/>
    </w:rPr>
  </w:style>
  <w:style w:type="paragraph" w:customStyle="1" w:styleId="a">
    <w:name w:val="_"/>
    <w:basedOn w:val="Normal"/>
    <w:uiPriority w:val="99"/>
    <w:qFormat/>
    <w:rsid w:val="00E239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pPr>
    <w:rPr>
      <w:rFonts w:ascii="Courier" w:hAnsi="Courier"/>
    </w:rPr>
  </w:style>
  <w:style w:type="paragraph" w:customStyle="1" w:styleId="5">
    <w:name w:val="5"/>
    <w:basedOn w:val="Normal"/>
    <w:uiPriority w:val="99"/>
    <w:qFormat/>
    <w:rsid w:val="00E239E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pPr>
    <w:rPr>
      <w:rFonts w:ascii="CG Times" w:hAnsi="CG Times"/>
      <w:sz w:val="20"/>
    </w:rPr>
  </w:style>
  <w:style w:type="paragraph" w:customStyle="1" w:styleId="Level1">
    <w:name w:val="Level 1"/>
    <w:basedOn w:val="Normal"/>
    <w:uiPriority w:val="99"/>
    <w:qFormat/>
    <w:rsid w:val="00E239E3"/>
    <w:pPr>
      <w:widowControl w:val="0"/>
      <w:numPr>
        <w:numId w:val="23"/>
      </w:numPr>
      <w:autoSpaceDE w:val="0"/>
      <w:autoSpaceDN w:val="0"/>
      <w:adjustRightInd w:val="0"/>
      <w:ind w:left="720" w:hanging="720"/>
      <w:outlineLvl w:val="0"/>
    </w:pPr>
    <w:rPr>
      <w:sz w:val="20"/>
    </w:rPr>
  </w:style>
  <w:style w:type="paragraph" w:styleId="HTMLPreformatted">
    <w:name w:val="HTML Preformatted"/>
    <w:basedOn w:val="Normal"/>
    <w:link w:val="HTMLPreformattedChar"/>
    <w:rsid w:val="00E239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239E3"/>
    <w:rPr>
      <w:rFonts w:ascii="Courier New" w:hAnsi="Courier New" w:cs="Courier New"/>
    </w:rPr>
  </w:style>
  <w:style w:type="character" w:styleId="CommentReference">
    <w:name w:val="annotation reference"/>
    <w:basedOn w:val="DefaultParagraphFont"/>
    <w:semiHidden/>
    <w:rsid w:val="00E239E3"/>
    <w:rPr>
      <w:sz w:val="16"/>
      <w:szCs w:val="16"/>
    </w:rPr>
  </w:style>
  <w:style w:type="paragraph" w:styleId="CommentText">
    <w:name w:val="annotation text"/>
    <w:basedOn w:val="Normal"/>
    <w:link w:val="CommentTextChar"/>
    <w:semiHidden/>
    <w:rsid w:val="00E239E3"/>
    <w:rPr>
      <w:rFonts w:ascii="CG Times (WN)" w:hAnsi="CG Times (WN)"/>
      <w:sz w:val="20"/>
      <w:szCs w:val="20"/>
    </w:rPr>
  </w:style>
  <w:style w:type="character" w:customStyle="1" w:styleId="CommentTextChar">
    <w:name w:val="Comment Text Char"/>
    <w:basedOn w:val="DefaultParagraphFont"/>
    <w:link w:val="CommentText"/>
    <w:semiHidden/>
    <w:rsid w:val="00E239E3"/>
    <w:rPr>
      <w:rFonts w:ascii="CG Times (WN)" w:hAnsi="CG Times (WN)"/>
    </w:rPr>
  </w:style>
  <w:style w:type="paragraph" w:styleId="CommentSubject">
    <w:name w:val="annotation subject"/>
    <w:basedOn w:val="CommentText"/>
    <w:next w:val="CommentText"/>
    <w:link w:val="CommentSubjectChar"/>
    <w:semiHidden/>
    <w:rsid w:val="00E239E3"/>
    <w:rPr>
      <w:b/>
      <w:bCs/>
    </w:rPr>
  </w:style>
  <w:style w:type="character" w:customStyle="1" w:styleId="CommentSubjectChar">
    <w:name w:val="Comment Subject Char"/>
    <w:basedOn w:val="CommentTextChar"/>
    <w:link w:val="CommentSubject"/>
    <w:semiHidden/>
    <w:rsid w:val="00E239E3"/>
    <w:rPr>
      <w:rFonts w:ascii="CG Times (WN)" w:hAnsi="CG Times (WN)"/>
      <w:b/>
      <w:bCs/>
    </w:rPr>
  </w:style>
  <w:style w:type="paragraph" w:customStyle="1" w:styleId="eolnewpage">
    <w:name w:val="eolnewpage"/>
    <w:basedOn w:val="Normal"/>
    <w:uiPriority w:val="99"/>
    <w:qFormat/>
    <w:rsid w:val="00E239E3"/>
    <w:pPr>
      <w:pageBreakBefore/>
      <w:spacing w:before="100" w:beforeAutospacing="1" w:after="100" w:afterAutospacing="1"/>
    </w:pPr>
  </w:style>
  <w:style w:type="paragraph" w:customStyle="1" w:styleId="eolcenter">
    <w:name w:val="eolcenter"/>
    <w:basedOn w:val="Normal"/>
    <w:uiPriority w:val="99"/>
    <w:qFormat/>
    <w:rsid w:val="00E239E3"/>
    <w:pPr>
      <w:spacing w:before="100" w:beforeAutospacing="1" w:after="100" w:afterAutospacing="1"/>
      <w:jc w:val="center"/>
    </w:pPr>
  </w:style>
  <w:style w:type="paragraph" w:styleId="BodyTextIndent3">
    <w:name w:val="Body Text Indent 3"/>
    <w:basedOn w:val="Normal"/>
    <w:link w:val="BodyTextIndent3Char"/>
    <w:rsid w:val="00E239E3"/>
    <w:pPr>
      <w:spacing w:after="120"/>
      <w:ind w:left="360"/>
    </w:pPr>
    <w:rPr>
      <w:rFonts w:ascii="CG Times (WN)" w:hAnsi="CG Times (WN)"/>
      <w:sz w:val="16"/>
      <w:szCs w:val="16"/>
    </w:rPr>
  </w:style>
  <w:style w:type="character" w:customStyle="1" w:styleId="BodyTextIndent3Char">
    <w:name w:val="Body Text Indent 3 Char"/>
    <w:basedOn w:val="DefaultParagraphFont"/>
    <w:link w:val="BodyTextIndent3"/>
    <w:rsid w:val="00E239E3"/>
    <w:rPr>
      <w:rFonts w:ascii="CG Times (WN)" w:hAnsi="CG Times (WN)"/>
      <w:sz w:val="16"/>
      <w:szCs w:val="16"/>
    </w:rPr>
  </w:style>
  <w:style w:type="paragraph" w:customStyle="1" w:styleId="cm117">
    <w:name w:val="cm117"/>
    <w:basedOn w:val="Normal"/>
    <w:uiPriority w:val="99"/>
    <w:qFormat/>
    <w:rsid w:val="00E239E3"/>
    <w:pPr>
      <w:spacing w:before="100" w:beforeAutospacing="1" w:after="100" w:afterAutospacing="1"/>
    </w:pPr>
  </w:style>
  <w:style w:type="paragraph" w:customStyle="1" w:styleId="DocID">
    <w:name w:val="DocID"/>
    <w:basedOn w:val="Normal"/>
    <w:uiPriority w:val="99"/>
    <w:qFormat/>
    <w:rsid w:val="00E239E3"/>
    <w:rPr>
      <w:bCs/>
      <w:sz w:val="16"/>
      <w:szCs w:val="20"/>
    </w:rPr>
  </w:style>
  <w:style w:type="paragraph" w:customStyle="1" w:styleId="c10">
    <w:name w:val="c10"/>
    <w:basedOn w:val="Normal"/>
    <w:uiPriority w:val="99"/>
    <w:qFormat/>
    <w:rsid w:val="00E239E3"/>
    <w:pPr>
      <w:spacing w:line="240" w:lineRule="atLeast"/>
      <w:jc w:val="center"/>
    </w:pPr>
    <w:rPr>
      <w:szCs w:val="20"/>
    </w:rPr>
  </w:style>
  <w:style w:type="paragraph" w:customStyle="1" w:styleId="Indent">
    <w:name w:val="Indent"/>
    <w:basedOn w:val="Normal"/>
    <w:qFormat/>
    <w:rsid w:val="00E239E3"/>
    <w:pPr>
      <w:tabs>
        <w:tab w:val="left" w:pos="1800"/>
        <w:tab w:val="left" w:pos="4680"/>
      </w:tabs>
      <w:ind w:left="720" w:hanging="720"/>
      <w:jc w:val="both"/>
    </w:pPr>
    <w:rPr>
      <w:rFonts w:ascii="Times" w:hAnsi="Times"/>
      <w:sz w:val="20"/>
      <w:szCs w:val="20"/>
    </w:rPr>
  </w:style>
  <w:style w:type="paragraph" w:customStyle="1" w:styleId="Courier">
    <w:name w:val="Courier"/>
    <w:basedOn w:val="Normal"/>
    <w:qFormat/>
    <w:rsid w:val="00E239E3"/>
    <w:rPr>
      <w:rFonts w:ascii="Courier" w:hAnsi="Courier"/>
      <w:sz w:val="20"/>
      <w:szCs w:val="20"/>
    </w:rPr>
  </w:style>
  <w:style w:type="paragraph" w:styleId="Title">
    <w:name w:val="Title"/>
    <w:basedOn w:val="Normal"/>
    <w:link w:val="TitleChar"/>
    <w:qFormat/>
    <w:rsid w:val="00E239E3"/>
    <w:pPr>
      <w:tabs>
        <w:tab w:val="decimal" w:pos="9180"/>
      </w:tabs>
      <w:jc w:val="center"/>
    </w:pPr>
    <w:rPr>
      <w:b/>
      <w:szCs w:val="20"/>
    </w:rPr>
  </w:style>
  <w:style w:type="character" w:customStyle="1" w:styleId="TitleChar">
    <w:name w:val="Title Char"/>
    <w:basedOn w:val="DefaultParagraphFont"/>
    <w:link w:val="Title"/>
    <w:rsid w:val="00E239E3"/>
    <w:rPr>
      <w:b/>
      <w:sz w:val="24"/>
    </w:rPr>
  </w:style>
  <w:style w:type="paragraph" w:styleId="Subtitle">
    <w:name w:val="Subtitle"/>
    <w:basedOn w:val="Normal"/>
    <w:link w:val="SubtitleChar"/>
    <w:qFormat/>
    <w:rsid w:val="00E239E3"/>
    <w:pPr>
      <w:tabs>
        <w:tab w:val="decimal" w:pos="9180"/>
      </w:tabs>
      <w:jc w:val="center"/>
    </w:pPr>
    <w:rPr>
      <w:b/>
      <w:sz w:val="20"/>
      <w:szCs w:val="20"/>
    </w:rPr>
  </w:style>
  <w:style w:type="character" w:customStyle="1" w:styleId="SubtitleChar">
    <w:name w:val="Subtitle Char"/>
    <w:basedOn w:val="DefaultParagraphFont"/>
    <w:link w:val="Subtitle"/>
    <w:rsid w:val="00E239E3"/>
    <w:rPr>
      <w:b/>
    </w:rPr>
  </w:style>
  <w:style w:type="paragraph" w:styleId="PlainText">
    <w:name w:val="Plain Text"/>
    <w:basedOn w:val="Normal"/>
    <w:link w:val="PlainTextChar"/>
    <w:rsid w:val="00E239E3"/>
    <w:rPr>
      <w:rFonts w:ascii="Courier New" w:hAnsi="Courier New"/>
      <w:sz w:val="20"/>
      <w:szCs w:val="20"/>
    </w:rPr>
  </w:style>
  <w:style w:type="character" w:customStyle="1" w:styleId="PlainTextChar">
    <w:name w:val="Plain Text Char"/>
    <w:basedOn w:val="DefaultParagraphFont"/>
    <w:link w:val="PlainText"/>
    <w:rsid w:val="00E239E3"/>
    <w:rPr>
      <w:rFonts w:ascii="Courier New" w:hAnsi="Courier New"/>
    </w:rPr>
  </w:style>
  <w:style w:type="character" w:customStyle="1" w:styleId="DeltaViewInsertion">
    <w:name w:val="DeltaView Insertion"/>
    <w:rsid w:val="00E239E3"/>
    <w:rPr>
      <w:b/>
      <w:bCs/>
      <w:color w:val="0000FF"/>
      <w:spacing w:val="0"/>
      <w:u w:val="double"/>
    </w:rPr>
  </w:style>
  <w:style w:type="paragraph" w:customStyle="1" w:styleId="Subheadbold">
    <w:name w:val="Subheadbold"/>
    <w:aliases w:val="shb,SubheadBold"/>
    <w:basedOn w:val="Normal"/>
    <w:next w:val="Normal"/>
    <w:qFormat/>
    <w:rsid w:val="00E239E3"/>
    <w:pPr>
      <w:keepNext/>
      <w:keepLines/>
      <w:tabs>
        <w:tab w:val="left" w:pos="935"/>
      </w:tabs>
      <w:autoSpaceDE w:val="0"/>
      <w:autoSpaceDN w:val="0"/>
      <w:adjustRightInd w:val="0"/>
      <w:spacing w:after="240"/>
    </w:pPr>
    <w:rPr>
      <w:b/>
      <w:bCs/>
      <w:sz w:val="21"/>
      <w:szCs w:val="21"/>
    </w:rPr>
  </w:style>
  <w:style w:type="paragraph" w:customStyle="1" w:styleId="Block">
    <w:name w:val="Block"/>
    <w:aliases w:val="bl"/>
    <w:basedOn w:val="Normal"/>
    <w:qFormat/>
    <w:rsid w:val="00E239E3"/>
    <w:pPr>
      <w:autoSpaceDE w:val="0"/>
      <w:autoSpaceDN w:val="0"/>
      <w:adjustRightInd w:val="0"/>
      <w:spacing w:after="240"/>
    </w:pPr>
    <w:rPr>
      <w:sz w:val="21"/>
      <w:szCs w:val="21"/>
    </w:rPr>
  </w:style>
  <w:style w:type="character" w:customStyle="1" w:styleId="DeltaViewDeletion">
    <w:name w:val="DeltaView Deletion"/>
    <w:rsid w:val="00E239E3"/>
    <w:rPr>
      <w:strike/>
      <w:color w:val="FF0000"/>
      <w:spacing w:val="0"/>
    </w:rPr>
  </w:style>
  <w:style w:type="paragraph" w:customStyle="1" w:styleId="Body">
    <w:name w:val="Body"/>
    <w:aliases w:val="b"/>
    <w:basedOn w:val="Normal"/>
    <w:qFormat/>
    <w:rsid w:val="00E239E3"/>
    <w:pPr>
      <w:autoSpaceDE w:val="0"/>
      <w:autoSpaceDN w:val="0"/>
      <w:adjustRightInd w:val="0"/>
      <w:spacing w:after="160"/>
      <w:ind w:firstLine="720"/>
    </w:pPr>
    <w:rPr>
      <w:sz w:val="20"/>
      <w:szCs w:val="20"/>
    </w:rPr>
  </w:style>
  <w:style w:type="paragraph" w:customStyle="1" w:styleId="H5">
    <w:name w:val="H5"/>
    <w:basedOn w:val="Normal"/>
    <w:next w:val="Normal"/>
    <w:qFormat/>
    <w:rsid w:val="00E239E3"/>
    <w:pPr>
      <w:keepNext/>
      <w:spacing w:before="100" w:after="100"/>
      <w:outlineLvl w:val="5"/>
    </w:pPr>
    <w:rPr>
      <w:b/>
      <w:snapToGrid w:val="0"/>
      <w:sz w:val="20"/>
      <w:szCs w:val="20"/>
    </w:rPr>
  </w:style>
  <w:style w:type="paragraph" w:customStyle="1" w:styleId="Heading">
    <w:name w:val="Heading"/>
    <w:basedOn w:val="Normal"/>
    <w:qFormat/>
    <w:rsid w:val="00E239E3"/>
    <w:pPr>
      <w:pBdr>
        <w:bottom w:val="single" w:sz="4" w:space="12" w:color="auto"/>
      </w:pBdr>
      <w:spacing w:line="300" w:lineRule="exact"/>
    </w:pPr>
    <w:rPr>
      <w:rFonts w:ascii="Verdana" w:hAnsi="Verdana"/>
      <w:b/>
      <w:caps/>
      <w:spacing w:val="40"/>
      <w:sz w:val="18"/>
      <w:szCs w:val="20"/>
    </w:rPr>
  </w:style>
  <w:style w:type="paragraph" w:customStyle="1" w:styleId="fn-txt2">
    <w:name w:val="fn-txt2"/>
    <w:basedOn w:val="Normal"/>
    <w:qFormat/>
    <w:rsid w:val="00E239E3"/>
    <w:pPr>
      <w:suppressAutoHyphens/>
      <w:spacing w:line="230" w:lineRule="exact"/>
      <w:ind w:left="1440"/>
      <w:jc w:val="both"/>
    </w:pPr>
    <w:rPr>
      <w:spacing w:val="-2"/>
      <w:sz w:val="23"/>
      <w:szCs w:val="20"/>
    </w:rPr>
  </w:style>
  <w:style w:type="paragraph" w:customStyle="1" w:styleId="fn-covenant">
    <w:name w:val="fn-covenant"/>
    <w:basedOn w:val="Normal"/>
    <w:qFormat/>
    <w:rsid w:val="00E239E3"/>
    <w:pPr>
      <w:tabs>
        <w:tab w:val="left" w:pos="5760"/>
      </w:tabs>
      <w:suppressAutoHyphens/>
      <w:ind w:left="720"/>
      <w:jc w:val="both"/>
    </w:pPr>
    <w:rPr>
      <w:spacing w:val="-2"/>
      <w:sz w:val="22"/>
      <w:szCs w:val="20"/>
    </w:rPr>
  </w:style>
  <w:style w:type="paragraph" w:customStyle="1" w:styleId="fn-1m">
    <w:name w:val="fn-1m"/>
    <w:basedOn w:val="Normal"/>
    <w:qFormat/>
    <w:rsid w:val="00E239E3"/>
    <w:pPr>
      <w:tabs>
        <w:tab w:val="left" w:pos="720"/>
        <w:tab w:val="left" w:pos="1440"/>
        <w:tab w:val="left" w:pos="8208"/>
        <w:tab w:val="decimal" w:pos="9360"/>
      </w:tabs>
      <w:suppressAutoHyphens/>
      <w:spacing w:line="230" w:lineRule="exact"/>
      <w:jc w:val="both"/>
    </w:pPr>
    <w:rPr>
      <w:spacing w:val="-2"/>
      <w:sz w:val="23"/>
      <w:szCs w:val="20"/>
    </w:rPr>
  </w:style>
  <w:style w:type="paragraph" w:customStyle="1" w:styleId="SubheadItal">
    <w:name w:val="SubheadItal"/>
    <w:aliases w:val="shi"/>
    <w:basedOn w:val="Normal"/>
    <w:qFormat/>
    <w:rsid w:val="00E239E3"/>
    <w:pPr>
      <w:keepNext/>
      <w:keepLines/>
      <w:spacing w:after="220"/>
    </w:pPr>
    <w:rPr>
      <w:i/>
      <w:iCs/>
      <w:sz w:val="22"/>
      <w:szCs w:val="20"/>
    </w:rPr>
  </w:style>
  <w:style w:type="paragraph" w:customStyle="1" w:styleId="Bullet">
    <w:name w:val="Bullet"/>
    <w:aliases w:val="blt,bullet"/>
    <w:basedOn w:val="Normal"/>
    <w:qFormat/>
    <w:rsid w:val="00E239E3"/>
    <w:pPr>
      <w:numPr>
        <w:numId w:val="24"/>
      </w:numPr>
      <w:tabs>
        <w:tab w:val="clear" w:pos="720"/>
      </w:tabs>
      <w:spacing w:after="240"/>
      <w:ind w:left="1440" w:hanging="720"/>
    </w:pPr>
    <w:rPr>
      <w:sz w:val="22"/>
      <w:szCs w:val="20"/>
    </w:rPr>
  </w:style>
  <w:style w:type="paragraph" w:customStyle="1" w:styleId="SubheadBold5">
    <w:name w:val="SubheadBold.5"/>
    <w:aliases w:val="shb.5,Subheadbold.5"/>
    <w:basedOn w:val="Subheadbold"/>
    <w:qFormat/>
    <w:rsid w:val="00E239E3"/>
    <w:pPr>
      <w:tabs>
        <w:tab w:val="clear" w:pos="935"/>
      </w:tabs>
      <w:autoSpaceDE/>
      <w:autoSpaceDN/>
      <w:adjustRightInd/>
      <w:spacing w:after="220"/>
      <w:ind w:left="720"/>
    </w:pPr>
    <w:rPr>
      <w:bCs w:val="0"/>
      <w:sz w:val="22"/>
      <w:szCs w:val="20"/>
    </w:rPr>
  </w:style>
  <w:style w:type="table" w:customStyle="1" w:styleId="TableGrid1">
    <w:name w:val="Table Grid1"/>
    <w:basedOn w:val="TableNormal"/>
    <w:next w:val="TableGrid"/>
    <w:rsid w:val="00E239E3"/>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E239E3"/>
    <w:pPr>
      <w:spacing w:before="100" w:after="100"/>
      <w:ind w:left="720" w:right="29"/>
      <w:jc w:val="both"/>
    </w:pPr>
    <w:rPr>
      <w:rFonts w:ascii="Arial" w:hAnsi="Arial" w:cs="Arial"/>
      <w:sz w:val="22"/>
      <w:szCs w:val="20"/>
    </w:rPr>
  </w:style>
  <w:style w:type="character" w:customStyle="1" w:styleId="InitialStyle">
    <w:name w:val="InitialStyle"/>
    <w:rsid w:val="00E239E3"/>
    <w:rPr>
      <w:rFonts w:ascii="Times New Roman" w:hAnsi="Times New Roman"/>
      <w:color w:val="auto"/>
      <w:spacing w:val="0"/>
      <w:sz w:val="20"/>
    </w:rPr>
  </w:style>
  <w:style w:type="paragraph" w:customStyle="1" w:styleId="PKM">
    <w:name w:val="PKM"/>
    <w:qFormat/>
    <w:rsid w:val="00E239E3"/>
    <w:pPr>
      <w:keepNext/>
      <w:keepLines/>
      <w:spacing w:after="180" w:line="220" w:lineRule="atLeast"/>
      <w:jc w:val="center"/>
      <w:outlineLvl w:val="0"/>
    </w:pPr>
    <w:rPr>
      <w:rFonts w:ascii="AvantGarde Bk BT" w:hAnsi="AvantGarde Bk BT"/>
      <w:color w:val="000080"/>
      <w:spacing w:val="28"/>
      <w:kern w:val="20"/>
      <w:sz w:val="25"/>
      <w:szCs w:val="25"/>
    </w:rPr>
  </w:style>
  <w:style w:type="paragraph" w:styleId="Date">
    <w:name w:val="Date"/>
    <w:basedOn w:val="Normal"/>
    <w:next w:val="Normal"/>
    <w:link w:val="DateChar"/>
    <w:autoRedefine/>
    <w:rsid w:val="00E239E3"/>
    <w:pPr>
      <w:spacing w:before="240" w:after="600"/>
      <w:jc w:val="center"/>
    </w:pPr>
    <w:rPr>
      <w:noProof/>
      <w:kern w:val="18"/>
      <w:sz w:val="22"/>
      <w:szCs w:val="22"/>
    </w:rPr>
  </w:style>
  <w:style w:type="character" w:customStyle="1" w:styleId="DateChar">
    <w:name w:val="Date Char"/>
    <w:basedOn w:val="DefaultParagraphFont"/>
    <w:link w:val="Date"/>
    <w:rsid w:val="00E239E3"/>
    <w:rPr>
      <w:noProof/>
      <w:kern w:val="18"/>
      <w:sz w:val="22"/>
      <w:szCs w:val="22"/>
    </w:rPr>
  </w:style>
  <w:style w:type="paragraph" w:styleId="BodyTextFirstIndent">
    <w:name w:val="Body Text First Indent"/>
    <w:basedOn w:val="BodyText"/>
    <w:link w:val="BodyTextFirstIndentChar"/>
    <w:rsid w:val="00E239E3"/>
    <w:pPr>
      <w:spacing w:after="120"/>
      <w:ind w:firstLine="210"/>
      <w:jc w:val="left"/>
    </w:pPr>
    <w:rPr>
      <w:rFonts w:ascii="CG Times (WN)" w:hAnsi="CG Times (WN)"/>
    </w:rPr>
  </w:style>
  <w:style w:type="character" w:customStyle="1" w:styleId="BodyTextFirstIndentChar">
    <w:name w:val="Body Text First Indent Char"/>
    <w:basedOn w:val="BodyTextChar"/>
    <w:link w:val="BodyTextFirstIndent"/>
    <w:rsid w:val="00E239E3"/>
    <w:rPr>
      <w:rFonts w:ascii="CG Times (WN)" w:hAnsi="CG Times (WN)"/>
    </w:rPr>
  </w:style>
  <w:style w:type="paragraph" w:styleId="ListBullet">
    <w:name w:val="List Bullet"/>
    <w:basedOn w:val="BodyTextFirstIndent"/>
    <w:rsid w:val="00E239E3"/>
    <w:pPr>
      <w:spacing w:after="240"/>
      <w:ind w:left="1440" w:hanging="720"/>
    </w:pPr>
    <w:rPr>
      <w:rFonts w:ascii="Times New Roman" w:hAnsi="Times New Roman"/>
      <w:szCs w:val="24"/>
    </w:rPr>
  </w:style>
  <w:style w:type="paragraph" w:customStyle="1" w:styleId="BodyTextItalics">
    <w:name w:val="Body Text Italics"/>
    <w:basedOn w:val="BodyText"/>
    <w:link w:val="BodyTextItalicsChar"/>
    <w:qFormat/>
    <w:rsid w:val="00E239E3"/>
    <w:pPr>
      <w:spacing w:after="240"/>
      <w:jc w:val="left"/>
    </w:pPr>
    <w:rPr>
      <w:i/>
    </w:rPr>
  </w:style>
  <w:style w:type="character" w:customStyle="1" w:styleId="BodyTextItalicsChar">
    <w:name w:val="Body Text Italics Char"/>
    <w:basedOn w:val="BodyTextChar"/>
    <w:link w:val="BodyTextItalics"/>
    <w:rsid w:val="00E239E3"/>
    <w:rPr>
      <w:i/>
    </w:rPr>
  </w:style>
  <w:style w:type="paragraph" w:customStyle="1" w:styleId="HeadingItalics">
    <w:name w:val="Heading Italics"/>
    <w:basedOn w:val="Normal"/>
    <w:uiPriority w:val="99"/>
    <w:qFormat/>
    <w:rsid w:val="00E239E3"/>
    <w:pPr>
      <w:spacing w:after="240"/>
    </w:pPr>
    <w:rPr>
      <w:b/>
      <w:i/>
      <w:sz w:val="20"/>
    </w:rPr>
  </w:style>
  <w:style w:type="paragraph" w:customStyle="1" w:styleId="BodySubtitle">
    <w:name w:val="Body Subtitle"/>
    <w:basedOn w:val="Normal"/>
    <w:link w:val="BodySubtitleChar"/>
    <w:qFormat/>
    <w:rsid w:val="00E239E3"/>
    <w:rPr>
      <w:i/>
      <w:iCs/>
      <w:sz w:val="20"/>
      <w:szCs w:val="20"/>
    </w:rPr>
  </w:style>
  <w:style w:type="character" w:customStyle="1" w:styleId="BodySubtitleChar">
    <w:name w:val="Body Subtitle Char"/>
    <w:basedOn w:val="DefaultParagraphFont"/>
    <w:link w:val="BodySubtitle"/>
    <w:rsid w:val="00E239E3"/>
    <w:rPr>
      <w:i/>
      <w:iCs/>
    </w:rPr>
  </w:style>
  <w:style w:type="character" w:customStyle="1" w:styleId="CharChar">
    <w:name w:val="Char Char"/>
    <w:basedOn w:val="DefaultParagraphFont"/>
    <w:rsid w:val="00E239E3"/>
    <w:rPr>
      <w:lang w:val="en-US" w:eastAsia="en-US" w:bidi="ar-SA"/>
    </w:rPr>
  </w:style>
  <w:style w:type="paragraph" w:customStyle="1" w:styleId="Heading2Text">
    <w:name w:val="Heading 2 Text"/>
    <w:basedOn w:val="Heading2"/>
    <w:uiPriority w:val="99"/>
    <w:qFormat/>
    <w:rsid w:val="00E239E3"/>
    <w:pPr>
      <w:keepNext w:val="0"/>
      <w:keepLines w:val="0"/>
      <w:autoSpaceDE w:val="0"/>
      <w:autoSpaceDN w:val="0"/>
      <w:adjustRightInd w:val="0"/>
      <w:spacing w:before="0" w:after="240"/>
    </w:pPr>
    <w:rPr>
      <w:bCs w:val="0"/>
      <w:color w:val="auto"/>
      <w:sz w:val="20"/>
      <w:szCs w:val="20"/>
    </w:rPr>
  </w:style>
  <w:style w:type="paragraph" w:customStyle="1" w:styleId="HeadBoldItalicLeftEDC">
    <w:name w:val="Head Bold Italic Left/EDC"/>
    <w:basedOn w:val="Normal"/>
    <w:uiPriority w:val="99"/>
    <w:qFormat/>
    <w:rsid w:val="00E239E3"/>
    <w:pPr>
      <w:keepNext/>
      <w:keepLines/>
      <w:tabs>
        <w:tab w:val="left" w:pos="518"/>
        <w:tab w:val="left" w:pos="778"/>
        <w:tab w:val="left" w:pos="1037"/>
        <w:tab w:val="left" w:pos="1296"/>
      </w:tabs>
      <w:spacing w:before="240"/>
    </w:pPr>
    <w:rPr>
      <w:b/>
      <w:i/>
      <w:sz w:val="20"/>
      <w:szCs w:val="20"/>
    </w:rPr>
  </w:style>
  <w:style w:type="paragraph" w:styleId="NoSpacing">
    <w:name w:val="No Spacing"/>
    <w:uiPriority w:val="99"/>
    <w:qFormat/>
    <w:rsid w:val="00E239E3"/>
    <w:rPr>
      <w:sz w:val="24"/>
      <w:szCs w:val="24"/>
    </w:rPr>
  </w:style>
  <w:style w:type="character" w:customStyle="1" w:styleId="BodyTextChar1">
    <w:name w:val="Body Text Char1"/>
    <w:basedOn w:val="DefaultParagraphFont"/>
    <w:rsid w:val="00E239E3"/>
    <w:rPr>
      <w:lang w:val="en-US" w:eastAsia="en-US" w:bidi="ar-SA"/>
    </w:rPr>
  </w:style>
  <w:style w:type="character" w:customStyle="1" w:styleId="TitleChar1">
    <w:name w:val="Title Char1"/>
    <w:basedOn w:val="DefaultParagraphFont"/>
    <w:rsid w:val="00E239E3"/>
    <w:rPr>
      <w:rFonts w:ascii="Cambria" w:eastAsia="Times New Roman" w:hAnsi="Cambria" w:cs="Times New Roman"/>
      <w:color w:val="17365D"/>
      <w:spacing w:val="5"/>
      <w:kern w:val="28"/>
      <w:sz w:val="52"/>
      <w:szCs w:val="52"/>
    </w:rPr>
  </w:style>
  <w:style w:type="character" w:customStyle="1" w:styleId="SubtitleChar1">
    <w:name w:val="Subtitle Char1"/>
    <w:basedOn w:val="DefaultParagraphFont"/>
    <w:rsid w:val="00E239E3"/>
    <w:rPr>
      <w:rFonts w:ascii="Cambria" w:eastAsia="Times New Roman" w:hAnsi="Cambria" w:cs="Times New Roman"/>
      <w:i/>
      <w:iCs/>
      <w:color w:val="4F81BD"/>
      <w:spacing w:val="15"/>
      <w:sz w:val="24"/>
      <w:szCs w:val="24"/>
    </w:rPr>
  </w:style>
  <w:style w:type="paragraph" w:customStyle="1" w:styleId="BodyTitle">
    <w:name w:val="Body Title"/>
    <w:basedOn w:val="Normal"/>
    <w:rsid w:val="00E239E3"/>
    <w:pPr>
      <w:spacing w:after="240"/>
    </w:pPr>
    <w:rPr>
      <w:rFonts w:eastAsia="????"/>
      <w:sz w:val="20"/>
      <w:szCs w:val="20"/>
      <w:u w:val="single"/>
    </w:rPr>
  </w:style>
  <w:style w:type="character" w:customStyle="1" w:styleId="A2">
    <w:name w:val="A2"/>
    <w:uiPriority w:val="99"/>
    <w:rsid w:val="00E239E3"/>
    <w:rPr>
      <w:rFonts w:cs="Helvetica"/>
      <w:color w:val="000000"/>
      <w:sz w:val="18"/>
      <w:szCs w:val="18"/>
    </w:rPr>
  </w:style>
  <w:style w:type="table" w:customStyle="1" w:styleId="TableGrid22">
    <w:name w:val="Table Grid22"/>
    <w:basedOn w:val="TableNormal"/>
    <w:next w:val="TableGrid"/>
    <w:rsid w:val="00E239E3"/>
    <w:rPr>
      <w:rFonts w:ascii="Tms Rmn"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E239E3"/>
    <w:rPr>
      <w:szCs w:val="20"/>
    </w:rPr>
  </w:style>
  <w:style w:type="table" w:customStyle="1" w:styleId="finTable1">
    <w:name w:val="finTable1"/>
    <w:basedOn w:val="TableNormal"/>
    <w:rsid w:val="005404CB"/>
    <w:tblPr/>
  </w:style>
  <w:style w:type="character" w:customStyle="1" w:styleId="UnresolvedMention1">
    <w:name w:val="Unresolved Mention1"/>
    <w:basedOn w:val="DefaultParagraphFont"/>
    <w:uiPriority w:val="99"/>
    <w:semiHidden/>
    <w:unhideWhenUsed/>
    <w:rsid w:val="005769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yperlink" Target="https://www.sec.gov/Archives/edgar/data/832489/000095012310034714/c99234exv3w1.htm" TargetMode="External"/><Relationship Id="rId39" Type="http://schemas.openxmlformats.org/officeDocument/2006/relationships/hyperlink" Target="https://www.sec.gov/Archives/edgar/data/832489/000143774920019373/ex_203036.htm" TargetMode="External"/><Relationship Id="rId21" Type="http://schemas.openxmlformats.org/officeDocument/2006/relationships/footer" Target="footer9.xml"/><Relationship Id="rId34" Type="http://schemas.openxmlformats.org/officeDocument/2006/relationships/hyperlink" Target="https://www.sec.gov/Archives/edgar/data/832489/000143774920020279/ex_205103.htm" TargetMode="External"/><Relationship Id="rId42" Type="http://schemas.openxmlformats.org/officeDocument/2006/relationships/hyperlink" Target="https://www.sec.gov/Archives/edgar/data/832489/000143774921002520/ex_225848.htm" TargetMode="External"/><Relationship Id="rId47" Type="http://schemas.openxmlformats.org/officeDocument/2006/relationships/hyperlink" Target="https://www.sec.gov/Archives/edgar/data/832489/000143774922013800/ex_380938.htm" TargetMode="External"/><Relationship Id="rId50" Type="http://schemas.openxmlformats.org/officeDocument/2006/relationships/hyperlink" Target="https://www.sec.gov/Archives/edgar/data/832489/000143774918016713/ex_123550.htm" TargetMode="External"/><Relationship Id="rId55" Type="http://schemas.openxmlformats.org/officeDocument/2006/relationships/hyperlink" Target="https://www.sec.gov/Archives/edgar/data/832489/000143774921026298/ex_303773.htm" TargetMode="External"/><Relationship Id="rId63" Type="http://schemas.openxmlformats.org/officeDocument/2006/relationships/hyperlink" Target="https://www.sec.gov/ix?doc=/Archives/edgar/data/832489/000143774921026180/govx20211109_8k.htm" TargetMode="External"/><Relationship Id="rId68" Type="http://schemas.openxmlformats.org/officeDocument/2006/relationships/hyperlink" Target="https://www.sec.gov/Archives/edgar/data/832489/000143774922013800/ex_380939.htm" TargetMode="External"/><Relationship Id="rId7" Type="http://schemas.openxmlformats.org/officeDocument/2006/relationships/endnotes" Target="endnotes.xml"/><Relationship Id="rId71"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hyperlink" Target="https://www.sec.gov/Archives/edgar/data/832489/000143774915010019/ex3-1.htm" TargetMode="Externa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yperlink" Target="https://www.sec.gov/Archives/edgar/data/832489/000143774919008334/ex_141886.htm" TargetMode="External"/><Relationship Id="rId37" Type="http://schemas.openxmlformats.org/officeDocument/2006/relationships/hyperlink" Target="https://www.sec.gov/Archives/edgar/data/832489/000143774920020061/ex_204703.htm" TargetMode="External"/><Relationship Id="rId40" Type="http://schemas.openxmlformats.org/officeDocument/2006/relationships/hyperlink" Target="https://www.sec.gov/Archives/edgar/data/832489/000143774920019373/ex_203037.htm" TargetMode="External"/><Relationship Id="rId45" Type="http://schemas.openxmlformats.org/officeDocument/2006/relationships/hyperlink" Target="https://www.sec.gov/Archives/edgar/data/832489/000143774922001326/ex_325632.htm" TargetMode="External"/><Relationship Id="rId53" Type="http://schemas.openxmlformats.org/officeDocument/2006/relationships/hyperlink" Target="https://www.sec.gov/Archives/edgar/data/832489/000143774922005677/ex_339970.htm" TargetMode="External"/><Relationship Id="rId58" Type="http://schemas.openxmlformats.org/officeDocument/2006/relationships/hyperlink" Target="https://www.sec.gov/Archives/edgar/data/832489/000143774920021652/ex_208661.htm" TargetMode="External"/><Relationship Id="rId66" Type="http://schemas.openxmlformats.org/officeDocument/2006/relationships/hyperlink" Target="https://www.sec.gov/Archives/edgar/data/832489/000143774922013800/ex_380936.htm"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hyperlink" Target="https://www.sec.gov/Archives/edgar/data/832489/000143774913009821/ex3-1.htm" TargetMode="External"/><Relationship Id="rId36" Type="http://schemas.openxmlformats.org/officeDocument/2006/relationships/hyperlink" Target="https://www.sec.gov/Archives/edgar/data/832489/000143774920018705/ex_201544.htm" TargetMode="External"/><Relationship Id="rId49" Type="http://schemas.openxmlformats.org/officeDocument/2006/relationships/hyperlink" Target="https://www.sec.gov/Archives/edgar/data/832489/000143774922013800/ex_380942.htm" TargetMode="External"/><Relationship Id="rId57" Type="http://schemas.openxmlformats.org/officeDocument/2006/relationships/hyperlink" Target="https://www.sec.gov/Archives/edgar/data/832489/000109690606001179/geovax8k100106ex10-2.htm" TargetMode="External"/><Relationship Id="rId61" Type="http://schemas.openxmlformats.org/officeDocument/2006/relationships/hyperlink" Target="https://www.sec.gov/Archives/edgar/data/832489/000143774922005677/ex_339972.htm" TargetMode="External"/><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hyperlink" Target="https://www.sec.gov/Archives/edgar/data/832489/000143774917013827/ex3-1.htm" TargetMode="External"/><Relationship Id="rId44" Type="http://schemas.openxmlformats.org/officeDocument/2006/relationships/hyperlink" Target="https://www.sec.gov/Archives/edgar/data/832489/000143774922001326/ex_325631.htm" TargetMode="External"/><Relationship Id="rId52" Type="http://schemas.openxmlformats.org/officeDocument/2006/relationships/hyperlink" Target="https://www.sec.gov/Archives/edgar/data/832489/000143774913013257/ex10-3.htm" TargetMode="External"/><Relationship Id="rId60" Type="http://schemas.openxmlformats.org/officeDocument/2006/relationships/hyperlink" Target="https://www.sec.gov/Archives/edgar/data/832489/000143774920006029/ex_178175.htm" TargetMode="External"/><Relationship Id="rId65" Type="http://schemas.openxmlformats.org/officeDocument/2006/relationships/hyperlink" Target="https://www.sec.gov/Archives/edgar/data/832489/000143774922001326/ex_325630.htm"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 Id="rId27" Type="http://schemas.openxmlformats.org/officeDocument/2006/relationships/hyperlink" Target="https://www.sec.gov/Archives/edgar/data/832489/000095012310039442/c99794exv3w1.htm" TargetMode="External"/><Relationship Id="rId30" Type="http://schemas.openxmlformats.org/officeDocument/2006/relationships/hyperlink" Target="https://www.sec.gov/Archives/edgar/data/832489/000143774916033922/ex3-1.htm" TargetMode="External"/><Relationship Id="rId35" Type="http://schemas.openxmlformats.org/officeDocument/2006/relationships/hyperlink" Target="https://www.sec.gov/Archives/edgar/data/832489/000095014408005004/g13992exv3w2.htm" TargetMode="External"/><Relationship Id="rId43" Type="http://schemas.openxmlformats.org/officeDocument/2006/relationships/hyperlink" Target="https://www.sec.gov/Archives/edgar/data/832489/000143774921022842/ex_287396.htm" TargetMode="External"/><Relationship Id="rId48" Type="http://schemas.openxmlformats.org/officeDocument/2006/relationships/hyperlink" Target="https://www.sec.gov/Archives/edgar/data/832489/000143774922013800/ex_380941.htm" TargetMode="External"/><Relationship Id="rId56" Type="http://schemas.openxmlformats.org/officeDocument/2006/relationships/hyperlink" Target="https://www.sec.gov/Archives/edgar/data/832489/000143774921006906/ex_234779.htm" TargetMode="External"/><Relationship Id="rId64" Type="http://schemas.openxmlformats.org/officeDocument/2006/relationships/hyperlink" Target="https://www.sec.gov/Archives/edgar/data/832489/000143774922001326/ex_325629.htm" TargetMode="External"/><Relationship Id="rId69" Type="http://schemas.openxmlformats.org/officeDocument/2006/relationships/hyperlink" Target="https://www.sec.gov/Archives/edgar/data/832489/000143774919021977/ex_162624.htm" TargetMode="External"/><Relationship Id="rId8" Type="http://schemas.openxmlformats.org/officeDocument/2006/relationships/image" Target="media/image1.png"/><Relationship Id="rId51" Type="http://schemas.openxmlformats.org/officeDocument/2006/relationships/hyperlink" Target="https://www.sec.gov/Archives/edgar/data/832489/000095012310022136/g22401exv10w2.htm"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hyperlink" Target="https://www.sec.gov/Archives/edgar/data/832489/000095014408005004/g13992exv3w1.htm" TargetMode="External"/><Relationship Id="rId33" Type="http://schemas.openxmlformats.org/officeDocument/2006/relationships/hyperlink" Target="https://www.sec.gov/Archives/edgar/data/832489/000143774920000912/ex_169967.htm" TargetMode="External"/><Relationship Id="rId38" Type="http://schemas.openxmlformats.org/officeDocument/2006/relationships/hyperlink" Target="https://www.sec.gov/Archives/edgar/data/832489/000143774920019373/ex_203004.htm" TargetMode="External"/><Relationship Id="rId46" Type="http://schemas.openxmlformats.org/officeDocument/2006/relationships/hyperlink" Target="https://www.sec.gov/Archives/edgar/data/832489/000143774922013800/ex_380937.htm" TargetMode="External"/><Relationship Id="rId59" Type="http://schemas.openxmlformats.org/officeDocument/2006/relationships/hyperlink" Target="https://www.sec.gov/Archives/edgar/data/832489/000143774920024573/ex_215829.htm" TargetMode="External"/><Relationship Id="rId67" Type="http://schemas.openxmlformats.org/officeDocument/2006/relationships/hyperlink" Target="https://www.sec.gov/Archives/edgar/data/832489/000143774922013800/ex_380940.htm" TargetMode="External"/><Relationship Id="rId20" Type="http://schemas.openxmlformats.org/officeDocument/2006/relationships/image" Target="media/image2.png"/><Relationship Id="rId41" Type="http://schemas.openxmlformats.org/officeDocument/2006/relationships/hyperlink" Target="https://www.sec.gov/Archives/edgar/data/832489/000143774920014012/ex_191614.htm" TargetMode="External"/><Relationship Id="rId54" Type="http://schemas.openxmlformats.org/officeDocument/2006/relationships/hyperlink" Target="https://www.sec.gov/Archives/edgar/data/832489/000143774922005677/ex_339971.htm" TargetMode="External"/><Relationship Id="rId62" Type="http://schemas.openxmlformats.org/officeDocument/2006/relationships/hyperlink" Target="https://www.sec.gov/Archives/edgar/data/832489/000143774921022842/ex_287401.htm" TargetMode="External"/><Relationship Id="rId7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568FC-9E45-4EAE-B755-6577488F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100</Pages>
  <Words>53235</Words>
  <Characters>303441</Characters>
  <Application>Microsoft Office Word</Application>
  <DocSecurity>0</DocSecurity>
  <Lines>2528</Lines>
  <Paragraphs>711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McCamy, Patrick</dc:creator>
  <cp:lastModifiedBy>Mark Reynolds</cp:lastModifiedBy>
  <cp:revision>3</cp:revision>
  <cp:lastPrinted>2022-02-03T17:51:00Z</cp:lastPrinted>
  <dcterms:created xsi:type="dcterms:W3CDTF">2022-06-14T01:22:00Z</dcterms:created>
  <dcterms:modified xsi:type="dcterms:W3CDTF">2022-06-14T01:22:00Z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55442854v4</vt:lpwstr>
  </property>
</Properties>
</file>